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0369" w14:textId="2B768ADE" w:rsidR="00C15AF3" w:rsidRPr="00E45B36" w:rsidRDefault="00C15AF3" w:rsidP="002754FA">
      <w:pPr>
        <w:spacing w:before="120" w:after="120" w:line="240" w:lineRule="auto"/>
        <w:jc w:val="center"/>
        <w:rPr>
          <w:rFonts w:ascii="Open Sans" w:hAnsi="Open Sans" w:cs="Open Sans"/>
          <w:b/>
          <w:bCs/>
          <w:color w:val="06926B"/>
          <w:sz w:val="30"/>
          <w:szCs w:val="30"/>
        </w:rPr>
      </w:pPr>
      <w:r w:rsidRPr="00E45B36">
        <w:rPr>
          <w:rFonts w:ascii="Open Sans" w:hAnsi="Open Sans" w:cs="Open Sans"/>
          <w:b/>
          <w:bCs/>
          <w:color w:val="06926B"/>
          <w:sz w:val="30"/>
          <w:szCs w:val="30"/>
        </w:rPr>
        <w:t>REA Response</w:t>
      </w:r>
      <w:r w:rsidR="00D77BDC" w:rsidRPr="00E45B36">
        <w:rPr>
          <w:rFonts w:ascii="Open Sans" w:hAnsi="Open Sans" w:cs="Open Sans"/>
          <w:b/>
          <w:bCs/>
          <w:color w:val="06926B"/>
          <w:sz w:val="30"/>
          <w:szCs w:val="30"/>
        </w:rPr>
        <w:t>:</w:t>
      </w:r>
    </w:p>
    <w:p w14:paraId="7DBA3B9D" w14:textId="6F6EABF9" w:rsidR="00CF6146" w:rsidRPr="00E45B36" w:rsidRDefault="00CF6146" w:rsidP="002754FA">
      <w:pPr>
        <w:spacing w:before="120" w:after="120" w:line="240" w:lineRule="auto"/>
        <w:jc w:val="center"/>
        <w:rPr>
          <w:rFonts w:ascii="Open Sans" w:hAnsi="Open Sans" w:cs="Open Sans"/>
          <w:b/>
          <w:bCs/>
          <w:color w:val="06926B"/>
          <w:sz w:val="30"/>
          <w:szCs w:val="30"/>
        </w:rPr>
      </w:pPr>
      <w:r w:rsidRPr="00E45B36">
        <w:rPr>
          <w:rFonts w:ascii="Open Sans" w:hAnsi="Open Sans" w:cs="Open Sans"/>
          <w:b/>
          <w:bCs/>
          <w:color w:val="06926B"/>
          <w:sz w:val="30"/>
          <w:szCs w:val="30"/>
        </w:rPr>
        <w:t>Feed-in Tariff (FIT) scheme: Consultation on replacement generating equipment</w:t>
      </w:r>
    </w:p>
    <w:p w14:paraId="5A55DFC6" w14:textId="77777777" w:rsidR="00CF6146" w:rsidRPr="001958FB" w:rsidRDefault="00CF6146" w:rsidP="009D3DD3">
      <w:pPr>
        <w:spacing w:before="120" w:after="120" w:line="240" w:lineRule="auto"/>
        <w:rPr>
          <w:rFonts w:ascii="Open Sans" w:hAnsi="Open Sans" w:cs="Open Sans"/>
          <w:sz w:val="20"/>
          <w:szCs w:val="20"/>
        </w:rPr>
      </w:pPr>
    </w:p>
    <w:p w14:paraId="2C92E63B" w14:textId="7D58FFAF" w:rsidR="00ED1553" w:rsidRPr="001958FB" w:rsidRDefault="00ED1553">
      <w:pPr>
        <w:spacing w:before="120" w:after="120" w:line="240" w:lineRule="auto"/>
        <w:rPr>
          <w:rFonts w:ascii="Open Sans" w:hAnsi="Open Sans" w:cs="Open Sans"/>
          <w:sz w:val="20"/>
          <w:szCs w:val="20"/>
        </w:rPr>
      </w:pPr>
      <w:r w:rsidRPr="001958FB">
        <w:rPr>
          <w:rFonts w:ascii="Open Sans" w:hAnsi="Open Sans" w:cs="Open Sans"/>
          <w:sz w:val="20"/>
          <w:szCs w:val="20"/>
        </w:rPr>
        <w:t xml:space="preserve">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24858BB3" w14:textId="77777777" w:rsidR="00CF6146" w:rsidRPr="001958FB" w:rsidRDefault="00CF6146" w:rsidP="002754FA">
      <w:pPr>
        <w:spacing w:before="120" w:after="120" w:line="240" w:lineRule="auto"/>
        <w:rPr>
          <w:rFonts w:ascii="Open Sans" w:hAnsi="Open Sans" w:cs="Open Sans"/>
          <w:b/>
          <w:bCs/>
          <w:color w:val="2F5496"/>
          <w:sz w:val="20"/>
          <w:szCs w:val="20"/>
        </w:rPr>
      </w:pPr>
    </w:p>
    <w:p w14:paraId="561A95D0" w14:textId="01DAD66D" w:rsidR="00CF6146" w:rsidRPr="001958FB" w:rsidRDefault="00CF6146" w:rsidP="002754FA">
      <w:pPr>
        <w:spacing w:before="120" w:after="120" w:line="240" w:lineRule="auto"/>
        <w:rPr>
          <w:rFonts w:ascii="Open Sans" w:hAnsi="Open Sans" w:cs="Open Sans"/>
          <w:b/>
          <w:bCs/>
          <w:color w:val="2F5496"/>
          <w:sz w:val="20"/>
          <w:szCs w:val="20"/>
        </w:rPr>
      </w:pPr>
      <w:r w:rsidRPr="001958FB">
        <w:rPr>
          <w:rFonts w:ascii="Open Sans" w:hAnsi="Open Sans" w:cs="Open Sans"/>
          <w:b/>
          <w:bCs/>
          <w:color w:val="2F5496"/>
          <w:sz w:val="20"/>
          <w:szCs w:val="20"/>
        </w:rPr>
        <w:t>Question 1: Do you agree with our proposed approach relating to replacement of</w:t>
      </w:r>
      <w:r w:rsidR="00A103BB" w:rsidRPr="001958FB">
        <w:rPr>
          <w:rFonts w:ascii="Open Sans" w:hAnsi="Open Sans" w:cs="Open Sans"/>
          <w:b/>
          <w:bCs/>
          <w:color w:val="2F5496"/>
          <w:sz w:val="20"/>
          <w:szCs w:val="20"/>
        </w:rPr>
        <w:t xml:space="preserve"> </w:t>
      </w:r>
      <w:r w:rsidRPr="001958FB">
        <w:rPr>
          <w:rFonts w:ascii="Open Sans" w:hAnsi="Open Sans" w:cs="Open Sans"/>
          <w:b/>
          <w:bCs/>
          <w:color w:val="2F5496"/>
          <w:sz w:val="20"/>
          <w:szCs w:val="20"/>
        </w:rPr>
        <w:t>generating equipment on the FIT scheme?</w:t>
      </w:r>
    </w:p>
    <w:p w14:paraId="7B405ABC" w14:textId="1FA912FB" w:rsidR="00A103BB" w:rsidRPr="001958FB" w:rsidRDefault="000A0A8E" w:rsidP="002754FA">
      <w:pPr>
        <w:spacing w:before="120" w:after="120" w:line="240" w:lineRule="auto"/>
        <w:rPr>
          <w:rFonts w:ascii="Open Sans" w:hAnsi="Open Sans" w:cs="Open Sans"/>
          <w:sz w:val="20"/>
          <w:szCs w:val="20"/>
        </w:rPr>
      </w:pPr>
      <w:r w:rsidRPr="001958FB">
        <w:rPr>
          <w:rFonts w:ascii="Open Sans" w:hAnsi="Open Sans" w:cs="Open Sans"/>
          <w:sz w:val="20"/>
          <w:szCs w:val="20"/>
        </w:rPr>
        <w:t xml:space="preserve">In general, the proposed approach </w:t>
      </w:r>
      <w:r w:rsidR="00A103BB" w:rsidRPr="001958FB">
        <w:rPr>
          <w:rFonts w:ascii="Open Sans" w:hAnsi="Open Sans" w:cs="Open Sans"/>
          <w:sz w:val="20"/>
          <w:szCs w:val="20"/>
        </w:rPr>
        <w:t>appears</w:t>
      </w:r>
      <w:r w:rsidRPr="001958FB">
        <w:rPr>
          <w:rFonts w:ascii="Open Sans" w:hAnsi="Open Sans" w:cs="Open Sans"/>
          <w:sz w:val="20"/>
          <w:szCs w:val="20"/>
        </w:rPr>
        <w:t xml:space="preserve"> to be workable and represents a substantial improvement to the current stance. </w:t>
      </w:r>
      <w:r w:rsidR="00E45B36">
        <w:rPr>
          <w:rFonts w:ascii="Open Sans" w:hAnsi="Open Sans" w:cs="Open Sans"/>
          <w:sz w:val="20"/>
          <w:szCs w:val="20"/>
        </w:rPr>
        <w:t xml:space="preserve">The </w:t>
      </w:r>
      <w:r w:rsidR="00A103BB" w:rsidRPr="001958FB">
        <w:rPr>
          <w:rFonts w:ascii="Open Sans" w:hAnsi="Open Sans" w:cs="Open Sans"/>
          <w:sz w:val="20"/>
          <w:szCs w:val="20"/>
        </w:rPr>
        <w:t xml:space="preserve">REA has been raising concerns to BEIS and Ofgem </w:t>
      </w:r>
      <w:r w:rsidR="00E45B36">
        <w:rPr>
          <w:rFonts w:ascii="Open Sans" w:hAnsi="Open Sans" w:cs="Open Sans"/>
          <w:sz w:val="20"/>
          <w:szCs w:val="20"/>
        </w:rPr>
        <w:t xml:space="preserve">since 2015 </w:t>
      </w:r>
      <w:r w:rsidR="00A103BB" w:rsidRPr="001958FB">
        <w:rPr>
          <w:rFonts w:ascii="Open Sans" w:hAnsi="Open Sans" w:cs="Open Sans"/>
          <w:sz w:val="20"/>
          <w:szCs w:val="20"/>
        </w:rPr>
        <w:t>in relation to the current approach taken on equipment replacement</w:t>
      </w:r>
      <w:r w:rsidR="00E45B36">
        <w:rPr>
          <w:rFonts w:ascii="Open Sans" w:hAnsi="Open Sans" w:cs="Open Sans"/>
          <w:sz w:val="20"/>
          <w:szCs w:val="20"/>
        </w:rPr>
        <w:t xml:space="preserve"> under Feed-in tariffs.</w:t>
      </w:r>
      <w:r w:rsidR="00A103BB" w:rsidRPr="001958FB">
        <w:rPr>
          <w:rFonts w:ascii="Open Sans" w:hAnsi="Open Sans" w:cs="Open Sans"/>
          <w:sz w:val="20"/>
          <w:szCs w:val="20"/>
        </w:rPr>
        <w:t xml:space="preserve"> </w:t>
      </w:r>
      <w:r w:rsidR="00C67B02">
        <w:rPr>
          <w:rFonts w:ascii="Open Sans" w:hAnsi="Open Sans" w:cs="Open Sans"/>
          <w:sz w:val="20"/>
          <w:szCs w:val="20"/>
        </w:rPr>
        <w:t>Thus,</w:t>
      </w:r>
      <w:r w:rsidR="00E45B36">
        <w:rPr>
          <w:rFonts w:ascii="Open Sans" w:hAnsi="Open Sans" w:cs="Open Sans"/>
          <w:sz w:val="20"/>
          <w:szCs w:val="20"/>
        </w:rPr>
        <w:t xml:space="preserve"> </w:t>
      </w:r>
      <w:r w:rsidR="00A103BB" w:rsidRPr="001958FB">
        <w:rPr>
          <w:rFonts w:ascii="Open Sans" w:hAnsi="Open Sans" w:cs="Open Sans"/>
          <w:sz w:val="20"/>
          <w:szCs w:val="20"/>
        </w:rPr>
        <w:t>we very much welcome th</w:t>
      </w:r>
      <w:r w:rsidR="00E45B36">
        <w:rPr>
          <w:rFonts w:ascii="Open Sans" w:hAnsi="Open Sans" w:cs="Open Sans"/>
          <w:sz w:val="20"/>
          <w:szCs w:val="20"/>
        </w:rPr>
        <w:t>is</w:t>
      </w:r>
      <w:r w:rsidR="00A103BB" w:rsidRPr="001958FB">
        <w:rPr>
          <w:rFonts w:ascii="Open Sans" w:hAnsi="Open Sans" w:cs="Open Sans"/>
          <w:sz w:val="20"/>
          <w:szCs w:val="20"/>
        </w:rPr>
        <w:t xml:space="preserve"> consultation </w:t>
      </w:r>
      <w:r w:rsidR="00C67B02">
        <w:rPr>
          <w:rFonts w:ascii="Open Sans" w:hAnsi="Open Sans" w:cs="Open Sans"/>
          <w:sz w:val="20"/>
          <w:szCs w:val="20"/>
        </w:rPr>
        <w:t xml:space="preserve">but </w:t>
      </w:r>
      <w:r w:rsidR="00A103BB" w:rsidRPr="001958FB">
        <w:rPr>
          <w:rFonts w:ascii="Open Sans" w:hAnsi="Open Sans" w:cs="Open Sans"/>
          <w:sz w:val="20"/>
          <w:szCs w:val="20"/>
        </w:rPr>
        <w:t xml:space="preserve">hope </w:t>
      </w:r>
      <w:r w:rsidR="00A103BB" w:rsidRPr="00603614">
        <w:rPr>
          <w:rFonts w:ascii="Open Sans" w:hAnsi="Open Sans" w:cs="Open Sans"/>
          <w:b/>
          <w:bCs/>
          <w:sz w:val="20"/>
          <w:szCs w:val="20"/>
        </w:rPr>
        <w:t>the change</w:t>
      </w:r>
      <w:r w:rsidR="00E45B36" w:rsidRPr="00603614">
        <w:rPr>
          <w:rFonts w:ascii="Open Sans" w:hAnsi="Open Sans" w:cs="Open Sans"/>
          <w:b/>
          <w:bCs/>
          <w:sz w:val="20"/>
          <w:szCs w:val="20"/>
        </w:rPr>
        <w:t>s</w:t>
      </w:r>
      <w:r w:rsidR="00A103BB" w:rsidRPr="00603614">
        <w:rPr>
          <w:rFonts w:ascii="Open Sans" w:hAnsi="Open Sans" w:cs="Open Sans"/>
          <w:b/>
          <w:bCs/>
          <w:sz w:val="20"/>
          <w:szCs w:val="20"/>
        </w:rPr>
        <w:t xml:space="preserve"> can be implemented</w:t>
      </w:r>
      <w:r w:rsidR="00A103BB" w:rsidRPr="001958FB">
        <w:rPr>
          <w:rFonts w:ascii="Open Sans" w:hAnsi="Open Sans" w:cs="Open Sans"/>
          <w:sz w:val="20"/>
          <w:szCs w:val="20"/>
        </w:rPr>
        <w:t xml:space="preserve"> </w:t>
      </w:r>
      <w:r w:rsidR="00A103BB" w:rsidRPr="00C67B02">
        <w:rPr>
          <w:rFonts w:ascii="Open Sans" w:hAnsi="Open Sans" w:cs="Open Sans"/>
          <w:b/>
          <w:bCs/>
          <w:sz w:val="20"/>
          <w:szCs w:val="20"/>
        </w:rPr>
        <w:t>as swift</w:t>
      </w:r>
      <w:r w:rsidR="00E45B36" w:rsidRPr="00C67B02">
        <w:rPr>
          <w:rFonts w:ascii="Open Sans" w:hAnsi="Open Sans" w:cs="Open Sans"/>
          <w:b/>
          <w:bCs/>
          <w:sz w:val="20"/>
          <w:szCs w:val="20"/>
        </w:rPr>
        <w:t>ly</w:t>
      </w:r>
      <w:r w:rsidR="00A103BB" w:rsidRPr="00C67B02">
        <w:rPr>
          <w:rFonts w:ascii="Open Sans" w:hAnsi="Open Sans" w:cs="Open Sans"/>
          <w:b/>
          <w:bCs/>
          <w:sz w:val="20"/>
          <w:szCs w:val="20"/>
        </w:rPr>
        <w:t xml:space="preserve"> as possible</w:t>
      </w:r>
      <w:r w:rsidR="00E45B36">
        <w:rPr>
          <w:rFonts w:ascii="Open Sans" w:hAnsi="Open Sans" w:cs="Open Sans"/>
          <w:sz w:val="20"/>
          <w:szCs w:val="20"/>
        </w:rPr>
        <w:t>,</w:t>
      </w:r>
      <w:r w:rsidR="00A103BB" w:rsidRPr="001958FB">
        <w:rPr>
          <w:rFonts w:ascii="Open Sans" w:hAnsi="Open Sans" w:cs="Open Sans"/>
          <w:sz w:val="20"/>
          <w:szCs w:val="20"/>
        </w:rPr>
        <w:t xml:space="preserve"> to avoid any further delays</w:t>
      </w:r>
      <w:r w:rsidR="00E45B36">
        <w:rPr>
          <w:rFonts w:ascii="Open Sans" w:hAnsi="Open Sans" w:cs="Open Sans"/>
          <w:sz w:val="20"/>
          <w:szCs w:val="20"/>
        </w:rPr>
        <w:t xml:space="preserve"> and ensure generators can </w:t>
      </w:r>
      <w:r w:rsidR="00C67B02">
        <w:rPr>
          <w:rFonts w:ascii="Open Sans" w:hAnsi="Open Sans" w:cs="Open Sans"/>
          <w:sz w:val="20"/>
          <w:szCs w:val="20"/>
        </w:rPr>
        <w:t>take the best economic</w:t>
      </w:r>
      <w:r w:rsidR="00303845">
        <w:rPr>
          <w:rFonts w:ascii="Open Sans" w:hAnsi="Open Sans" w:cs="Open Sans"/>
          <w:sz w:val="20"/>
          <w:szCs w:val="20"/>
        </w:rPr>
        <w:t xml:space="preserve">, </w:t>
      </w:r>
      <w:r w:rsidR="00C67B02">
        <w:rPr>
          <w:rFonts w:ascii="Open Sans" w:hAnsi="Open Sans" w:cs="Open Sans"/>
          <w:sz w:val="20"/>
          <w:szCs w:val="20"/>
        </w:rPr>
        <w:t xml:space="preserve">environmental </w:t>
      </w:r>
      <w:r w:rsidR="00303845">
        <w:rPr>
          <w:rFonts w:ascii="Open Sans" w:hAnsi="Open Sans" w:cs="Open Sans"/>
          <w:sz w:val="20"/>
          <w:szCs w:val="20"/>
        </w:rPr>
        <w:t xml:space="preserve">and safety </w:t>
      </w:r>
      <w:r w:rsidR="00C67B02">
        <w:rPr>
          <w:rFonts w:ascii="Open Sans" w:hAnsi="Open Sans" w:cs="Open Sans"/>
          <w:sz w:val="20"/>
          <w:szCs w:val="20"/>
        </w:rPr>
        <w:t xml:space="preserve">decision to replace their generating equipment when this comes to the end of its life, is </w:t>
      </w:r>
      <w:r w:rsidR="00B03E9B">
        <w:rPr>
          <w:rFonts w:ascii="Open Sans" w:hAnsi="Open Sans" w:cs="Open Sans"/>
          <w:sz w:val="20"/>
          <w:szCs w:val="20"/>
        </w:rPr>
        <w:t xml:space="preserve">irreparably </w:t>
      </w:r>
      <w:r w:rsidR="00C67B02">
        <w:rPr>
          <w:rFonts w:ascii="Open Sans" w:hAnsi="Open Sans" w:cs="Open Sans"/>
          <w:sz w:val="20"/>
          <w:szCs w:val="20"/>
        </w:rPr>
        <w:t xml:space="preserve">damaged or underperforming. </w:t>
      </w:r>
    </w:p>
    <w:p w14:paraId="6B37FFE7" w14:textId="6F3B67E6" w:rsidR="000A0A8E" w:rsidRPr="001958FB" w:rsidRDefault="00A103BB" w:rsidP="002754FA">
      <w:pPr>
        <w:spacing w:before="120" w:after="120" w:line="240" w:lineRule="auto"/>
        <w:rPr>
          <w:rFonts w:ascii="Open Sans" w:hAnsi="Open Sans" w:cs="Open Sans"/>
          <w:sz w:val="20"/>
          <w:szCs w:val="20"/>
        </w:rPr>
      </w:pPr>
      <w:r w:rsidRPr="001958FB">
        <w:rPr>
          <w:rFonts w:ascii="Open Sans" w:hAnsi="Open Sans" w:cs="Open Sans"/>
          <w:sz w:val="20"/>
          <w:szCs w:val="20"/>
        </w:rPr>
        <w:t>There</w:t>
      </w:r>
      <w:r w:rsidR="00FA0AFE" w:rsidRPr="001958FB">
        <w:rPr>
          <w:rFonts w:ascii="Open Sans" w:hAnsi="Open Sans" w:cs="Open Sans"/>
          <w:sz w:val="20"/>
          <w:szCs w:val="20"/>
        </w:rPr>
        <w:t xml:space="preserve"> are some points </w:t>
      </w:r>
      <w:r w:rsidRPr="001958FB">
        <w:rPr>
          <w:rFonts w:ascii="Open Sans" w:hAnsi="Open Sans" w:cs="Open Sans"/>
          <w:sz w:val="20"/>
          <w:szCs w:val="20"/>
        </w:rPr>
        <w:t xml:space="preserve">in the proposals </w:t>
      </w:r>
      <w:r w:rsidR="00FA0AFE" w:rsidRPr="001958FB">
        <w:rPr>
          <w:rFonts w:ascii="Open Sans" w:hAnsi="Open Sans" w:cs="Open Sans"/>
          <w:sz w:val="20"/>
          <w:szCs w:val="20"/>
        </w:rPr>
        <w:t xml:space="preserve">that require further clarity from Ofgem, all highlighted in our response to question 2. </w:t>
      </w:r>
    </w:p>
    <w:p w14:paraId="57C9A215" w14:textId="5E69DAE9" w:rsidR="00C52B7D" w:rsidRPr="00DE1741" w:rsidRDefault="00A103BB" w:rsidP="002754FA">
      <w:pPr>
        <w:spacing w:before="120" w:after="120" w:line="240" w:lineRule="auto"/>
        <w:rPr>
          <w:rFonts w:ascii="Open Sans" w:hAnsi="Open Sans" w:cs="Open Sans"/>
          <w:sz w:val="20"/>
          <w:szCs w:val="20"/>
        </w:rPr>
      </w:pPr>
      <w:r w:rsidRPr="001958FB">
        <w:rPr>
          <w:rFonts w:ascii="Open Sans" w:hAnsi="Open Sans" w:cs="Open Sans"/>
          <w:sz w:val="20"/>
          <w:szCs w:val="20"/>
        </w:rPr>
        <w:t>Our</w:t>
      </w:r>
      <w:r w:rsidR="000A0A8E" w:rsidRPr="001958FB">
        <w:rPr>
          <w:rFonts w:ascii="Open Sans" w:hAnsi="Open Sans" w:cs="Open Sans"/>
          <w:sz w:val="20"/>
          <w:szCs w:val="20"/>
        </w:rPr>
        <w:t xml:space="preserve"> understanding is that, s</w:t>
      </w:r>
      <w:r w:rsidR="00C52B7D" w:rsidRPr="001958FB">
        <w:rPr>
          <w:rFonts w:ascii="Open Sans" w:hAnsi="Open Sans" w:cs="Open Sans"/>
          <w:sz w:val="20"/>
          <w:szCs w:val="20"/>
        </w:rPr>
        <w:t xml:space="preserve">o long as there is no increase in capacity, generating equipment with a working life which is shorter than the </w:t>
      </w:r>
      <w:r w:rsidRPr="001958FB">
        <w:rPr>
          <w:rFonts w:ascii="Open Sans" w:hAnsi="Open Sans" w:cs="Open Sans"/>
          <w:sz w:val="20"/>
          <w:szCs w:val="20"/>
        </w:rPr>
        <w:t>tariff payment period (</w:t>
      </w:r>
      <w:proofErr w:type="spellStart"/>
      <w:proofErr w:type="gramStart"/>
      <w:r w:rsidRPr="001958FB">
        <w:rPr>
          <w:rFonts w:ascii="Open Sans" w:hAnsi="Open Sans" w:cs="Open Sans"/>
          <w:sz w:val="20"/>
          <w:szCs w:val="20"/>
        </w:rPr>
        <w:t>ie</w:t>
      </w:r>
      <w:proofErr w:type="spellEnd"/>
      <w:proofErr w:type="gramEnd"/>
      <w:r w:rsidRPr="001958FB">
        <w:rPr>
          <w:rFonts w:ascii="Open Sans" w:hAnsi="Open Sans" w:cs="Open Sans"/>
          <w:sz w:val="20"/>
          <w:szCs w:val="20"/>
        </w:rPr>
        <w:t xml:space="preserve"> 20 years) will</w:t>
      </w:r>
      <w:r w:rsidR="00C52B7D" w:rsidRPr="001958FB">
        <w:rPr>
          <w:rFonts w:ascii="Open Sans" w:hAnsi="Open Sans" w:cs="Open Sans"/>
          <w:sz w:val="20"/>
          <w:szCs w:val="20"/>
        </w:rPr>
        <w:t xml:space="preserve"> be able to be replaced in accordance with the manufacturer’s recommendation without any risk to the tariff that </w:t>
      </w:r>
      <w:r w:rsidR="00B03E9B">
        <w:rPr>
          <w:rFonts w:ascii="Open Sans" w:hAnsi="Open Sans" w:cs="Open Sans"/>
          <w:sz w:val="20"/>
          <w:szCs w:val="20"/>
        </w:rPr>
        <w:t>generators</w:t>
      </w:r>
      <w:r w:rsidR="00C52B7D" w:rsidRPr="001958FB">
        <w:rPr>
          <w:rFonts w:ascii="Open Sans" w:hAnsi="Open Sans" w:cs="Open Sans"/>
          <w:sz w:val="20"/>
          <w:szCs w:val="20"/>
        </w:rPr>
        <w:t xml:space="preserve"> receive.</w:t>
      </w:r>
      <w:r w:rsidR="00DE1741">
        <w:rPr>
          <w:rFonts w:ascii="Open Sans" w:hAnsi="Open Sans" w:cs="Open Sans"/>
          <w:sz w:val="20"/>
          <w:szCs w:val="20"/>
        </w:rPr>
        <w:t xml:space="preserve"> </w:t>
      </w:r>
      <w:r w:rsidR="009D3DD3">
        <w:rPr>
          <w:rFonts w:ascii="Open Sans" w:hAnsi="Open Sans" w:cs="Open Sans"/>
          <w:sz w:val="20"/>
          <w:szCs w:val="20"/>
        </w:rPr>
        <w:t xml:space="preserve">If </w:t>
      </w:r>
      <w:r w:rsidR="00DE1741" w:rsidRPr="009D3DD3">
        <w:rPr>
          <w:rFonts w:ascii="Open Sans" w:hAnsi="Open Sans" w:cs="Open Sans"/>
          <w:sz w:val="20"/>
          <w:szCs w:val="20"/>
        </w:rPr>
        <w:t xml:space="preserve">this understanding is correct, </w:t>
      </w:r>
      <w:r w:rsidR="009D3DD3">
        <w:rPr>
          <w:rFonts w:ascii="Open Sans" w:hAnsi="Open Sans" w:cs="Open Sans"/>
          <w:sz w:val="20"/>
          <w:szCs w:val="20"/>
        </w:rPr>
        <w:t>we urge</w:t>
      </w:r>
      <w:r w:rsidR="00DE1741" w:rsidRPr="009D3DD3">
        <w:rPr>
          <w:rFonts w:ascii="Open Sans" w:hAnsi="Open Sans" w:cs="Open Sans"/>
          <w:sz w:val="20"/>
          <w:szCs w:val="20"/>
        </w:rPr>
        <w:t xml:space="preserve"> </w:t>
      </w:r>
      <w:r w:rsidR="009D3DD3">
        <w:rPr>
          <w:rFonts w:ascii="Open Sans" w:hAnsi="Open Sans" w:cs="Open Sans"/>
          <w:sz w:val="20"/>
          <w:szCs w:val="20"/>
        </w:rPr>
        <w:t>Ofgem to include</w:t>
      </w:r>
      <w:r w:rsidR="00DE1741" w:rsidRPr="009D3DD3">
        <w:rPr>
          <w:rFonts w:ascii="Open Sans" w:hAnsi="Open Sans" w:cs="Open Sans"/>
          <w:sz w:val="20"/>
          <w:szCs w:val="20"/>
        </w:rPr>
        <w:t xml:space="preserve"> to include such a </w:t>
      </w:r>
      <w:r w:rsidR="009D3DD3">
        <w:rPr>
          <w:rFonts w:ascii="Open Sans" w:hAnsi="Open Sans" w:cs="Open Sans"/>
          <w:sz w:val="20"/>
          <w:szCs w:val="20"/>
        </w:rPr>
        <w:t xml:space="preserve">clear </w:t>
      </w:r>
      <w:r w:rsidR="00DE1741" w:rsidRPr="009D3DD3">
        <w:rPr>
          <w:rFonts w:ascii="Open Sans" w:hAnsi="Open Sans" w:cs="Open Sans"/>
          <w:sz w:val="20"/>
          <w:szCs w:val="20"/>
        </w:rPr>
        <w:t>policy statement in the response</w:t>
      </w:r>
      <w:r w:rsidR="009D3DD3">
        <w:rPr>
          <w:rFonts w:ascii="Open Sans" w:hAnsi="Open Sans" w:cs="Open Sans"/>
          <w:sz w:val="20"/>
          <w:szCs w:val="20"/>
        </w:rPr>
        <w:t xml:space="preserve"> and </w:t>
      </w:r>
      <w:r w:rsidR="00DE1741" w:rsidRPr="009D3DD3">
        <w:rPr>
          <w:rFonts w:ascii="Open Sans" w:hAnsi="Open Sans" w:cs="Open Sans"/>
          <w:sz w:val="20"/>
          <w:szCs w:val="20"/>
        </w:rPr>
        <w:t>updated guidance.</w:t>
      </w:r>
    </w:p>
    <w:p w14:paraId="7BA9549C" w14:textId="462B30F0" w:rsidR="00C52B7D" w:rsidRPr="001958FB" w:rsidRDefault="00A103BB" w:rsidP="002754FA">
      <w:pPr>
        <w:spacing w:before="120" w:after="120" w:line="240" w:lineRule="auto"/>
        <w:rPr>
          <w:rFonts w:ascii="Open Sans" w:hAnsi="Open Sans" w:cs="Open Sans"/>
          <w:sz w:val="20"/>
          <w:szCs w:val="20"/>
        </w:rPr>
      </w:pPr>
      <w:r w:rsidRPr="001958FB">
        <w:rPr>
          <w:rFonts w:ascii="Open Sans" w:hAnsi="Open Sans" w:cs="Open Sans"/>
          <w:sz w:val="20"/>
          <w:szCs w:val="20"/>
        </w:rPr>
        <w:t>In the case of biogas generators</w:t>
      </w:r>
      <w:r w:rsidR="00B03E9B">
        <w:rPr>
          <w:rFonts w:ascii="Open Sans" w:hAnsi="Open Sans" w:cs="Open Sans"/>
          <w:sz w:val="20"/>
          <w:szCs w:val="20"/>
        </w:rPr>
        <w:t xml:space="preserve"> in particular</w:t>
      </w:r>
      <w:r w:rsidRPr="001958FB">
        <w:rPr>
          <w:rFonts w:ascii="Open Sans" w:hAnsi="Open Sans" w:cs="Open Sans"/>
          <w:sz w:val="20"/>
          <w:szCs w:val="20"/>
        </w:rPr>
        <w:t>, t</w:t>
      </w:r>
      <w:r w:rsidR="00C52B7D" w:rsidRPr="001958FB">
        <w:rPr>
          <w:rFonts w:ascii="Open Sans" w:hAnsi="Open Sans" w:cs="Open Sans"/>
          <w:sz w:val="20"/>
          <w:szCs w:val="20"/>
        </w:rPr>
        <w:t>his clarification would remove the concern and confusion that is currently faced by operators with engines that have either been irreparably damaged, or which have reach</w:t>
      </w:r>
      <w:r w:rsidR="000A0A8E" w:rsidRPr="001958FB">
        <w:rPr>
          <w:rFonts w:ascii="Open Sans" w:hAnsi="Open Sans" w:cs="Open Sans"/>
          <w:sz w:val="20"/>
          <w:szCs w:val="20"/>
        </w:rPr>
        <w:t>ed</w:t>
      </w:r>
      <w:r w:rsidR="00C52B7D" w:rsidRPr="001958FB">
        <w:rPr>
          <w:rFonts w:ascii="Open Sans" w:hAnsi="Open Sans" w:cs="Open Sans"/>
          <w:sz w:val="20"/>
          <w:szCs w:val="20"/>
        </w:rPr>
        <w:t xml:space="preserve"> the end of their economic life, or where </w:t>
      </w:r>
      <w:r w:rsidR="000A0A8E" w:rsidRPr="001958FB">
        <w:rPr>
          <w:rFonts w:ascii="Open Sans" w:hAnsi="Open Sans" w:cs="Open Sans"/>
          <w:sz w:val="20"/>
          <w:szCs w:val="20"/>
        </w:rPr>
        <w:t xml:space="preserve">a whole </w:t>
      </w:r>
      <w:r w:rsidR="00C52B7D" w:rsidRPr="001958FB">
        <w:rPr>
          <w:rFonts w:ascii="Open Sans" w:hAnsi="Open Sans" w:cs="Open Sans"/>
          <w:sz w:val="20"/>
          <w:szCs w:val="20"/>
        </w:rPr>
        <w:t>replacement is the best economic option to reduce downtime at a significant overhaul (</w:t>
      </w:r>
      <w:proofErr w:type="gramStart"/>
      <w:r w:rsidR="00C52B7D" w:rsidRPr="001958FB">
        <w:rPr>
          <w:rFonts w:ascii="Open Sans" w:hAnsi="Open Sans" w:cs="Open Sans"/>
          <w:sz w:val="20"/>
          <w:szCs w:val="20"/>
        </w:rPr>
        <w:t>e.g.</w:t>
      </w:r>
      <w:proofErr w:type="gramEnd"/>
      <w:r w:rsidR="00C52B7D" w:rsidRPr="001958FB">
        <w:rPr>
          <w:rFonts w:ascii="Open Sans" w:hAnsi="Open Sans" w:cs="Open Sans"/>
          <w:sz w:val="20"/>
          <w:szCs w:val="20"/>
        </w:rPr>
        <w:t xml:space="preserve"> at 60,000 hours).</w:t>
      </w:r>
    </w:p>
    <w:p w14:paraId="0F5820C2" w14:textId="419DE3F5" w:rsidR="003F3E27" w:rsidRPr="001958FB" w:rsidRDefault="008910A6" w:rsidP="002754FA">
      <w:pPr>
        <w:spacing w:before="120" w:after="120" w:line="240" w:lineRule="auto"/>
        <w:rPr>
          <w:rFonts w:ascii="Open Sans" w:hAnsi="Open Sans" w:cs="Open Sans"/>
          <w:sz w:val="20"/>
          <w:szCs w:val="20"/>
        </w:rPr>
      </w:pPr>
      <w:r w:rsidRPr="001958FB">
        <w:rPr>
          <w:rFonts w:ascii="Open Sans" w:hAnsi="Open Sans" w:cs="Open Sans"/>
          <w:sz w:val="20"/>
          <w:szCs w:val="20"/>
        </w:rPr>
        <w:t xml:space="preserve">The change in Ofgem’s interpretation of the rules, as opposed to a change in the regulations, will also mean that the decision can hopefully be implemented in a timely manner. </w:t>
      </w:r>
    </w:p>
    <w:p w14:paraId="22E64A0C" w14:textId="1DFFFC8E" w:rsidR="00EE099B" w:rsidRPr="001958FB" w:rsidRDefault="004A70B3" w:rsidP="002754FA">
      <w:pPr>
        <w:spacing w:before="120" w:after="120" w:line="240" w:lineRule="auto"/>
        <w:rPr>
          <w:rFonts w:ascii="Open Sans" w:hAnsi="Open Sans" w:cs="Open Sans"/>
          <w:sz w:val="20"/>
          <w:szCs w:val="20"/>
        </w:rPr>
      </w:pPr>
      <w:r w:rsidRPr="001958FB">
        <w:rPr>
          <w:rFonts w:ascii="Open Sans" w:hAnsi="Open Sans" w:cs="Open Sans"/>
          <w:sz w:val="20"/>
          <w:szCs w:val="20"/>
        </w:rPr>
        <w:t xml:space="preserve">We welcome Ofgem’s </w:t>
      </w:r>
      <w:r w:rsidRPr="00C37BFA">
        <w:rPr>
          <w:rFonts w:ascii="Open Sans" w:hAnsi="Open Sans" w:cs="Open Sans"/>
          <w:b/>
          <w:bCs/>
          <w:sz w:val="20"/>
          <w:szCs w:val="20"/>
        </w:rPr>
        <w:t>clarification as soon as possible on</w:t>
      </w:r>
      <w:r w:rsidRPr="001958FB">
        <w:rPr>
          <w:rFonts w:ascii="Open Sans" w:hAnsi="Open Sans" w:cs="Open Sans"/>
          <w:sz w:val="20"/>
          <w:szCs w:val="20"/>
        </w:rPr>
        <w:t xml:space="preserve"> </w:t>
      </w:r>
      <w:r w:rsidRPr="00C37BFA">
        <w:rPr>
          <w:rFonts w:ascii="Open Sans" w:hAnsi="Open Sans" w:cs="Open Sans"/>
          <w:b/>
          <w:bCs/>
          <w:sz w:val="20"/>
          <w:szCs w:val="20"/>
        </w:rPr>
        <w:t>when the response will be published</w:t>
      </w:r>
      <w:r w:rsidRPr="001958FB">
        <w:rPr>
          <w:rFonts w:ascii="Open Sans" w:hAnsi="Open Sans" w:cs="Open Sans"/>
          <w:sz w:val="20"/>
          <w:szCs w:val="20"/>
        </w:rPr>
        <w:t xml:space="preserve"> </w:t>
      </w:r>
      <w:r w:rsidRPr="00C37BFA">
        <w:rPr>
          <w:rFonts w:ascii="Open Sans" w:hAnsi="Open Sans" w:cs="Open Sans"/>
          <w:b/>
          <w:bCs/>
          <w:sz w:val="20"/>
          <w:szCs w:val="20"/>
        </w:rPr>
        <w:t>and implementation time</w:t>
      </w:r>
      <w:r w:rsidRPr="001958FB">
        <w:rPr>
          <w:rFonts w:ascii="Open Sans" w:hAnsi="Open Sans" w:cs="Open Sans"/>
          <w:sz w:val="20"/>
          <w:szCs w:val="20"/>
        </w:rPr>
        <w:t xml:space="preserve">, so that members that have upcoming engine </w:t>
      </w:r>
      <w:r w:rsidR="00C37BFA">
        <w:rPr>
          <w:rFonts w:ascii="Open Sans" w:hAnsi="Open Sans" w:cs="Open Sans"/>
          <w:sz w:val="20"/>
          <w:szCs w:val="20"/>
        </w:rPr>
        <w:t>overhauls</w:t>
      </w:r>
      <w:r w:rsidRPr="001958FB">
        <w:rPr>
          <w:rFonts w:ascii="Open Sans" w:hAnsi="Open Sans" w:cs="Open Sans"/>
          <w:sz w:val="20"/>
          <w:szCs w:val="20"/>
        </w:rPr>
        <w:t xml:space="preserve"> </w:t>
      </w:r>
      <w:r w:rsidR="00871B41">
        <w:rPr>
          <w:rFonts w:ascii="Open Sans" w:hAnsi="Open Sans" w:cs="Open Sans"/>
          <w:sz w:val="20"/>
          <w:szCs w:val="20"/>
        </w:rPr>
        <w:t xml:space="preserve">due </w:t>
      </w:r>
      <w:r w:rsidRPr="001958FB">
        <w:rPr>
          <w:rFonts w:ascii="Open Sans" w:hAnsi="Open Sans" w:cs="Open Sans"/>
          <w:sz w:val="20"/>
          <w:szCs w:val="20"/>
        </w:rPr>
        <w:t xml:space="preserve">can plan the best way forward. </w:t>
      </w:r>
      <w:r w:rsidR="00B03E9B">
        <w:rPr>
          <w:rFonts w:ascii="Open Sans" w:hAnsi="Open Sans" w:cs="Open Sans"/>
          <w:sz w:val="20"/>
          <w:szCs w:val="20"/>
        </w:rPr>
        <w:t>As highlighted to Ofgem previously, m</w:t>
      </w:r>
      <w:r w:rsidR="00EE099B">
        <w:rPr>
          <w:rFonts w:ascii="Open Sans" w:hAnsi="Open Sans" w:cs="Open Sans"/>
          <w:sz w:val="20"/>
          <w:szCs w:val="20"/>
        </w:rPr>
        <w:t xml:space="preserve">any AD plant </w:t>
      </w:r>
      <w:r w:rsidR="00EE099B" w:rsidRPr="001958FB">
        <w:rPr>
          <w:rFonts w:ascii="Open Sans" w:hAnsi="Open Sans" w:cs="Open Sans"/>
          <w:sz w:val="20"/>
          <w:szCs w:val="20"/>
        </w:rPr>
        <w:t xml:space="preserve">engines are reaching a stage where significant replacement of parts </w:t>
      </w:r>
      <w:r w:rsidR="00C37BFA">
        <w:rPr>
          <w:rFonts w:ascii="Open Sans" w:hAnsi="Open Sans" w:cs="Open Sans"/>
          <w:sz w:val="20"/>
          <w:szCs w:val="20"/>
        </w:rPr>
        <w:t xml:space="preserve">of the engines </w:t>
      </w:r>
      <w:r w:rsidR="00EE099B" w:rsidRPr="001958FB">
        <w:rPr>
          <w:rFonts w:ascii="Open Sans" w:hAnsi="Open Sans" w:cs="Open Sans"/>
          <w:sz w:val="20"/>
          <w:szCs w:val="20"/>
        </w:rPr>
        <w:t xml:space="preserve">are required. </w:t>
      </w:r>
    </w:p>
    <w:p w14:paraId="2B2F62CC" w14:textId="1D3D652B" w:rsidR="00CF6146" w:rsidRPr="001958FB" w:rsidRDefault="00CF6146" w:rsidP="002754FA">
      <w:pPr>
        <w:spacing w:before="120" w:after="120" w:line="240" w:lineRule="auto"/>
        <w:rPr>
          <w:rFonts w:ascii="Open Sans" w:hAnsi="Open Sans" w:cs="Open Sans"/>
          <w:b/>
          <w:bCs/>
          <w:color w:val="2F5496"/>
          <w:sz w:val="20"/>
          <w:szCs w:val="20"/>
        </w:rPr>
      </w:pPr>
      <w:r w:rsidRPr="001958FB">
        <w:rPr>
          <w:rFonts w:ascii="Open Sans" w:hAnsi="Open Sans" w:cs="Open Sans"/>
          <w:b/>
          <w:bCs/>
          <w:color w:val="2F5496"/>
          <w:sz w:val="20"/>
          <w:szCs w:val="20"/>
        </w:rPr>
        <w:t xml:space="preserve">Question 2: Are there any other considerations that Ofgem should take account of </w:t>
      </w:r>
      <w:proofErr w:type="gramStart"/>
      <w:r w:rsidRPr="001958FB">
        <w:rPr>
          <w:rFonts w:ascii="Open Sans" w:hAnsi="Open Sans" w:cs="Open Sans"/>
          <w:b/>
          <w:bCs/>
          <w:color w:val="2F5496"/>
          <w:sz w:val="20"/>
          <w:szCs w:val="20"/>
        </w:rPr>
        <w:t>in order to</w:t>
      </w:r>
      <w:proofErr w:type="gramEnd"/>
      <w:r w:rsidRPr="001958FB">
        <w:rPr>
          <w:rFonts w:ascii="Open Sans" w:hAnsi="Open Sans" w:cs="Open Sans"/>
          <w:b/>
          <w:bCs/>
          <w:color w:val="2F5496"/>
          <w:sz w:val="20"/>
          <w:szCs w:val="20"/>
        </w:rPr>
        <w:t xml:space="preserve"> ensure the proposed approach effectively addresses the considerations detailed in Appendix 1, and continues to protect the public purse?</w:t>
      </w:r>
    </w:p>
    <w:p w14:paraId="53CEC2E8" w14:textId="66F7A27C" w:rsidR="00B03E9B" w:rsidRPr="00B03E9B" w:rsidRDefault="00B03E9B" w:rsidP="002754FA">
      <w:pPr>
        <w:spacing w:before="120" w:after="120" w:line="240" w:lineRule="auto"/>
        <w:rPr>
          <w:rFonts w:ascii="Open Sans" w:hAnsi="Open Sans" w:cs="Open Sans"/>
          <w:sz w:val="20"/>
          <w:szCs w:val="20"/>
        </w:rPr>
      </w:pPr>
      <w:r w:rsidRPr="00B03E9B">
        <w:rPr>
          <w:rFonts w:ascii="Open Sans" w:hAnsi="Open Sans" w:cs="Open Sans"/>
          <w:sz w:val="20"/>
          <w:szCs w:val="20"/>
        </w:rPr>
        <w:t xml:space="preserve">We have highlighted below some important points that need </w:t>
      </w:r>
      <w:r>
        <w:rPr>
          <w:rFonts w:ascii="Open Sans" w:hAnsi="Open Sans" w:cs="Open Sans"/>
          <w:sz w:val="20"/>
          <w:szCs w:val="20"/>
        </w:rPr>
        <w:t xml:space="preserve">clarification from Ofgem. </w:t>
      </w:r>
    </w:p>
    <w:p w14:paraId="2986E3CF" w14:textId="40D20320" w:rsidR="001958FB" w:rsidRPr="001958FB" w:rsidRDefault="001958FB" w:rsidP="002754FA">
      <w:pPr>
        <w:spacing w:before="120" w:after="120" w:line="240" w:lineRule="auto"/>
        <w:rPr>
          <w:rFonts w:ascii="Open Sans" w:hAnsi="Open Sans" w:cs="Open Sans"/>
          <w:b/>
          <w:bCs/>
          <w:sz w:val="20"/>
          <w:szCs w:val="20"/>
        </w:rPr>
      </w:pPr>
      <w:r>
        <w:rPr>
          <w:rFonts w:ascii="Open Sans" w:hAnsi="Open Sans" w:cs="Open Sans"/>
          <w:b/>
          <w:bCs/>
          <w:sz w:val="20"/>
          <w:szCs w:val="20"/>
        </w:rPr>
        <w:lastRenderedPageBreak/>
        <w:t>Unclear d</w:t>
      </w:r>
      <w:r w:rsidRPr="001958FB">
        <w:rPr>
          <w:rFonts w:ascii="Open Sans" w:hAnsi="Open Sans" w:cs="Open Sans"/>
          <w:b/>
          <w:bCs/>
          <w:sz w:val="20"/>
          <w:szCs w:val="20"/>
        </w:rPr>
        <w:t xml:space="preserve">istinction between installation and generating equipment </w:t>
      </w:r>
      <w:r>
        <w:rPr>
          <w:rFonts w:ascii="Open Sans" w:hAnsi="Open Sans" w:cs="Open Sans"/>
          <w:b/>
          <w:bCs/>
          <w:sz w:val="20"/>
          <w:szCs w:val="20"/>
        </w:rPr>
        <w:t>for AD plants</w:t>
      </w:r>
      <w:r w:rsidRPr="001958FB">
        <w:rPr>
          <w:rFonts w:ascii="Open Sans" w:hAnsi="Open Sans" w:cs="Open Sans"/>
          <w:b/>
          <w:bCs/>
          <w:sz w:val="20"/>
          <w:szCs w:val="20"/>
        </w:rPr>
        <w:t xml:space="preserve"> </w:t>
      </w:r>
    </w:p>
    <w:p w14:paraId="52090E91" w14:textId="3CAD24A2" w:rsidR="001958FB" w:rsidRPr="001958FB" w:rsidRDefault="001958FB" w:rsidP="002754FA">
      <w:pPr>
        <w:spacing w:before="120" w:after="120" w:line="240" w:lineRule="auto"/>
        <w:rPr>
          <w:rFonts w:ascii="Open Sans" w:hAnsi="Open Sans" w:cs="Open Sans"/>
          <w:sz w:val="20"/>
          <w:szCs w:val="20"/>
        </w:rPr>
      </w:pPr>
      <w:r w:rsidRPr="001958FB">
        <w:rPr>
          <w:rFonts w:ascii="Open Sans" w:hAnsi="Open Sans" w:cs="Open Sans"/>
          <w:sz w:val="20"/>
          <w:szCs w:val="20"/>
        </w:rPr>
        <w:t>We welcome the broadening of the definition of ‘eligible installation’ beyond just generating equipment, allowing for all parts of the installation up to the point of grid connection to be treated as accredited</w:t>
      </w:r>
      <w:r>
        <w:rPr>
          <w:rFonts w:ascii="Open Sans" w:hAnsi="Open Sans" w:cs="Open Sans"/>
          <w:sz w:val="20"/>
          <w:szCs w:val="20"/>
        </w:rPr>
        <w:t xml:space="preserve">. However, for AD plants it would be useful to </w:t>
      </w:r>
      <w:r w:rsidR="00303845">
        <w:rPr>
          <w:rFonts w:ascii="Open Sans" w:hAnsi="Open Sans" w:cs="Open Sans"/>
          <w:sz w:val="20"/>
          <w:szCs w:val="20"/>
        </w:rPr>
        <w:t>be clear on</w:t>
      </w:r>
      <w:r>
        <w:rPr>
          <w:rFonts w:ascii="Open Sans" w:hAnsi="Open Sans" w:cs="Open Sans"/>
          <w:sz w:val="20"/>
          <w:szCs w:val="20"/>
        </w:rPr>
        <w:t xml:space="preserve"> what Ofgem deem</w:t>
      </w:r>
      <w:r w:rsidR="00303845">
        <w:rPr>
          <w:rFonts w:ascii="Open Sans" w:hAnsi="Open Sans" w:cs="Open Sans"/>
          <w:sz w:val="20"/>
          <w:szCs w:val="20"/>
        </w:rPr>
        <w:t>s</w:t>
      </w:r>
      <w:r>
        <w:rPr>
          <w:rFonts w:ascii="Open Sans" w:hAnsi="Open Sans" w:cs="Open Sans"/>
          <w:sz w:val="20"/>
          <w:szCs w:val="20"/>
        </w:rPr>
        <w:t xml:space="preserve"> to be included in the ‘installation’ that is not part of the ‘generating equipment’. </w:t>
      </w:r>
    </w:p>
    <w:p w14:paraId="35657831" w14:textId="57180962" w:rsidR="001958FB" w:rsidRPr="001958FB" w:rsidRDefault="001958FB" w:rsidP="002754FA">
      <w:pPr>
        <w:spacing w:before="120" w:after="120" w:line="240" w:lineRule="auto"/>
        <w:rPr>
          <w:rFonts w:ascii="Open Sans" w:hAnsi="Open Sans" w:cs="Open Sans"/>
          <w:sz w:val="20"/>
          <w:szCs w:val="20"/>
        </w:rPr>
      </w:pPr>
      <w:r w:rsidRPr="001958FB">
        <w:rPr>
          <w:rFonts w:ascii="Open Sans" w:hAnsi="Open Sans" w:cs="Open Sans"/>
          <w:sz w:val="20"/>
          <w:szCs w:val="20"/>
        </w:rPr>
        <w:t>FIT scheme defines ‘eligible installation’ as any plant on site which is capable of small-scale low carbon generation</w:t>
      </w:r>
      <w:r>
        <w:rPr>
          <w:rFonts w:ascii="Open Sans" w:hAnsi="Open Sans" w:cs="Open Sans"/>
          <w:sz w:val="20"/>
          <w:szCs w:val="20"/>
        </w:rPr>
        <w:t xml:space="preserve">. </w:t>
      </w:r>
    </w:p>
    <w:p w14:paraId="337A796E" w14:textId="1F021011" w:rsidR="001958FB" w:rsidRDefault="001958FB" w:rsidP="002754FA">
      <w:pPr>
        <w:spacing w:before="120" w:after="120" w:line="240" w:lineRule="auto"/>
        <w:rPr>
          <w:rFonts w:ascii="Open Sans" w:hAnsi="Open Sans" w:cs="Open Sans"/>
          <w:sz w:val="20"/>
          <w:szCs w:val="20"/>
        </w:rPr>
      </w:pPr>
      <w:r w:rsidRPr="001958FB">
        <w:rPr>
          <w:rFonts w:ascii="Open Sans" w:hAnsi="Open Sans" w:cs="Open Sans"/>
          <w:sz w:val="20"/>
          <w:szCs w:val="20"/>
        </w:rPr>
        <w:t xml:space="preserve">So, there are parts of equipment and plant at an AD facility that are excluded from the ‘generating equipment’ definition. </w:t>
      </w:r>
      <w:r>
        <w:rPr>
          <w:rFonts w:ascii="Open Sans" w:hAnsi="Open Sans" w:cs="Open Sans"/>
          <w:sz w:val="20"/>
          <w:szCs w:val="20"/>
        </w:rPr>
        <w:t>We are unclear if</w:t>
      </w:r>
      <w:r w:rsidRPr="001958FB">
        <w:rPr>
          <w:rFonts w:ascii="Open Sans" w:hAnsi="Open Sans" w:cs="Open Sans"/>
          <w:sz w:val="20"/>
          <w:szCs w:val="20"/>
        </w:rPr>
        <w:t xml:space="preserve"> these parts / plant </w:t>
      </w:r>
      <w:r>
        <w:rPr>
          <w:rFonts w:ascii="Open Sans" w:hAnsi="Open Sans" w:cs="Open Sans"/>
          <w:sz w:val="20"/>
          <w:szCs w:val="20"/>
        </w:rPr>
        <w:t xml:space="preserve">also </w:t>
      </w:r>
      <w:r w:rsidRPr="001958FB">
        <w:rPr>
          <w:rFonts w:ascii="Open Sans" w:hAnsi="Open Sans" w:cs="Open Sans"/>
          <w:sz w:val="20"/>
          <w:szCs w:val="20"/>
        </w:rPr>
        <w:t xml:space="preserve">include the anaerobic digestion reactors/vessels, or </w:t>
      </w:r>
      <w:r>
        <w:rPr>
          <w:rFonts w:ascii="Open Sans" w:hAnsi="Open Sans" w:cs="Open Sans"/>
          <w:sz w:val="20"/>
          <w:szCs w:val="20"/>
        </w:rPr>
        <w:t xml:space="preserve">only include </w:t>
      </w:r>
      <w:r w:rsidRPr="001958FB">
        <w:rPr>
          <w:rFonts w:ascii="Open Sans" w:hAnsi="Open Sans" w:cs="Open Sans"/>
          <w:sz w:val="20"/>
          <w:szCs w:val="20"/>
        </w:rPr>
        <w:t>any further controls between the CHP engine and the electricity network</w:t>
      </w:r>
      <w:r>
        <w:rPr>
          <w:rFonts w:ascii="Open Sans" w:hAnsi="Open Sans" w:cs="Open Sans"/>
          <w:sz w:val="20"/>
          <w:szCs w:val="20"/>
        </w:rPr>
        <w:t xml:space="preserve">. We know from </w:t>
      </w:r>
      <w:r w:rsidRPr="001958FB">
        <w:rPr>
          <w:rFonts w:ascii="Open Sans" w:hAnsi="Open Sans" w:cs="Open Sans"/>
          <w:sz w:val="20"/>
          <w:szCs w:val="20"/>
        </w:rPr>
        <w:t xml:space="preserve">Ofgem </w:t>
      </w:r>
      <w:hyperlink r:id="rId8" w:history="1">
        <w:r w:rsidRPr="001958FB">
          <w:rPr>
            <w:rStyle w:val="Hyperlink"/>
            <w:rFonts w:ascii="Open Sans" w:hAnsi="Open Sans" w:cs="Open Sans"/>
            <w:sz w:val="20"/>
            <w:szCs w:val="20"/>
          </w:rPr>
          <w:t>decision</w:t>
        </w:r>
      </w:hyperlink>
      <w:r w:rsidRPr="001958FB">
        <w:rPr>
          <w:rFonts w:ascii="Open Sans" w:hAnsi="Open Sans" w:cs="Open Sans"/>
          <w:sz w:val="20"/>
          <w:szCs w:val="20"/>
        </w:rPr>
        <w:t xml:space="preserve"> on ‘generating equipment’</w:t>
      </w:r>
      <w:r>
        <w:rPr>
          <w:rFonts w:ascii="Open Sans" w:hAnsi="Open Sans" w:cs="Open Sans"/>
          <w:sz w:val="20"/>
          <w:szCs w:val="20"/>
        </w:rPr>
        <w:t xml:space="preserve"> that the following items are not included in the definition of generating </w:t>
      </w:r>
      <w:r w:rsidR="00F92210">
        <w:rPr>
          <w:rFonts w:ascii="Open Sans" w:hAnsi="Open Sans" w:cs="Open Sans"/>
          <w:sz w:val="20"/>
          <w:szCs w:val="20"/>
        </w:rPr>
        <w:t xml:space="preserve">equipment </w:t>
      </w:r>
      <w:r w:rsidR="00303845">
        <w:rPr>
          <w:rFonts w:ascii="Open Sans" w:hAnsi="Open Sans" w:cs="Open Sans"/>
          <w:sz w:val="20"/>
          <w:szCs w:val="20"/>
        </w:rPr>
        <w:t>and</w:t>
      </w:r>
      <w:r w:rsidR="00F92210">
        <w:rPr>
          <w:rFonts w:ascii="Open Sans" w:hAnsi="Open Sans" w:cs="Open Sans"/>
          <w:sz w:val="20"/>
          <w:szCs w:val="20"/>
        </w:rPr>
        <w:t xml:space="preserve"> presumably are part of the eligible installation: </w:t>
      </w:r>
    </w:p>
    <w:p w14:paraId="7EC5392A" w14:textId="4FEC3357" w:rsidR="001958FB" w:rsidRPr="001958FB" w:rsidRDefault="001958FB" w:rsidP="002754FA">
      <w:pPr>
        <w:pStyle w:val="ListParagraph"/>
        <w:numPr>
          <w:ilvl w:val="0"/>
          <w:numId w:val="39"/>
        </w:numPr>
        <w:spacing w:after="0" w:line="240" w:lineRule="auto"/>
        <w:ind w:left="714" w:hanging="357"/>
        <w:rPr>
          <w:rFonts w:ascii="Open Sans" w:eastAsia="Times New Roman" w:hAnsi="Open Sans" w:cs="Open Sans"/>
          <w:sz w:val="20"/>
          <w:szCs w:val="20"/>
        </w:rPr>
      </w:pPr>
      <w:r w:rsidRPr="001958FB">
        <w:rPr>
          <w:rFonts w:ascii="Open Sans" w:eastAsia="Times New Roman" w:hAnsi="Open Sans" w:cs="Open Sans"/>
          <w:sz w:val="20"/>
          <w:szCs w:val="20"/>
        </w:rPr>
        <w:t xml:space="preserve">Metering </w:t>
      </w:r>
    </w:p>
    <w:p w14:paraId="6F2EF9CA"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Wires </w:t>
      </w:r>
    </w:p>
    <w:p w14:paraId="7831AC32"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Distribution boards </w:t>
      </w:r>
    </w:p>
    <w:p w14:paraId="24A7F712"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Breakers and switches </w:t>
      </w:r>
    </w:p>
    <w:p w14:paraId="5ABE3F96"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Transformers </w:t>
      </w:r>
    </w:p>
    <w:p w14:paraId="4F9A335C"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Relays </w:t>
      </w:r>
    </w:p>
    <w:p w14:paraId="69B13067"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Grid connections </w:t>
      </w:r>
    </w:p>
    <w:p w14:paraId="4D9AD368"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Parasitic loads (</w:t>
      </w:r>
      <w:proofErr w:type="spellStart"/>
      <w:proofErr w:type="gramStart"/>
      <w:r w:rsidRPr="001958FB">
        <w:rPr>
          <w:rFonts w:ascii="Open Sans" w:eastAsia="Times New Roman" w:hAnsi="Open Sans" w:cs="Open Sans"/>
          <w:sz w:val="20"/>
          <w:szCs w:val="20"/>
        </w:rPr>
        <w:t>eg</w:t>
      </w:r>
      <w:proofErr w:type="spellEnd"/>
      <w:proofErr w:type="gramEnd"/>
      <w:r w:rsidRPr="001958FB">
        <w:rPr>
          <w:rFonts w:ascii="Open Sans" w:eastAsia="Times New Roman" w:hAnsi="Open Sans" w:cs="Open Sans"/>
          <w:sz w:val="20"/>
          <w:szCs w:val="20"/>
        </w:rPr>
        <w:t xml:space="preserve"> cooling fans and dehumidifiers) </w:t>
      </w:r>
    </w:p>
    <w:p w14:paraId="47AD1D83" w14:textId="77777777" w:rsidR="001958FB" w:rsidRPr="001958FB" w:rsidRDefault="001958FB" w:rsidP="002754FA">
      <w:pPr>
        <w:pStyle w:val="ListParagraph"/>
        <w:numPr>
          <w:ilvl w:val="0"/>
          <w:numId w:val="39"/>
        </w:numPr>
        <w:spacing w:after="0" w:line="240" w:lineRule="auto"/>
        <w:ind w:left="714" w:hanging="357"/>
        <w:contextualSpacing w:val="0"/>
        <w:rPr>
          <w:rFonts w:ascii="Open Sans" w:eastAsia="Times New Roman" w:hAnsi="Open Sans" w:cs="Open Sans"/>
          <w:sz w:val="20"/>
          <w:szCs w:val="20"/>
        </w:rPr>
      </w:pPr>
      <w:r w:rsidRPr="001958FB">
        <w:rPr>
          <w:rFonts w:ascii="Open Sans" w:eastAsia="Times New Roman" w:hAnsi="Open Sans" w:cs="Open Sans"/>
          <w:sz w:val="20"/>
          <w:szCs w:val="20"/>
        </w:rPr>
        <w:t xml:space="preserve">Batteries </w:t>
      </w:r>
    </w:p>
    <w:p w14:paraId="387C9C6E" w14:textId="3F1D8FA5" w:rsidR="00F92210" w:rsidRPr="00260EF7" w:rsidRDefault="001958FB" w:rsidP="002754FA">
      <w:pPr>
        <w:pStyle w:val="ListParagraph"/>
        <w:numPr>
          <w:ilvl w:val="0"/>
          <w:numId w:val="39"/>
        </w:numPr>
        <w:spacing w:after="0" w:line="240" w:lineRule="auto"/>
        <w:ind w:left="714" w:hanging="357"/>
        <w:contextualSpacing w:val="0"/>
        <w:rPr>
          <w:rFonts w:ascii="Open Sans" w:hAnsi="Open Sans" w:cs="Open Sans"/>
          <w:sz w:val="20"/>
          <w:szCs w:val="20"/>
        </w:rPr>
      </w:pPr>
      <w:r w:rsidRPr="00260EF7">
        <w:rPr>
          <w:rFonts w:ascii="Open Sans" w:eastAsia="Times New Roman" w:hAnsi="Open Sans" w:cs="Open Sans"/>
          <w:sz w:val="20"/>
          <w:szCs w:val="20"/>
        </w:rPr>
        <w:t>Rectifiers)</w:t>
      </w:r>
    </w:p>
    <w:p w14:paraId="3EB4B75C" w14:textId="78A04B7B" w:rsidR="001958FB" w:rsidRPr="001958FB" w:rsidRDefault="00F92210" w:rsidP="002754FA">
      <w:pPr>
        <w:spacing w:before="120" w:after="120" w:line="240" w:lineRule="auto"/>
        <w:rPr>
          <w:rFonts w:ascii="Open Sans" w:hAnsi="Open Sans" w:cs="Open Sans"/>
          <w:sz w:val="20"/>
          <w:szCs w:val="20"/>
        </w:rPr>
      </w:pPr>
      <w:r>
        <w:rPr>
          <w:rFonts w:ascii="Open Sans" w:hAnsi="Open Sans" w:cs="Open Sans"/>
          <w:sz w:val="20"/>
          <w:szCs w:val="20"/>
        </w:rPr>
        <w:t xml:space="preserve">Ofgem decision also states: </w:t>
      </w:r>
    </w:p>
    <w:p w14:paraId="35EB2574" w14:textId="77777777" w:rsidR="001958FB" w:rsidRPr="001958FB" w:rsidRDefault="001958FB" w:rsidP="002754FA">
      <w:pPr>
        <w:spacing w:before="120" w:after="120" w:line="240" w:lineRule="auto"/>
        <w:rPr>
          <w:rFonts w:ascii="Open Sans" w:hAnsi="Open Sans" w:cs="Open Sans"/>
          <w:i/>
          <w:iCs/>
          <w:sz w:val="20"/>
          <w:szCs w:val="20"/>
        </w:rPr>
      </w:pPr>
      <w:r w:rsidRPr="001958FB">
        <w:rPr>
          <w:rFonts w:ascii="Open Sans" w:hAnsi="Open Sans" w:cs="Open Sans"/>
          <w:i/>
          <w:iCs/>
          <w:sz w:val="20"/>
          <w:szCs w:val="20"/>
        </w:rPr>
        <w:t>1.3. We will interpret the “generating equipment” within an AD installation to be all equipment required to convert gas formed by the anaerobic digestion of material (which is neither sewage nor material in a landfill) into electricity.</w:t>
      </w:r>
    </w:p>
    <w:p w14:paraId="1908B599" w14:textId="0ACE7FA2" w:rsidR="001958FB" w:rsidRDefault="001958FB">
      <w:pPr>
        <w:spacing w:before="120" w:after="120" w:line="240" w:lineRule="auto"/>
        <w:rPr>
          <w:rFonts w:ascii="Open Sans" w:hAnsi="Open Sans" w:cs="Open Sans"/>
          <w:i/>
          <w:iCs/>
          <w:color w:val="FF0000"/>
          <w:sz w:val="20"/>
          <w:szCs w:val="20"/>
        </w:rPr>
      </w:pPr>
      <w:r w:rsidRPr="001958FB">
        <w:rPr>
          <w:rFonts w:ascii="Open Sans" w:hAnsi="Open Sans" w:cs="Open Sans"/>
          <w:i/>
          <w:iCs/>
          <w:sz w:val="20"/>
          <w:szCs w:val="20"/>
        </w:rPr>
        <w:t xml:space="preserve">1.4. We will view all engines, </w:t>
      </w:r>
      <w:proofErr w:type="gramStart"/>
      <w:r w:rsidRPr="001958FB">
        <w:rPr>
          <w:rFonts w:ascii="Open Sans" w:hAnsi="Open Sans" w:cs="Open Sans"/>
          <w:i/>
          <w:iCs/>
          <w:sz w:val="20"/>
          <w:szCs w:val="20"/>
        </w:rPr>
        <w:t>turbines</w:t>
      </w:r>
      <w:proofErr w:type="gramEnd"/>
      <w:r w:rsidRPr="001958FB">
        <w:rPr>
          <w:rFonts w:ascii="Open Sans" w:hAnsi="Open Sans" w:cs="Open Sans"/>
          <w:i/>
          <w:iCs/>
          <w:sz w:val="20"/>
          <w:szCs w:val="20"/>
        </w:rPr>
        <w:t xml:space="preserve"> and alternators (or any part thereof) of an eligible installation to be generating equipment. </w:t>
      </w:r>
      <w:r w:rsidRPr="00F92210">
        <w:rPr>
          <w:rFonts w:ascii="Open Sans" w:hAnsi="Open Sans" w:cs="Open Sans"/>
          <w:i/>
          <w:iCs/>
          <w:color w:val="FF0000"/>
          <w:sz w:val="20"/>
          <w:szCs w:val="20"/>
        </w:rPr>
        <w:t>We will not consider any gas blowers, anaerobic digestion vessels, gas clean-up equipment and any associated pipe work to be generating equipment.</w:t>
      </w:r>
    </w:p>
    <w:p w14:paraId="7061495E" w14:textId="5A31C00D" w:rsidR="00674E9E" w:rsidRPr="002754FA" w:rsidRDefault="00674E9E" w:rsidP="002754FA">
      <w:pPr>
        <w:spacing w:before="120" w:after="120" w:line="240" w:lineRule="auto"/>
        <w:rPr>
          <w:rFonts w:ascii="Open Sans" w:hAnsi="Open Sans" w:cs="Open Sans"/>
          <w:sz w:val="20"/>
          <w:szCs w:val="20"/>
        </w:rPr>
      </w:pPr>
      <w:r w:rsidRPr="002754FA">
        <w:rPr>
          <w:rFonts w:ascii="Open Sans" w:hAnsi="Open Sans" w:cs="Open Sans"/>
          <w:sz w:val="20"/>
          <w:szCs w:val="20"/>
        </w:rPr>
        <w:t xml:space="preserve">Eligible Installation under Schedule A to Standard Condition 33 (Electricity Supply Licence) is </w:t>
      </w:r>
      <w:r w:rsidR="00E949A9">
        <w:rPr>
          <w:rFonts w:ascii="Open Sans" w:hAnsi="Open Sans" w:cs="Open Sans"/>
          <w:sz w:val="20"/>
          <w:szCs w:val="20"/>
        </w:rPr>
        <w:t xml:space="preserve">defined as </w:t>
      </w:r>
      <w:r w:rsidRPr="002754FA">
        <w:rPr>
          <w:rFonts w:ascii="Open Sans" w:hAnsi="Open Sans" w:cs="Open Sans"/>
          <w:sz w:val="20"/>
          <w:szCs w:val="20"/>
        </w:rPr>
        <w:t xml:space="preserve">“any Plant on a Site capable of Small-scale Low-Carbon Generation…” and the definition of Small-scale Low Carbon Generation is </w:t>
      </w:r>
      <w:r w:rsidR="00E949A9">
        <w:rPr>
          <w:rFonts w:ascii="Open Sans" w:hAnsi="Open Sans" w:cs="Open Sans"/>
          <w:sz w:val="20"/>
          <w:szCs w:val="20"/>
        </w:rPr>
        <w:t>as follows</w:t>
      </w:r>
      <w:r w:rsidRPr="002754FA">
        <w:rPr>
          <w:rFonts w:ascii="Open Sans" w:hAnsi="Open Sans" w:cs="Open Sans"/>
          <w:sz w:val="20"/>
          <w:szCs w:val="20"/>
        </w:rPr>
        <w:t>:</w:t>
      </w:r>
    </w:p>
    <w:p w14:paraId="5F4887DE" w14:textId="3FE51638" w:rsidR="00674E9E" w:rsidRPr="002754FA" w:rsidRDefault="00674E9E" w:rsidP="002754FA">
      <w:pPr>
        <w:spacing w:before="120" w:after="120" w:line="240" w:lineRule="auto"/>
        <w:rPr>
          <w:rFonts w:ascii="Open Sans" w:hAnsi="Open Sans" w:cs="Open Sans"/>
          <w:sz w:val="20"/>
          <w:szCs w:val="20"/>
        </w:rPr>
      </w:pPr>
      <w:r w:rsidRPr="002754FA">
        <w:rPr>
          <w:rFonts w:ascii="Open Sans" w:hAnsi="Open Sans" w:cs="Open Sans"/>
          <w:noProof/>
          <w:sz w:val="20"/>
          <w:szCs w:val="20"/>
        </w:rPr>
        <w:drawing>
          <wp:inline distT="0" distB="0" distL="0" distR="0" wp14:anchorId="275B2688" wp14:editId="70D00FCF">
            <wp:extent cx="3779520" cy="1333500"/>
            <wp:effectExtent l="0" t="0" r="114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779520" cy="1333500"/>
                    </a:xfrm>
                    <a:prstGeom prst="rect">
                      <a:avLst/>
                    </a:prstGeom>
                    <a:noFill/>
                    <a:ln>
                      <a:noFill/>
                    </a:ln>
                  </pic:spPr>
                </pic:pic>
              </a:graphicData>
            </a:graphic>
          </wp:inline>
        </w:drawing>
      </w:r>
    </w:p>
    <w:p w14:paraId="7C913F10" w14:textId="7F5F5BFA" w:rsidR="00674E9E" w:rsidRPr="002754FA" w:rsidRDefault="00674E9E" w:rsidP="002754FA">
      <w:pPr>
        <w:spacing w:before="120" w:after="120" w:line="240" w:lineRule="auto"/>
        <w:rPr>
          <w:rFonts w:ascii="Open Sans" w:hAnsi="Open Sans" w:cs="Open Sans"/>
          <w:sz w:val="20"/>
          <w:szCs w:val="20"/>
        </w:rPr>
      </w:pPr>
      <w:r w:rsidRPr="002754FA">
        <w:rPr>
          <w:rFonts w:ascii="Open Sans" w:hAnsi="Open Sans" w:cs="Open Sans"/>
          <w:sz w:val="20"/>
          <w:szCs w:val="20"/>
        </w:rPr>
        <w:t xml:space="preserve">And definition of Plant is </w:t>
      </w:r>
      <w:r w:rsidR="00E949A9">
        <w:rPr>
          <w:rFonts w:ascii="Open Sans" w:hAnsi="Open Sans" w:cs="Open Sans"/>
          <w:sz w:val="20"/>
          <w:szCs w:val="20"/>
        </w:rPr>
        <w:t>as follows</w:t>
      </w:r>
      <w:r w:rsidRPr="002754FA">
        <w:rPr>
          <w:rFonts w:ascii="Open Sans" w:hAnsi="Open Sans" w:cs="Open Sans"/>
          <w:sz w:val="20"/>
          <w:szCs w:val="20"/>
        </w:rPr>
        <w:t>:</w:t>
      </w:r>
    </w:p>
    <w:p w14:paraId="6B2D4CD5" w14:textId="30D72B15" w:rsidR="00674E9E" w:rsidRPr="002754FA" w:rsidRDefault="00674E9E" w:rsidP="002754FA">
      <w:pPr>
        <w:spacing w:before="120" w:after="120" w:line="240" w:lineRule="auto"/>
        <w:rPr>
          <w:rFonts w:ascii="Open Sans" w:hAnsi="Open Sans" w:cs="Open Sans"/>
          <w:sz w:val="20"/>
          <w:szCs w:val="20"/>
        </w:rPr>
      </w:pPr>
      <w:r w:rsidRPr="002754FA">
        <w:rPr>
          <w:rFonts w:ascii="Open Sans" w:hAnsi="Open Sans" w:cs="Open Sans"/>
          <w:noProof/>
          <w:sz w:val="20"/>
          <w:szCs w:val="20"/>
        </w:rPr>
        <w:drawing>
          <wp:inline distT="0" distB="0" distL="0" distR="0" wp14:anchorId="6EE20832" wp14:editId="06C2E27B">
            <wp:extent cx="3581400" cy="23622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581400" cy="236220"/>
                    </a:xfrm>
                    <a:prstGeom prst="rect">
                      <a:avLst/>
                    </a:prstGeom>
                    <a:noFill/>
                    <a:ln>
                      <a:noFill/>
                    </a:ln>
                  </pic:spPr>
                </pic:pic>
              </a:graphicData>
            </a:graphic>
          </wp:inline>
        </w:drawing>
      </w:r>
    </w:p>
    <w:p w14:paraId="4CE674F7" w14:textId="6816F02B" w:rsidR="00674E9E" w:rsidRPr="002754FA" w:rsidRDefault="00E949A9" w:rsidP="002754FA">
      <w:pPr>
        <w:spacing w:before="120" w:after="120" w:line="240" w:lineRule="auto"/>
        <w:rPr>
          <w:rFonts w:ascii="Open Sans" w:hAnsi="Open Sans" w:cs="Open Sans"/>
          <w:sz w:val="20"/>
          <w:szCs w:val="20"/>
        </w:rPr>
      </w:pPr>
      <w:r>
        <w:rPr>
          <w:rFonts w:ascii="Open Sans" w:hAnsi="Open Sans" w:cs="Open Sans"/>
          <w:sz w:val="20"/>
          <w:szCs w:val="20"/>
        </w:rPr>
        <w:t>Again,</w:t>
      </w:r>
      <w:r w:rsidR="00674E9E">
        <w:rPr>
          <w:rFonts w:ascii="Open Sans" w:hAnsi="Open Sans" w:cs="Open Sans"/>
          <w:sz w:val="20"/>
          <w:szCs w:val="20"/>
        </w:rPr>
        <w:t xml:space="preserve"> </w:t>
      </w:r>
      <w:r>
        <w:rPr>
          <w:rFonts w:ascii="Open Sans" w:hAnsi="Open Sans" w:cs="Open Sans"/>
          <w:sz w:val="20"/>
          <w:szCs w:val="20"/>
        </w:rPr>
        <w:t xml:space="preserve">all </w:t>
      </w:r>
      <w:r w:rsidR="00674E9E">
        <w:rPr>
          <w:rFonts w:ascii="Open Sans" w:hAnsi="Open Sans" w:cs="Open Sans"/>
          <w:sz w:val="20"/>
          <w:szCs w:val="20"/>
        </w:rPr>
        <w:t xml:space="preserve">the above doesn’t make it clear on what exactly is regarded as the eligible installation in the case of a biogas generator. </w:t>
      </w:r>
      <w:r>
        <w:rPr>
          <w:rFonts w:ascii="Open Sans" w:hAnsi="Open Sans" w:cs="Open Sans"/>
          <w:sz w:val="20"/>
          <w:szCs w:val="20"/>
        </w:rPr>
        <w:t xml:space="preserve">If digester vessels were included in this interpretation </w:t>
      </w:r>
      <w:proofErr w:type="spellStart"/>
      <w:proofErr w:type="gramStart"/>
      <w:r>
        <w:rPr>
          <w:rFonts w:ascii="Open Sans" w:hAnsi="Open Sans" w:cs="Open Sans"/>
          <w:sz w:val="20"/>
          <w:szCs w:val="20"/>
        </w:rPr>
        <w:t>ie</w:t>
      </w:r>
      <w:proofErr w:type="spellEnd"/>
      <w:proofErr w:type="gramEnd"/>
      <w:r>
        <w:rPr>
          <w:rFonts w:ascii="Open Sans" w:hAnsi="Open Sans" w:cs="Open Sans"/>
          <w:sz w:val="20"/>
          <w:szCs w:val="20"/>
        </w:rPr>
        <w:t xml:space="preserve"> seen as </w:t>
      </w:r>
      <w:r>
        <w:rPr>
          <w:rFonts w:ascii="Open Sans" w:hAnsi="Open Sans" w:cs="Open Sans"/>
          <w:sz w:val="20"/>
          <w:szCs w:val="20"/>
        </w:rPr>
        <w:lastRenderedPageBreak/>
        <w:t xml:space="preserve">part of the plant capable of small scale Low Carbon Generation – which we think they should -, then this would help generators that had a fire or other catastrophic event destroying all their generating equipment not to lose their accreditation. </w:t>
      </w:r>
    </w:p>
    <w:p w14:paraId="6181A32B" w14:textId="7AF035D2" w:rsidR="00303845" w:rsidRDefault="00303845" w:rsidP="002754FA">
      <w:pPr>
        <w:spacing w:before="120" w:after="120" w:line="240" w:lineRule="auto"/>
        <w:rPr>
          <w:rFonts w:ascii="Open Sans" w:hAnsi="Open Sans" w:cs="Open Sans"/>
          <w:sz w:val="20"/>
          <w:szCs w:val="20"/>
        </w:rPr>
      </w:pPr>
      <w:r>
        <w:rPr>
          <w:rFonts w:ascii="Open Sans" w:hAnsi="Open Sans" w:cs="Open Sans"/>
          <w:sz w:val="20"/>
          <w:szCs w:val="20"/>
        </w:rPr>
        <w:t xml:space="preserve">Since under the new interpretation Ofgem states accreditation would still end if the whole installation </w:t>
      </w:r>
      <w:proofErr w:type="gramStart"/>
      <w:r>
        <w:rPr>
          <w:rFonts w:ascii="Open Sans" w:hAnsi="Open Sans" w:cs="Open Sans"/>
          <w:sz w:val="20"/>
          <w:szCs w:val="20"/>
        </w:rPr>
        <w:t>is</w:t>
      </w:r>
      <w:proofErr w:type="gramEnd"/>
      <w:r>
        <w:rPr>
          <w:rFonts w:ascii="Open Sans" w:hAnsi="Open Sans" w:cs="Open Sans"/>
          <w:sz w:val="20"/>
          <w:szCs w:val="20"/>
        </w:rPr>
        <w:t xml:space="preserve"> </w:t>
      </w:r>
      <w:r w:rsidR="0022265C">
        <w:rPr>
          <w:rFonts w:ascii="Open Sans" w:hAnsi="Open Sans" w:cs="Open Sans"/>
          <w:sz w:val="20"/>
          <w:szCs w:val="20"/>
        </w:rPr>
        <w:t xml:space="preserve">replaced in its entirety or destroyed, it is absolutely critical for industry to be clear about what constitutes the installation. </w:t>
      </w:r>
    </w:p>
    <w:p w14:paraId="0FF44071" w14:textId="3E54A0D1" w:rsidR="00ED2919" w:rsidRPr="000377D3" w:rsidRDefault="00ED2919" w:rsidP="00ED2919">
      <w:pPr>
        <w:spacing w:before="120" w:after="120" w:line="240" w:lineRule="auto"/>
        <w:rPr>
          <w:rFonts w:ascii="Open Sans" w:hAnsi="Open Sans" w:cs="Open Sans"/>
          <w:sz w:val="20"/>
          <w:szCs w:val="20"/>
        </w:rPr>
      </w:pPr>
      <w:r w:rsidRPr="000377D3">
        <w:rPr>
          <w:rFonts w:ascii="Open Sans" w:hAnsi="Open Sans" w:cs="Open Sans"/>
          <w:sz w:val="20"/>
          <w:szCs w:val="20"/>
        </w:rPr>
        <w:t xml:space="preserve">In general, for all technologies, Ofgem have said that the repair or replacement of “isolated components” which does not affect capacity should not affect the installation’s accreditation. However, it is unclear at what point the replacement of “isolated components” could become “all components”. For example, questions have been raised by members on what happens if different isolated components are replaced over time such that with the last replacement, there is no longer any original part of the plant remaining: would that then affect accreditation? (Ship of Theseus type question). </w:t>
      </w:r>
    </w:p>
    <w:p w14:paraId="0589BBBF" w14:textId="77777777" w:rsidR="00ED2919" w:rsidRPr="00303845" w:rsidRDefault="00ED2919" w:rsidP="002754FA">
      <w:pPr>
        <w:spacing w:before="120" w:after="120" w:line="240" w:lineRule="auto"/>
        <w:rPr>
          <w:rFonts w:ascii="Open Sans" w:hAnsi="Open Sans" w:cs="Open Sans"/>
          <w:sz w:val="20"/>
          <w:szCs w:val="20"/>
        </w:rPr>
      </w:pPr>
    </w:p>
    <w:p w14:paraId="1EC004EC" w14:textId="3B3B0027" w:rsidR="00E052B2" w:rsidRPr="00F92210" w:rsidRDefault="00F92210" w:rsidP="002754FA">
      <w:pPr>
        <w:spacing w:before="120" w:after="120" w:line="240" w:lineRule="auto"/>
        <w:rPr>
          <w:rFonts w:ascii="Open Sans" w:hAnsi="Open Sans" w:cs="Open Sans"/>
          <w:b/>
          <w:bCs/>
          <w:sz w:val="20"/>
          <w:szCs w:val="20"/>
        </w:rPr>
      </w:pPr>
      <w:r w:rsidRPr="00F92210">
        <w:rPr>
          <w:rFonts w:ascii="Open Sans" w:hAnsi="Open Sans" w:cs="Open Sans"/>
          <w:b/>
          <w:bCs/>
          <w:sz w:val="20"/>
          <w:szCs w:val="20"/>
        </w:rPr>
        <w:t>Equipment decommissioned through an Act of God or fire</w:t>
      </w:r>
    </w:p>
    <w:p w14:paraId="3EEAB8F4" w14:textId="77777777" w:rsidR="00997D46" w:rsidRDefault="00997D46" w:rsidP="002754FA">
      <w:pPr>
        <w:spacing w:before="120" w:after="120" w:line="240" w:lineRule="auto"/>
        <w:rPr>
          <w:rFonts w:ascii="Open Sans" w:hAnsi="Open Sans" w:cs="Open Sans"/>
          <w:sz w:val="20"/>
          <w:szCs w:val="20"/>
        </w:rPr>
      </w:pPr>
      <w:r>
        <w:rPr>
          <w:rFonts w:ascii="Open Sans" w:hAnsi="Open Sans" w:cs="Open Sans"/>
          <w:sz w:val="20"/>
          <w:szCs w:val="20"/>
        </w:rPr>
        <w:t xml:space="preserve">We found the following wording particularly concerning: </w:t>
      </w:r>
    </w:p>
    <w:p w14:paraId="33C1A60E" w14:textId="77777777" w:rsidR="00F42007" w:rsidRPr="00F42007" w:rsidRDefault="00F42007" w:rsidP="002754FA">
      <w:pPr>
        <w:spacing w:before="120" w:after="120" w:line="240" w:lineRule="auto"/>
        <w:rPr>
          <w:rFonts w:ascii="Open Sans" w:hAnsi="Open Sans" w:cs="Open Sans"/>
          <w:sz w:val="20"/>
          <w:szCs w:val="20"/>
        </w:rPr>
      </w:pPr>
      <w:r w:rsidRPr="00F42007">
        <w:rPr>
          <w:rFonts w:ascii="Open Sans" w:hAnsi="Open Sans" w:cs="Open Sans"/>
          <w:sz w:val="20"/>
          <w:szCs w:val="20"/>
        </w:rPr>
        <w:t>Page 6</w:t>
      </w:r>
    </w:p>
    <w:p w14:paraId="5C293573" w14:textId="6D60C064" w:rsidR="00F92210" w:rsidRPr="00250B2C" w:rsidRDefault="00250B2C" w:rsidP="002754FA">
      <w:pPr>
        <w:spacing w:before="120" w:after="120" w:line="240" w:lineRule="auto"/>
        <w:rPr>
          <w:rFonts w:ascii="Open Sans" w:hAnsi="Open Sans" w:cs="Open Sans"/>
          <w:i/>
          <w:iCs/>
          <w:sz w:val="20"/>
          <w:szCs w:val="20"/>
        </w:rPr>
      </w:pPr>
      <w:r w:rsidRPr="00250B2C">
        <w:rPr>
          <w:rFonts w:ascii="Open Sans" w:hAnsi="Open Sans" w:cs="Open Sans"/>
          <w:i/>
          <w:iCs/>
          <w:sz w:val="20"/>
          <w:szCs w:val="20"/>
        </w:rPr>
        <w:t>‘</w:t>
      </w:r>
      <w:r w:rsidR="00997D46" w:rsidRPr="00250B2C">
        <w:rPr>
          <w:rFonts w:ascii="Open Sans" w:hAnsi="Open Sans" w:cs="Open Sans"/>
          <w:i/>
          <w:iCs/>
          <w:sz w:val="20"/>
          <w:szCs w:val="20"/>
        </w:rPr>
        <w:t>We recognise that decommissioning may occur without the intention of the generator (</w:t>
      </w:r>
      <w:proofErr w:type="gramStart"/>
      <w:r w:rsidR="00997D46" w:rsidRPr="00250B2C">
        <w:rPr>
          <w:rFonts w:ascii="Open Sans" w:hAnsi="Open Sans" w:cs="Open Sans"/>
          <w:i/>
          <w:iCs/>
          <w:sz w:val="20"/>
          <w:szCs w:val="20"/>
        </w:rPr>
        <w:t>e.g.</w:t>
      </w:r>
      <w:proofErr w:type="gramEnd"/>
      <w:r w:rsidR="00997D46" w:rsidRPr="00250B2C">
        <w:rPr>
          <w:rFonts w:ascii="Open Sans" w:hAnsi="Open Sans" w:cs="Open Sans"/>
          <w:i/>
          <w:iCs/>
          <w:sz w:val="20"/>
          <w:szCs w:val="20"/>
        </w:rPr>
        <w:t xml:space="preserve"> by an Act of God or house fire). Even with our proposed approach, should all parts of the eligible installation be destroyed, accreditation would end in accordance with the FIT Order.</w:t>
      </w:r>
      <w:r w:rsidRPr="00250B2C">
        <w:rPr>
          <w:rFonts w:ascii="Open Sans" w:hAnsi="Open Sans" w:cs="Open Sans"/>
          <w:i/>
          <w:iCs/>
          <w:sz w:val="20"/>
          <w:szCs w:val="20"/>
        </w:rPr>
        <w:t>’</w:t>
      </w:r>
    </w:p>
    <w:p w14:paraId="1818C454" w14:textId="336F7788" w:rsidR="00F42007" w:rsidRPr="00F42007" w:rsidRDefault="00F42007" w:rsidP="002754FA">
      <w:pPr>
        <w:spacing w:before="120" w:after="120" w:line="240" w:lineRule="auto"/>
        <w:rPr>
          <w:rFonts w:ascii="Open Sans" w:hAnsi="Open Sans" w:cs="Open Sans"/>
          <w:sz w:val="20"/>
          <w:szCs w:val="20"/>
        </w:rPr>
      </w:pPr>
      <w:r w:rsidRPr="00F42007">
        <w:rPr>
          <w:rFonts w:ascii="Open Sans" w:hAnsi="Open Sans" w:cs="Open Sans"/>
          <w:sz w:val="20"/>
          <w:szCs w:val="20"/>
        </w:rPr>
        <w:t>Page 8</w:t>
      </w:r>
    </w:p>
    <w:p w14:paraId="660F5C31" w14:textId="270C25F4" w:rsidR="00B67D67" w:rsidRDefault="00250B2C" w:rsidP="002754FA">
      <w:pPr>
        <w:spacing w:before="120" w:after="120" w:line="240" w:lineRule="auto"/>
        <w:rPr>
          <w:rFonts w:ascii="Open Sans" w:hAnsi="Open Sans" w:cs="Open Sans"/>
          <w:i/>
          <w:iCs/>
          <w:sz w:val="20"/>
          <w:szCs w:val="20"/>
        </w:rPr>
      </w:pPr>
      <w:r w:rsidRPr="00250B2C">
        <w:rPr>
          <w:rFonts w:ascii="Open Sans" w:hAnsi="Open Sans" w:cs="Open Sans"/>
          <w:i/>
          <w:iCs/>
          <w:sz w:val="20"/>
          <w:szCs w:val="20"/>
        </w:rPr>
        <w:t>‘</w:t>
      </w:r>
      <w:r w:rsidR="00997D46" w:rsidRPr="00250B2C">
        <w:rPr>
          <w:rFonts w:ascii="Open Sans" w:hAnsi="Open Sans" w:cs="Open Sans"/>
          <w:i/>
          <w:iCs/>
          <w:sz w:val="20"/>
          <w:szCs w:val="20"/>
        </w:rPr>
        <w:t xml:space="preserve">• Fire damage destroys all generating equipment and plant on site indirectly related to the generation </w:t>
      </w:r>
      <w:r w:rsidR="00B67D67">
        <w:rPr>
          <w:rFonts w:ascii="Open Sans" w:hAnsi="Open Sans" w:cs="Open Sans"/>
          <w:i/>
          <w:iCs/>
          <w:sz w:val="20"/>
          <w:szCs w:val="20"/>
        </w:rPr>
        <w:t>of</w:t>
      </w:r>
      <w:r w:rsidR="00997D46" w:rsidRPr="00250B2C">
        <w:rPr>
          <w:rFonts w:ascii="Open Sans" w:hAnsi="Open Sans" w:cs="Open Sans"/>
          <w:i/>
          <w:iCs/>
          <w:sz w:val="20"/>
          <w:szCs w:val="20"/>
        </w:rPr>
        <w:t xml:space="preserve"> renewable electricity: </w:t>
      </w:r>
    </w:p>
    <w:p w14:paraId="123A3A86" w14:textId="77777777" w:rsidR="00B67D67" w:rsidRDefault="00997D46" w:rsidP="002754FA">
      <w:pPr>
        <w:spacing w:before="120" w:after="120" w:line="240" w:lineRule="auto"/>
        <w:rPr>
          <w:rFonts w:ascii="Open Sans" w:hAnsi="Open Sans" w:cs="Open Sans"/>
          <w:i/>
          <w:iCs/>
          <w:sz w:val="20"/>
          <w:szCs w:val="20"/>
        </w:rPr>
      </w:pPr>
      <w:r w:rsidRPr="00250B2C">
        <w:rPr>
          <w:rFonts w:ascii="Open Sans" w:hAnsi="Open Sans" w:cs="Open Sans"/>
          <w:i/>
          <w:iCs/>
          <w:sz w:val="20"/>
          <w:szCs w:val="20"/>
        </w:rPr>
        <w:t xml:space="preserve">o </w:t>
      </w:r>
      <w:proofErr w:type="gramStart"/>
      <w:r w:rsidRPr="00250B2C">
        <w:rPr>
          <w:rFonts w:ascii="Open Sans" w:hAnsi="Open Sans" w:cs="Open Sans"/>
          <w:i/>
          <w:iCs/>
          <w:sz w:val="20"/>
          <w:szCs w:val="20"/>
        </w:rPr>
        <w:t>The</w:t>
      </w:r>
      <w:proofErr w:type="gramEnd"/>
      <w:r w:rsidRPr="00250B2C">
        <w:rPr>
          <w:rFonts w:ascii="Open Sans" w:hAnsi="Open Sans" w:cs="Open Sans"/>
          <w:i/>
          <w:iCs/>
          <w:sz w:val="20"/>
          <w:szCs w:val="20"/>
        </w:rPr>
        <w:t xml:space="preserve"> accredited installation ceases to exist, therefore the generator needs to notify Ofgem and their licensee </w:t>
      </w:r>
    </w:p>
    <w:p w14:paraId="29A448FD" w14:textId="7650BB9C" w:rsidR="00997D46" w:rsidRDefault="00997D46" w:rsidP="002754FA">
      <w:pPr>
        <w:spacing w:before="120" w:after="120" w:line="240" w:lineRule="auto"/>
        <w:rPr>
          <w:rFonts w:ascii="Open Sans" w:hAnsi="Open Sans" w:cs="Open Sans"/>
          <w:i/>
          <w:iCs/>
          <w:sz w:val="20"/>
          <w:szCs w:val="20"/>
        </w:rPr>
      </w:pPr>
      <w:r w:rsidRPr="00250B2C">
        <w:rPr>
          <w:rFonts w:ascii="Open Sans" w:hAnsi="Open Sans" w:cs="Open Sans"/>
          <w:i/>
          <w:iCs/>
          <w:sz w:val="20"/>
          <w:szCs w:val="20"/>
        </w:rPr>
        <w:t xml:space="preserve">o Accreditation </w:t>
      </w:r>
      <w:proofErr w:type="gramStart"/>
      <w:r w:rsidRPr="00250B2C">
        <w:rPr>
          <w:rFonts w:ascii="Open Sans" w:hAnsi="Open Sans" w:cs="Open Sans"/>
          <w:i/>
          <w:iCs/>
          <w:sz w:val="20"/>
          <w:szCs w:val="20"/>
        </w:rPr>
        <w:t>ends</w:t>
      </w:r>
      <w:r w:rsidR="00250B2C" w:rsidRPr="00250B2C">
        <w:rPr>
          <w:rFonts w:ascii="Open Sans" w:hAnsi="Open Sans" w:cs="Open Sans"/>
          <w:i/>
          <w:iCs/>
          <w:sz w:val="20"/>
          <w:szCs w:val="20"/>
        </w:rPr>
        <w:t>’</w:t>
      </w:r>
      <w:proofErr w:type="gramEnd"/>
      <w:r w:rsidR="00250B2C" w:rsidRPr="00250B2C">
        <w:rPr>
          <w:rFonts w:ascii="Open Sans" w:hAnsi="Open Sans" w:cs="Open Sans"/>
          <w:i/>
          <w:iCs/>
          <w:sz w:val="20"/>
          <w:szCs w:val="20"/>
        </w:rPr>
        <w:t xml:space="preserve">. </w:t>
      </w:r>
    </w:p>
    <w:p w14:paraId="5DE666D2" w14:textId="63A73A8B" w:rsidR="00C52B7D" w:rsidRDefault="00F42007" w:rsidP="002754FA">
      <w:pPr>
        <w:spacing w:before="120" w:after="120" w:line="240" w:lineRule="auto"/>
        <w:rPr>
          <w:rFonts w:ascii="Open Sans" w:hAnsi="Open Sans" w:cs="Open Sans"/>
          <w:sz w:val="20"/>
          <w:szCs w:val="20"/>
        </w:rPr>
      </w:pPr>
      <w:r>
        <w:rPr>
          <w:rFonts w:ascii="Open Sans" w:hAnsi="Open Sans" w:cs="Open Sans"/>
          <w:sz w:val="20"/>
          <w:szCs w:val="20"/>
        </w:rPr>
        <w:t>The above implies that a</w:t>
      </w:r>
      <w:r w:rsidR="00C52B7D" w:rsidRPr="001958FB">
        <w:rPr>
          <w:rFonts w:ascii="Open Sans" w:hAnsi="Open Sans" w:cs="Open Sans"/>
          <w:sz w:val="20"/>
          <w:szCs w:val="20"/>
        </w:rPr>
        <w:t xml:space="preserve"> site that suffers a fire </w:t>
      </w:r>
      <w:r w:rsidR="00EE099B">
        <w:rPr>
          <w:rFonts w:ascii="Open Sans" w:hAnsi="Open Sans" w:cs="Open Sans"/>
          <w:sz w:val="20"/>
          <w:szCs w:val="20"/>
        </w:rPr>
        <w:t xml:space="preserve">or other catastrophic event </w:t>
      </w:r>
      <w:r w:rsidR="00C52B7D" w:rsidRPr="001958FB">
        <w:rPr>
          <w:rFonts w:ascii="Open Sans" w:hAnsi="Open Sans" w:cs="Open Sans"/>
          <w:sz w:val="20"/>
          <w:szCs w:val="20"/>
        </w:rPr>
        <w:t>in which the CHP</w:t>
      </w:r>
      <w:r w:rsidR="00EE099B">
        <w:rPr>
          <w:rFonts w:ascii="Open Sans" w:hAnsi="Open Sans" w:cs="Open Sans"/>
          <w:sz w:val="20"/>
          <w:szCs w:val="20"/>
        </w:rPr>
        <w:t xml:space="preserve"> and other parts are </w:t>
      </w:r>
      <w:r w:rsidR="00C52B7D" w:rsidRPr="001958FB">
        <w:rPr>
          <w:rFonts w:ascii="Open Sans" w:hAnsi="Open Sans" w:cs="Open Sans"/>
          <w:sz w:val="20"/>
          <w:szCs w:val="20"/>
        </w:rPr>
        <w:t xml:space="preserve">destroyed would have its FIT accreditation terminated. With a large amount of generators still in the first 10 years of their accreditation, removal from the scheme would likely mean they are unable to afford to continue to run the site </w:t>
      </w:r>
      <w:r>
        <w:rPr>
          <w:rFonts w:ascii="Open Sans" w:hAnsi="Open Sans" w:cs="Open Sans"/>
          <w:sz w:val="20"/>
          <w:szCs w:val="20"/>
        </w:rPr>
        <w:t>and that they would have not</w:t>
      </w:r>
      <w:r w:rsidR="00C52B7D" w:rsidRPr="001958FB">
        <w:rPr>
          <w:rFonts w:ascii="Open Sans" w:hAnsi="Open Sans" w:cs="Open Sans"/>
          <w:sz w:val="20"/>
          <w:szCs w:val="20"/>
        </w:rPr>
        <w:t xml:space="preserve"> paid back their initial investment into the renewable technology. A fire or Act of God comes at no fault of the operator therefore this seems like an unfair penalisation for a company having invested in renewable energy in line with the scheme requirements and the governments targets to reduce overall carbon emissions. </w:t>
      </w:r>
    </w:p>
    <w:p w14:paraId="35EC519A" w14:textId="44DFDFFA" w:rsidR="00BC1109" w:rsidRPr="001958FB" w:rsidRDefault="00BC1109" w:rsidP="002754FA">
      <w:pPr>
        <w:spacing w:before="120" w:after="120" w:line="240" w:lineRule="auto"/>
        <w:rPr>
          <w:rFonts w:ascii="Open Sans" w:hAnsi="Open Sans" w:cs="Open Sans"/>
          <w:sz w:val="20"/>
          <w:szCs w:val="20"/>
        </w:rPr>
      </w:pPr>
      <w:r>
        <w:rPr>
          <w:rFonts w:ascii="Open Sans" w:hAnsi="Open Sans" w:cs="Open Sans"/>
          <w:sz w:val="20"/>
          <w:szCs w:val="20"/>
        </w:rPr>
        <w:t xml:space="preserve">We recognise that FIT payments will need to be stopped temporarily if the installation ceases to operate, but accreditation should not be lost and FIT payments re-instated once the installation is up and running </w:t>
      </w:r>
      <w:proofErr w:type="gramStart"/>
      <w:r>
        <w:rPr>
          <w:rFonts w:ascii="Open Sans" w:hAnsi="Open Sans" w:cs="Open Sans"/>
          <w:sz w:val="20"/>
          <w:szCs w:val="20"/>
        </w:rPr>
        <w:t>as long as</w:t>
      </w:r>
      <w:proofErr w:type="gramEnd"/>
      <w:r>
        <w:rPr>
          <w:rFonts w:ascii="Open Sans" w:hAnsi="Open Sans" w:cs="Open Sans"/>
          <w:sz w:val="20"/>
          <w:szCs w:val="20"/>
        </w:rPr>
        <w:t xml:space="preserve"> it can be demonstrated that it is a like-for-like replacement. </w:t>
      </w:r>
    </w:p>
    <w:p w14:paraId="7CE77402" w14:textId="2EE1D642" w:rsidR="00C52B7D" w:rsidRDefault="00C52B7D" w:rsidP="002754FA">
      <w:pPr>
        <w:spacing w:before="120" w:after="120" w:line="240" w:lineRule="auto"/>
        <w:rPr>
          <w:rFonts w:ascii="Open Sans" w:hAnsi="Open Sans" w:cs="Open Sans"/>
          <w:sz w:val="20"/>
          <w:szCs w:val="20"/>
        </w:rPr>
      </w:pPr>
      <w:r w:rsidRPr="001958FB">
        <w:rPr>
          <w:rFonts w:ascii="Open Sans" w:hAnsi="Open Sans" w:cs="Open Sans"/>
          <w:sz w:val="20"/>
          <w:szCs w:val="20"/>
        </w:rPr>
        <w:t xml:space="preserve">Policy more in line with that of the RHI which states that replacement plants would be allowed so long as they are like for like replacements would seem much more suitable to allow sites not to be unfairly penalised for their investment into renewables. </w:t>
      </w:r>
    </w:p>
    <w:p w14:paraId="05D49DB9" w14:textId="0D823976" w:rsidR="00F42007" w:rsidRPr="00F42007" w:rsidRDefault="00F42007" w:rsidP="002754FA">
      <w:pPr>
        <w:spacing w:before="120" w:after="120" w:line="240" w:lineRule="auto"/>
        <w:rPr>
          <w:rFonts w:ascii="Open Sans" w:hAnsi="Open Sans" w:cs="Open Sans"/>
          <w:sz w:val="20"/>
          <w:szCs w:val="20"/>
        </w:rPr>
      </w:pPr>
      <w:r w:rsidRPr="00F42007">
        <w:rPr>
          <w:rFonts w:ascii="Open Sans" w:hAnsi="Open Sans" w:cs="Open Sans"/>
          <w:sz w:val="20"/>
          <w:szCs w:val="20"/>
        </w:rPr>
        <w:t xml:space="preserve">If the plant is rebuilt and the function is identical to the original installation </w:t>
      </w:r>
      <w:r>
        <w:rPr>
          <w:rFonts w:ascii="Open Sans" w:hAnsi="Open Sans" w:cs="Open Sans"/>
          <w:sz w:val="20"/>
          <w:szCs w:val="20"/>
        </w:rPr>
        <w:t xml:space="preserve">and there is no change in the capacity, it is unclear </w:t>
      </w:r>
      <w:r w:rsidRPr="00F42007">
        <w:rPr>
          <w:rFonts w:ascii="Open Sans" w:hAnsi="Open Sans" w:cs="Open Sans"/>
          <w:sz w:val="20"/>
          <w:szCs w:val="20"/>
        </w:rPr>
        <w:t xml:space="preserve">why </w:t>
      </w:r>
      <w:r>
        <w:rPr>
          <w:rFonts w:ascii="Open Sans" w:hAnsi="Open Sans" w:cs="Open Sans"/>
          <w:sz w:val="20"/>
          <w:szCs w:val="20"/>
        </w:rPr>
        <w:t xml:space="preserve">accreditation should be withdrawn. </w:t>
      </w:r>
    </w:p>
    <w:p w14:paraId="2903FD3F" w14:textId="40A9BE1F" w:rsidR="00F42007" w:rsidRPr="00F42007" w:rsidRDefault="00F42007" w:rsidP="002754FA">
      <w:pPr>
        <w:spacing w:before="120" w:after="120" w:line="240" w:lineRule="auto"/>
        <w:rPr>
          <w:rFonts w:ascii="Open Sans" w:hAnsi="Open Sans" w:cs="Open Sans"/>
          <w:sz w:val="20"/>
          <w:szCs w:val="20"/>
        </w:rPr>
      </w:pPr>
      <w:r w:rsidRPr="00F42007">
        <w:rPr>
          <w:rFonts w:ascii="Open Sans" w:hAnsi="Open Sans" w:cs="Open Sans"/>
          <w:sz w:val="20"/>
          <w:szCs w:val="20"/>
        </w:rPr>
        <w:t>There is little possibility of fraud because:</w:t>
      </w:r>
    </w:p>
    <w:p w14:paraId="2770978A" w14:textId="77777777" w:rsidR="00F42007" w:rsidRPr="00F42007" w:rsidRDefault="00F42007" w:rsidP="002754FA">
      <w:pPr>
        <w:pStyle w:val="ListParagraph"/>
        <w:numPr>
          <w:ilvl w:val="0"/>
          <w:numId w:val="38"/>
        </w:numPr>
        <w:spacing w:before="120" w:after="120" w:line="240" w:lineRule="auto"/>
        <w:contextualSpacing w:val="0"/>
        <w:rPr>
          <w:rFonts w:ascii="Open Sans" w:hAnsi="Open Sans" w:cs="Open Sans"/>
          <w:sz w:val="20"/>
          <w:szCs w:val="20"/>
        </w:rPr>
      </w:pPr>
      <w:r w:rsidRPr="00F42007">
        <w:rPr>
          <w:rFonts w:ascii="Open Sans" w:hAnsi="Open Sans" w:cs="Open Sans"/>
          <w:sz w:val="20"/>
          <w:szCs w:val="20"/>
        </w:rPr>
        <w:lastRenderedPageBreak/>
        <w:t>The work can be carried out by suitably accredited installers to the correct standards and a report produced with photographic evidence etc. and submitted to the FIT licensee.</w:t>
      </w:r>
    </w:p>
    <w:p w14:paraId="2E352ECB" w14:textId="0D95E9A2" w:rsidR="00F16560" w:rsidRDefault="00F42007" w:rsidP="002754FA">
      <w:pPr>
        <w:pStyle w:val="ListParagraph"/>
        <w:numPr>
          <w:ilvl w:val="0"/>
          <w:numId w:val="38"/>
        </w:numPr>
        <w:spacing w:before="120" w:after="120" w:line="240" w:lineRule="auto"/>
        <w:contextualSpacing w:val="0"/>
        <w:rPr>
          <w:rFonts w:ascii="Open Sans" w:hAnsi="Open Sans" w:cs="Open Sans"/>
          <w:sz w:val="20"/>
          <w:szCs w:val="20"/>
        </w:rPr>
      </w:pPr>
      <w:r w:rsidRPr="00F16560">
        <w:rPr>
          <w:rFonts w:ascii="Open Sans" w:hAnsi="Open Sans" w:cs="Open Sans"/>
          <w:sz w:val="20"/>
          <w:szCs w:val="20"/>
        </w:rPr>
        <w:t>The kWh output generated is always continuously metered and checked by the FIT licensee to be within limits and therefore the FIT claim would be rejected if the output changed from normal parameters.</w:t>
      </w:r>
    </w:p>
    <w:p w14:paraId="4B309DFA" w14:textId="77777777" w:rsidR="00F16560" w:rsidRPr="00F16560" w:rsidRDefault="00F16560" w:rsidP="002754FA">
      <w:pPr>
        <w:pStyle w:val="ListParagraph"/>
        <w:spacing w:before="120" w:after="120" w:line="240" w:lineRule="auto"/>
        <w:contextualSpacing w:val="0"/>
        <w:rPr>
          <w:rFonts w:ascii="Open Sans" w:hAnsi="Open Sans" w:cs="Open Sans"/>
          <w:sz w:val="20"/>
          <w:szCs w:val="20"/>
        </w:rPr>
      </w:pPr>
    </w:p>
    <w:p w14:paraId="3BA28C2E" w14:textId="6016B7BE" w:rsidR="00F16560" w:rsidRPr="001958FB" w:rsidRDefault="00F16560" w:rsidP="002754FA">
      <w:pPr>
        <w:spacing w:before="120" w:after="120" w:line="240" w:lineRule="auto"/>
        <w:rPr>
          <w:rFonts w:ascii="Open Sans" w:hAnsi="Open Sans" w:cs="Open Sans"/>
          <w:sz w:val="20"/>
          <w:szCs w:val="20"/>
        </w:rPr>
      </w:pPr>
      <w:r>
        <w:rPr>
          <w:rFonts w:ascii="Open Sans" w:hAnsi="Open Sans" w:cs="Open Sans"/>
          <w:sz w:val="20"/>
          <w:szCs w:val="20"/>
        </w:rPr>
        <w:t xml:space="preserve">We urge Ofgem to reconsider </w:t>
      </w:r>
      <w:r w:rsidR="00771051">
        <w:rPr>
          <w:rFonts w:ascii="Open Sans" w:hAnsi="Open Sans" w:cs="Open Sans"/>
          <w:sz w:val="20"/>
          <w:szCs w:val="20"/>
        </w:rPr>
        <w:t xml:space="preserve">this point. </w:t>
      </w:r>
    </w:p>
    <w:p w14:paraId="16B2260D" w14:textId="6BF0C71E" w:rsidR="00C52B7D" w:rsidRDefault="00C52B7D" w:rsidP="002754FA">
      <w:pPr>
        <w:spacing w:before="120" w:after="120" w:line="240" w:lineRule="auto"/>
        <w:rPr>
          <w:rFonts w:ascii="Open Sans" w:hAnsi="Open Sans" w:cs="Open Sans"/>
          <w:sz w:val="20"/>
          <w:szCs w:val="20"/>
        </w:rPr>
      </w:pPr>
    </w:p>
    <w:p w14:paraId="0F13B56D" w14:textId="19521CB4" w:rsidR="006121E4" w:rsidRPr="006121E4" w:rsidRDefault="006121E4" w:rsidP="002754FA">
      <w:pPr>
        <w:spacing w:before="120" w:after="120" w:line="240" w:lineRule="auto"/>
        <w:rPr>
          <w:rFonts w:ascii="Open Sans" w:hAnsi="Open Sans" w:cs="Open Sans"/>
          <w:b/>
          <w:bCs/>
          <w:sz w:val="20"/>
          <w:szCs w:val="20"/>
        </w:rPr>
      </w:pPr>
      <w:r w:rsidRPr="006121E4">
        <w:rPr>
          <w:rFonts w:ascii="Open Sans" w:hAnsi="Open Sans" w:cs="Open Sans"/>
          <w:b/>
          <w:bCs/>
          <w:sz w:val="20"/>
          <w:szCs w:val="20"/>
        </w:rPr>
        <w:t xml:space="preserve">No retrospective application </w:t>
      </w:r>
      <w:r w:rsidR="00210A37">
        <w:rPr>
          <w:rFonts w:ascii="Open Sans" w:hAnsi="Open Sans" w:cs="Open Sans"/>
          <w:b/>
          <w:bCs/>
          <w:sz w:val="20"/>
          <w:szCs w:val="20"/>
        </w:rPr>
        <w:t xml:space="preserve">of the new definition of installation </w:t>
      </w:r>
      <w:proofErr w:type="gramStart"/>
      <w:r w:rsidR="00210A37">
        <w:rPr>
          <w:rFonts w:ascii="Open Sans" w:hAnsi="Open Sans" w:cs="Open Sans"/>
          <w:b/>
          <w:bCs/>
          <w:sz w:val="20"/>
          <w:szCs w:val="20"/>
        </w:rPr>
        <w:t>with regard to</w:t>
      </w:r>
      <w:proofErr w:type="gramEnd"/>
      <w:r w:rsidR="00210A37">
        <w:rPr>
          <w:rFonts w:ascii="Open Sans" w:hAnsi="Open Sans" w:cs="Open Sans"/>
          <w:b/>
          <w:bCs/>
          <w:sz w:val="20"/>
          <w:szCs w:val="20"/>
        </w:rPr>
        <w:t xml:space="preserve"> ‘commissioning’ under FITs and RO</w:t>
      </w:r>
    </w:p>
    <w:p w14:paraId="41B09DE5" w14:textId="77777777" w:rsidR="00210A37" w:rsidRDefault="00210A37" w:rsidP="002754FA">
      <w:pPr>
        <w:spacing w:before="120" w:after="120" w:line="240" w:lineRule="auto"/>
        <w:rPr>
          <w:rFonts w:ascii="Open Sans" w:hAnsi="Open Sans" w:cs="Open Sans"/>
          <w:sz w:val="20"/>
          <w:szCs w:val="20"/>
        </w:rPr>
      </w:pPr>
      <w:r>
        <w:rPr>
          <w:rFonts w:ascii="Open Sans" w:hAnsi="Open Sans" w:cs="Open Sans"/>
          <w:sz w:val="20"/>
          <w:szCs w:val="20"/>
        </w:rPr>
        <w:t xml:space="preserve">We would like reassurance from Ofgem that the new </w:t>
      </w:r>
      <w:r w:rsidR="00771051" w:rsidRPr="00771051">
        <w:rPr>
          <w:rFonts w:ascii="Open Sans" w:hAnsi="Open Sans" w:cs="Open Sans"/>
          <w:sz w:val="20"/>
          <w:szCs w:val="20"/>
        </w:rPr>
        <w:t>interpretation will not be applied retrospectively (</w:t>
      </w:r>
      <w:proofErr w:type="spellStart"/>
      <w:proofErr w:type="gramStart"/>
      <w:r w:rsidR="00771051" w:rsidRPr="00771051">
        <w:rPr>
          <w:rFonts w:ascii="Open Sans" w:hAnsi="Open Sans" w:cs="Open Sans"/>
          <w:sz w:val="20"/>
          <w:szCs w:val="20"/>
        </w:rPr>
        <w:t>ie</w:t>
      </w:r>
      <w:proofErr w:type="spellEnd"/>
      <w:proofErr w:type="gramEnd"/>
      <w:r w:rsidR="00771051" w:rsidRPr="00771051">
        <w:rPr>
          <w:rFonts w:ascii="Open Sans" w:hAnsi="Open Sans" w:cs="Open Sans"/>
          <w:sz w:val="20"/>
          <w:szCs w:val="20"/>
        </w:rPr>
        <w:t xml:space="preserve"> via audit). </w:t>
      </w:r>
    </w:p>
    <w:p w14:paraId="16FFF3C0" w14:textId="5C002A40" w:rsidR="00771051" w:rsidRPr="00771051" w:rsidRDefault="00771051" w:rsidP="002754FA">
      <w:pPr>
        <w:spacing w:before="120" w:after="120" w:line="240" w:lineRule="auto"/>
        <w:rPr>
          <w:rFonts w:ascii="Open Sans" w:hAnsi="Open Sans" w:cs="Open Sans"/>
          <w:sz w:val="20"/>
          <w:szCs w:val="20"/>
        </w:rPr>
      </w:pPr>
      <w:r w:rsidRPr="00771051">
        <w:rPr>
          <w:rFonts w:ascii="Open Sans" w:hAnsi="Open Sans" w:cs="Open Sans"/>
          <w:sz w:val="20"/>
          <w:szCs w:val="20"/>
        </w:rPr>
        <w:t>If plants achieved accreditation based on their (and Ofgem’s) understanding at the time of what eligible installation (and ‘commissioned’) meant</w:t>
      </w:r>
      <w:r w:rsidR="00A72706">
        <w:rPr>
          <w:rFonts w:ascii="Open Sans" w:hAnsi="Open Sans" w:cs="Open Sans"/>
          <w:sz w:val="20"/>
          <w:szCs w:val="20"/>
        </w:rPr>
        <w:t xml:space="preserve">, </w:t>
      </w:r>
      <w:r w:rsidRPr="00771051">
        <w:rPr>
          <w:rFonts w:ascii="Open Sans" w:hAnsi="Open Sans" w:cs="Open Sans"/>
          <w:sz w:val="20"/>
          <w:szCs w:val="20"/>
        </w:rPr>
        <w:t xml:space="preserve">this new interpretation </w:t>
      </w:r>
      <w:r w:rsidR="00A72706">
        <w:rPr>
          <w:rFonts w:ascii="Open Sans" w:hAnsi="Open Sans" w:cs="Open Sans"/>
          <w:sz w:val="20"/>
          <w:szCs w:val="20"/>
        </w:rPr>
        <w:t>should</w:t>
      </w:r>
      <w:r w:rsidRPr="00771051">
        <w:rPr>
          <w:rFonts w:ascii="Open Sans" w:hAnsi="Open Sans" w:cs="Open Sans"/>
          <w:sz w:val="20"/>
          <w:szCs w:val="20"/>
        </w:rPr>
        <w:t xml:space="preserve"> not be read backwards into those earlier applications</w:t>
      </w:r>
      <w:r w:rsidR="00210A37">
        <w:rPr>
          <w:rFonts w:ascii="Open Sans" w:hAnsi="Open Sans" w:cs="Open Sans"/>
          <w:sz w:val="20"/>
          <w:szCs w:val="20"/>
        </w:rPr>
        <w:t xml:space="preserve">. </w:t>
      </w:r>
    </w:p>
    <w:p w14:paraId="7436C1B9" w14:textId="0D61CE4B" w:rsidR="00771051" w:rsidRPr="00771051" w:rsidRDefault="00771051" w:rsidP="002754FA">
      <w:pPr>
        <w:spacing w:before="120" w:after="120" w:line="240" w:lineRule="auto"/>
        <w:rPr>
          <w:rFonts w:ascii="Open Sans" w:hAnsi="Open Sans" w:cs="Open Sans"/>
          <w:sz w:val="20"/>
          <w:szCs w:val="20"/>
        </w:rPr>
      </w:pPr>
      <w:r w:rsidRPr="00771051">
        <w:rPr>
          <w:rFonts w:ascii="Open Sans" w:hAnsi="Open Sans" w:cs="Open Sans"/>
          <w:sz w:val="20"/>
          <w:szCs w:val="20"/>
        </w:rPr>
        <w:t xml:space="preserve">Similarly, </w:t>
      </w:r>
      <w:r w:rsidR="00210A37">
        <w:rPr>
          <w:rFonts w:ascii="Open Sans" w:hAnsi="Open Sans" w:cs="Open Sans"/>
          <w:sz w:val="20"/>
          <w:szCs w:val="20"/>
        </w:rPr>
        <w:t>we will need reassurance that</w:t>
      </w:r>
      <w:r w:rsidRPr="00771051">
        <w:rPr>
          <w:rFonts w:ascii="Open Sans" w:hAnsi="Open Sans" w:cs="Open Sans"/>
          <w:sz w:val="20"/>
          <w:szCs w:val="20"/>
        </w:rPr>
        <w:t xml:space="preserve"> there are no knock-on implications for Renewables Obligation accreditations, which also uses a tight understanding of ‘generating equipment’. </w:t>
      </w:r>
      <w:r w:rsidR="00210A37">
        <w:rPr>
          <w:rFonts w:ascii="Open Sans" w:hAnsi="Open Sans" w:cs="Open Sans"/>
          <w:sz w:val="20"/>
          <w:szCs w:val="20"/>
        </w:rPr>
        <w:t>Although we understand the</w:t>
      </w:r>
      <w:r w:rsidRPr="00771051">
        <w:rPr>
          <w:rFonts w:ascii="Open Sans" w:hAnsi="Open Sans" w:cs="Open Sans"/>
          <w:sz w:val="20"/>
          <w:szCs w:val="20"/>
        </w:rPr>
        <w:t xml:space="preserve"> legal basis is not the same </w:t>
      </w:r>
      <w:r w:rsidR="00210A37">
        <w:rPr>
          <w:rFonts w:ascii="Open Sans" w:hAnsi="Open Sans" w:cs="Open Sans"/>
          <w:sz w:val="20"/>
          <w:szCs w:val="20"/>
        </w:rPr>
        <w:t>for the two schemes</w:t>
      </w:r>
      <w:r w:rsidRPr="00771051">
        <w:rPr>
          <w:rFonts w:ascii="Open Sans" w:hAnsi="Open Sans" w:cs="Open Sans"/>
          <w:sz w:val="20"/>
          <w:szCs w:val="20"/>
        </w:rPr>
        <w:t xml:space="preserve">, the decision on where the line is to be drawn has </w:t>
      </w:r>
      <w:r w:rsidR="00210A37">
        <w:rPr>
          <w:rFonts w:ascii="Open Sans" w:hAnsi="Open Sans" w:cs="Open Sans"/>
          <w:sz w:val="20"/>
          <w:szCs w:val="20"/>
        </w:rPr>
        <w:t xml:space="preserve">so far </w:t>
      </w:r>
      <w:r w:rsidRPr="00771051">
        <w:rPr>
          <w:rFonts w:ascii="Open Sans" w:hAnsi="Open Sans" w:cs="Open Sans"/>
          <w:sz w:val="20"/>
          <w:szCs w:val="20"/>
        </w:rPr>
        <w:t>been left to Ofgem to determine rather than spelled out in the legislation.</w:t>
      </w:r>
    </w:p>
    <w:p w14:paraId="2B829261" w14:textId="021AF580" w:rsidR="00771051" w:rsidRPr="00771051" w:rsidRDefault="00771051" w:rsidP="002754FA">
      <w:pPr>
        <w:spacing w:before="120" w:after="120" w:line="240" w:lineRule="auto"/>
        <w:rPr>
          <w:rFonts w:ascii="Open Sans" w:hAnsi="Open Sans" w:cs="Open Sans"/>
          <w:sz w:val="20"/>
          <w:szCs w:val="20"/>
        </w:rPr>
      </w:pPr>
      <w:r w:rsidRPr="00771051">
        <w:rPr>
          <w:rFonts w:ascii="Open Sans" w:hAnsi="Open Sans" w:cs="Open Sans"/>
          <w:sz w:val="20"/>
          <w:szCs w:val="20"/>
        </w:rPr>
        <w:t>In both cases</w:t>
      </w:r>
      <w:r w:rsidR="00210A37">
        <w:rPr>
          <w:rFonts w:ascii="Open Sans" w:hAnsi="Open Sans" w:cs="Open Sans"/>
          <w:sz w:val="20"/>
          <w:szCs w:val="20"/>
        </w:rPr>
        <w:t xml:space="preserve"> above,</w:t>
      </w:r>
      <w:r w:rsidRPr="00771051">
        <w:rPr>
          <w:rFonts w:ascii="Open Sans" w:hAnsi="Open Sans" w:cs="Open Sans"/>
          <w:sz w:val="20"/>
          <w:szCs w:val="20"/>
        </w:rPr>
        <w:t xml:space="preserve"> the most likely risk is that an auditor asks for information relating to commissioning and the wider installation that was not asked for at the time of the initial accreditation. That additional information may not be available, particularly if the site ownership has changed hands in the meantime, and it is possible that suitable evidence for it does not exist (and/or never did). </w:t>
      </w:r>
      <w:r w:rsidR="00A72706">
        <w:rPr>
          <w:rFonts w:ascii="Open Sans" w:hAnsi="Open Sans" w:cs="Open Sans"/>
          <w:sz w:val="20"/>
          <w:szCs w:val="20"/>
        </w:rPr>
        <w:t>It would be</w:t>
      </w:r>
      <w:r w:rsidRPr="00771051">
        <w:rPr>
          <w:rFonts w:ascii="Open Sans" w:hAnsi="Open Sans" w:cs="Open Sans"/>
          <w:sz w:val="20"/>
          <w:szCs w:val="20"/>
        </w:rPr>
        <w:t xml:space="preserve"> very difficult to defend against because Ofgem will point to their latest understanding of what the scheme rules require.</w:t>
      </w:r>
    </w:p>
    <w:p w14:paraId="3297AA97" w14:textId="11086AE3" w:rsidR="00C52B7D" w:rsidRPr="00771051" w:rsidRDefault="00A72706" w:rsidP="002754FA">
      <w:pPr>
        <w:spacing w:before="120" w:after="120" w:line="240" w:lineRule="auto"/>
        <w:rPr>
          <w:rFonts w:ascii="Open Sans" w:hAnsi="Open Sans" w:cs="Open Sans"/>
          <w:sz w:val="20"/>
          <w:szCs w:val="20"/>
        </w:rPr>
      </w:pPr>
      <w:r>
        <w:rPr>
          <w:rFonts w:ascii="Open Sans" w:hAnsi="Open Sans" w:cs="Open Sans"/>
          <w:sz w:val="20"/>
          <w:szCs w:val="20"/>
        </w:rPr>
        <w:t xml:space="preserve">So, a confirmation is required that Ofgem have </w:t>
      </w:r>
      <w:r w:rsidR="00771051" w:rsidRPr="00771051">
        <w:rPr>
          <w:rFonts w:ascii="Open Sans" w:hAnsi="Open Sans" w:cs="Open Sans"/>
          <w:sz w:val="20"/>
          <w:szCs w:val="20"/>
        </w:rPr>
        <w:t xml:space="preserve">considered this point and are confident there won’t be knock-on effects from this. </w:t>
      </w:r>
    </w:p>
    <w:p w14:paraId="154F6056" w14:textId="043C8B3A" w:rsidR="00CF6146" w:rsidRDefault="00F616A0" w:rsidP="000377D3">
      <w:pPr>
        <w:spacing w:before="120" w:after="120" w:line="240" w:lineRule="auto"/>
        <w:rPr>
          <w:rFonts w:ascii="Open Sans" w:hAnsi="Open Sans" w:cs="Open Sans"/>
          <w:b/>
          <w:bCs/>
          <w:color w:val="2F5496"/>
          <w:sz w:val="20"/>
          <w:szCs w:val="20"/>
        </w:rPr>
      </w:pPr>
      <w:r w:rsidRPr="00F616A0">
        <w:rPr>
          <w:rFonts w:ascii="Open Sans" w:hAnsi="Open Sans" w:cs="Open Sans"/>
          <w:b/>
          <w:bCs/>
          <w:sz w:val="20"/>
          <w:szCs w:val="20"/>
        </w:rPr>
        <w:t xml:space="preserve">Clarity required </w:t>
      </w:r>
      <w:r>
        <w:rPr>
          <w:rFonts w:ascii="Open Sans" w:hAnsi="Open Sans" w:cs="Open Sans"/>
          <w:b/>
          <w:bCs/>
          <w:sz w:val="20"/>
          <w:szCs w:val="20"/>
        </w:rPr>
        <w:t xml:space="preserve">on </w:t>
      </w:r>
      <w:r w:rsidR="003A6C10">
        <w:rPr>
          <w:rFonts w:ascii="Open Sans" w:hAnsi="Open Sans" w:cs="Open Sans"/>
          <w:b/>
          <w:bCs/>
          <w:sz w:val="20"/>
          <w:szCs w:val="20"/>
        </w:rPr>
        <w:t xml:space="preserve">impact of TIC change </w:t>
      </w:r>
      <w:r w:rsidR="00847C37">
        <w:rPr>
          <w:rFonts w:ascii="Open Sans" w:hAnsi="Open Sans" w:cs="Open Sans"/>
          <w:b/>
          <w:bCs/>
          <w:sz w:val="20"/>
          <w:szCs w:val="20"/>
        </w:rPr>
        <w:t xml:space="preserve">on FIT accreditation </w:t>
      </w:r>
    </w:p>
    <w:p w14:paraId="359B1C93" w14:textId="1C53F716" w:rsidR="00D35258" w:rsidRDefault="00D35258">
      <w:pPr>
        <w:spacing w:before="120" w:after="120" w:line="240" w:lineRule="auto"/>
        <w:rPr>
          <w:rFonts w:ascii="Open Sans" w:hAnsi="Open Sans" w:cs="Open Sans"/>
          <w:sz w:val="20"/>
          <w:szCs w:val="20"/>
        </w:rPr>
      </w:pPr>
      <w:r>
        <w:rPr>
          <w:rFonts w:ascii="Open Sans" w:hAnsi="Open Sans" w:cs="Open Sans"/>
          <w:sz w:val="20"/>
          <w:szCs w:val="20"/>
        </w:rPr>
        <w:t>There is incons</w:t>
      </w:r>
      <w:r w:rsidR="00497401">
        <w:rPr>
          <w:rFonts w:ascii="Open Sans" w:hAnsi="Open Sans" w:cs="Open Sans"/>
          <w:sz w:val="20"/>
          <w:szCs w:val="20"/>
        </w:rPr>
        <w:t xml:space="preserve">istency </w:t>
      </w:r>
      <w:r>
        <w:rPr>
          <w:rFonts w:ascii="Open Sans" w:hAnsi="Open Sans" w:cs="Open Sans"/>
          <w:sz w:val="20"/>
          <w:szCs w:val="20"/>
        </w:rPr>
        <w:t xml:space="preserve">in the document on how TIC change impacts accreditation, leading to confusion. </w:t>
      </w:r>
    </w:p>
    <w:p w14:paraId="71A1C919" w14:textId="62C75D56" w:rsidR="00F616A0" w:rsidRDefault="00D35258" w:rsidP="002754FA">
      <w:pPr>
        <w:spacing w:before="120" w:after="120" w:line="240" w:lineRule="auto"/>
        <w:rPr>
          <w:rFonts w:ascii="Open Sans" w:hAnsi="Open Sans" w:cs="Open Sans"/>
          <w:i/>
          <w:iCs/>
          <w:sz w:val="20"/>
          <w:szCs w:val="20"/>
        </w:rPr>
      </w:pPr>
      <w:r>
        <w:rPr>
          <w:rFonts w:ascii="Open Sans" w:hAnsi="Open Sans" w:cs="Open Sans"/>
          <w:sz w:val="20"/>
          <w:szCs w:val="20"/>
        </w:rPr>
        <w:t xml:space="preserve">On page </w:t>
      </w:r>
      <w:r w:rsidR="003A6C10">
        <w:rPr>
          <w:rFonts w:ascii="Open Sans" w:hAnsi="Open Sans" w:cs="Open Sans"/>
          <w:sz w:val="20"/>
          <w:szCs w:val="20"/>
        </w:rPr>
        <w:t>8</w:t>
      </w:r>
      <w:r>
        <w:rPr>
          <w:rFonts w:ascii="Open Sans" w:hAnsi="Open Sans" w:cs="Open Sans"/>
          <w:sz w:val="20"/>
          <w:szCs w:val="20"/>
        </w:rPr>
        <w:t xml:space="preserve">, in reference to </w:t>
      </w:r>
      <w:r w:rsidR="003A6C10" w:rsidRPr="003A6C10">
        <w:rPr>
          <w:rFonts w:ascii="Open Sans" w:hAnsi="Open Sans" w:cs="Open Sans"/>
          <w:sz w:val="20"/>
          <w:szCs w:val="20"/>
        </w:rPr>
        <w:t xml:space="preserve">the addition, removal or replacement of solar panels </w:t>
      </w:r>
      <w:r w:rsidR="003A6C10">
        <w:rPr>
          <w:rFonts w:ascii="Open Sans" w:hAnsi="Open Sans" w:cs="Open Sans"/>
          <w:sz w:val="20"/>
          <w:szCs w:val="20"/>
        </w:rPr>
        <w:t xml:space="preserve">the consultation states </w:t>
      </w:r>
      <w:r w:rsidR="003A6C10" w:rsidRPr="003A6C10">
        <w:rPr>
          <w:rFonts w:ascii="Open Sans" w:hAnsi="Open Sans" w:cs="Open Sans"/>
          <w:sz w:val="20"/>
          <w:szCs w:val="20"/>
        </w:rPr>
        <w:t>that "</w:t>
      </w:r>
      <w:r w:rsidR="003A6C10" w:rsidRPr="003A6C10">
        <w:rPr>
          <w:rFonts w:ascii="Open Sans" w:hAnsi="Open Sans" w:cs="Open Sans"/>
          <w:i/>
          <w:iCs/>
          <w:sz w:val="20"/>
          <w:szCs w:val="20"/>
        </w:rPr>
        <w:t>The Total installed capacity (TIC) and/or generating equipment has changed, therefore the generator needs to notify Ofgem and their licensee. Accreditation continues".</w:t>
      </w:r>
    </w:p>
    <w:p w14:paraId="54DD9526" w14:textId="6CA45BC1" w:rsidR="008B7456" w:rsidRDefault="008B7456" w:rsidP="002754FA">
      <w:pPr>
        <w:spacing w:before="120" w:after="120" w:line="240" w:lineRule="auto"/>
        <w:rPr>
          <w:rFonts w:ascii="Open Sans" w:hAnsi="Open Sans" w:cs="Open Sans"/>
          <w:sz w:val="20"/>
          <w:szCs w:val="20"/>
        </w:rPr>
      </w:pPr>
      <w:r w:rsidRPr="008B7456">
        <w:rPr>
          <w:rFonts w:ascii="Open Sans" w:hAnsi="Open Sans" w:cs="Open Sans"/>
          <w:sz w:val="20"/>
          <w:szCs w:val="20"/>
        </w:rPr>
        <w:t xml:space="preserve">The same is stated in the example of replacement of anaerobic digester generating equipment. </w:t>
      </w:r>
    </w:p>
    <w:p w14:paraId="42DD8978" w14:textId="74C066B2" w:rsidR="00A1173F" w:rsidRDefault="002C7F54" w:rsidP="002754FA">
      <w:pPr>
        <w:spacing w:before="120" w:after="120" w:line="240" w:lineRule="auto"/>
        <w:rPr>
          <w:rFonts w:ascii="Open Sans" w:hAnsi="Open Sans" w:cs="Open Sans"/>
          <w:sz w:val="20"/>
          <w:szCs w:val="20"/>
        </w:rPr>
      </w:pPr>
      <w:r>
        <w:rPr>
          <w:rFonts w:ascii="Open Sans" w:hAnsi="Open Sans" w:cs="Open Sans"/>
          <w:sz w:val="20"/>
          <w:szCs w:val="20"/>
        </w:rPr>
        <w:t xml:space="preserve">It is positive that </w:t>
      </w:r>
      <w:r w:rsidR="00D35258">
        <w:rPr>
          <w:rFonts w:ascii="Open Sans" w:hAnsi="Open Sans" w:cs="Open Sans"/>
          <w:sz w:val="20"/>
          <w:szCs w:val="20"/>
        </w:rPr>
        <w:t xml:space="preserve">this section implies </w:t>
      </w:r>
      <w:r>
        <w:rPr>
          <w:rFonts w:ascii="Open Sans" w:hAnsi="Open Sans" w:cs="Open Sans"/>
          <w:sz w:val="20"/>
          <w:szCs w:val="20"/>
        </w:rPr>
        <w:t>accreditation will still continue even when the TIC</w:t>
      </w:r>
      <w:r w:rsidR="009E7D89">
        <w:rPr>
          <w:rFonts w:ascii="Open Sans" w:hAnsi="Open Sans" w:cs="Open Sans"/>
          <w:sz w:val="20"/>
          <w:szCs w:val="20"/>
        </w:rPr>
        <w:t xml:space="preserve"> of the generating equipment</w:t>
      </w:r>
      <w:r>
        <w:rPr>
          <w:rFonts w:ascii="Open Sans" w:hAnsi="Open Sans" w:cs="Open Sans"/>
          <w:sz w:val="20"/>
          <w:szCs w:val="20"/>
        </w:rPr>
        <w:t xml:space="preserve"> has be</w:t>
      </w:r>
      <w:r w:rsidR="009E7D89">
        <w:rPr>
          <w:rFonts w:ascii="Open Sans" w:hAnsi="Open Sans" w:cs="Open Sans"/>
          <w:sz w:val="20"/>
          <w:szCs w:val="20"/>
        </w:rPr>
        <w:t>e</w:t>
      </w:r>
      <w:r>
        <w:rPr>
          <w:rFonts w:ascii="Open Sans" w:hAnsi="Open Sans" w:cs="Open Sans"/>
          <w:sz w:val="20"/>
          <w:szCs w:val="20"/>
        </w:rPr>
        <w:t>n changed, but</w:t>
      </w:r>
      <w:r w:rsidR="00C5372F">
        <w:rPr>
          <w:rFonts w:ascii="Open Sans" w:hAnsi="Open Sans" w:cs="Open Sans"/>
          <w:sz w:val="20"/>
          <w:szCs w:val="20"/>
        </w:rPr>
        <w:t xml:space="preserve"> more clarity is required on</w:t>
      </w:r>
      <w:r>
        <w:rPr>
          <w:rFonts w:ascii="Open Sans" w:hAnsi="Open Sans" w:cs="Open Sans"/>
          <w:sz w:val="20"/>
          <w:szCs w:val="20"/>
        </w:rPr>
        <w:t xml:space="preserve"> </w:t>
      </w:r>
      <w:r w:rsidR="0025602C">
        <w:rPr>
          <w:rFonts w:ascii="Open Sans" w:hAnsi="Open Sans" w:cs="Open Sans"/>
          <w:sz w:val="20"/>
          <w:szCs w:val="20"/>
        </w:rPr>
        <w:t>how accreditation</w:t>
      </w:r>
      <w:r w:rsidR="00497401">
        <w:rPr>
          <w:rFonts w:ascii="Open Sans" w:hAnsi="Open Sans" w:cs="Open Sans"/>
          <w:sz w:val="20"/>
          <w:szCs w:val="20"/>
        </w:rPr>
        <w:t xml:space="preserve"> and payments might be </w:t>
      </w:r>
      <w:r w:rsidR="0025602C">
        <w:rPr>
          <w:rFonts w:ascii="Open Sans" w:hAnsi="Open Sans" w:cs="Open Sans"/>
          <w:sz w:val="20"/>
          <w:szCs w:val="20"/>
        </w:rPr>
        <w:t>affected by the TIC change</w:t>
      </w:r>
      <w:r w:rsidR="00A1173F">
        <w:rPr>
          <w:rFonts w:ascii="Open Sans" w:hAnsi="Open Sans" w:cs="Open Sans"/>
          <w:sz w:val="20"/>
          <w:szCs w:val="20"/>
        </w:rPr>
        <w:t xml:space="preserve"> (e.g. if this is only in the event of a reduction in the TIC</w:t>
      </w:r>
      <w:r w:rsidR="00DC1AC6">
        <w:rPr>
          <w:rFonts w:ascii="Open Sans" w:hAnsi="Open Sans" w:cs="Open Sans"/>
          <w:sz w:val="20"/>
          <w:szCs w:val="20"/>
        </w:rPr>
        <w:t>, or if an increase is allowed how the FIT payments will be affected</w:t>
      </w:r>
      <w:r w:rsidR="00C5372F">
        <w:rPr>
          <w:rFonts w:ascii="Open Sans" w:hAnsi="Open Sans" w:cs="Open Sans"/>
          <w:sz w:val="20"/>
          <w:szCs w:val="20"/>
        </w:rPr>
        <w:t xml:space="preserve"> e.g. presumably the FIT payment would be capped at the level of the original TIC</w:t>
      </w:r>
      <w:r w:rsidR="00A1173F">
        <w:rPr>
          <w:rFonts w:ascii="Open Sans" w:hAnsi="Open Sans" w:cs="Open Sans"/>
          <w:sz w:val="20"/>
          <w:szCs w:val="20"/>
        </w:rPr>
        <w:t>)</w:t>
      </w:r>
      <w:r w:rsidR="0025602C">
        <w:rPr>
          <w:rFonts w:ascii="Open Sans" w:hAnsi="Open Sans" w:cs="Open Sans"/>
          <w:sz w:val="20"/>
          <w:szCs w:val="20"/>
        </w:rPr>
        <w:t xml:space="preserve">. </w:t>
      </w:r>
    </w:p>
    <w:p w14:paraId="4407B4A4" w14:textId="0B76CB23" w:rsidR="00D35258" w:rsidRDefault="00497401" w:rsidP="002754FA">
      <w:pPr>
        <w:spacing w:before="120" w:after="120" w:line="240" w:lineRule="auto"/>
        <w:rPr>
          <w:rFonts w:ascii="Open Sans" w:hAnsi="Open Sans" w:cs="Open Sans"/>
          <w:sz w:val="20"/>
          <w:szCs w:val="20"/>
        </w:rPr>
      </w:pPr>
      <w:r>
        <w:rPr>
          <w:rFonts w:ascii="Open Sans" w:hAnsi="Open Sans" w:cs="Open Sans"/>
          <w:sz w:val="20"/>
          <w:szCs w:val="20"/>
        </w:rPr>
        <w:t xml:space="preserve">However, </w:t>
      </w:r>
      <w:r w:rsidR="00D35258" w:rsidRPr="002754FA">
        <w:rPr>
          <w:rFonts w:ascii="Open Sans" w:hAnsi="Open Sans" w:cs="Open Sans"/>
          <w:sz w:val="20"/>
          <w:szCs w:val="20"/>
        </w:rPr>
        <w:t xml:space="preserve">elsewhere on page 8 </w:t>
      </w:r>
      <w:r w:rsidR="00B90EAD" w:rsidRPr="002754FA">
        <w:rPr>
          <w:rFonts w:ascii="Open Sans" w:hAnsi="Open Sans" w:cs="Open Sans"/>
          <w:sz w:val="20"/>
          <w:szCs w:val="20"/>
        </w:rPr>
        <w:t>Ofgem seem</w:t>
      </w:r>
      <w:r w:rsidR="00D35258" w:rsidRPr="002754FA">
        <w:rPr>
          <w:rFonts w:ascii="Open Sans" w:hAnsi="Open Sans" w:cs="Open Sans"/>
          <w:sz w:val="20"/>
          <w:szCs w:val="20"/>
        </w:rPr>
        <w:t>s</w:t>
      </w:r>
      <w:r w:rsidR="00B90EAD" w:rsidRPr="002754FA">
        <w:rPr>
          <w:rFonts w:ascii="Open Sans" w:hAnsi="Open Sans" w:cs="Open Sans"/>
          <w:sz w:val="20"/>
          <w:szCs w:val="20"/>
        </w:rPr>
        <w:t xml:space="preserve"> to imply that if the TIC changes (even downwards) then that accreditation</w:t>
      </w:r>
      <w:r w:rsidR="00D35258" w:rsidRPr="002754FA">
        <w:rPr>
          <w:rFonts w:ascii="Open Sans" w:hAnsi="Open Sans" w:cs="Open Sans"/>
          <w:sz w:val="20"/>
          <w:szCs w:val="20"/>
        </w:rPr>
        <w:t xml:space="preserve"> is </w:t>
      </w:r>
      <w:r w:rsidRPr="00497401">
        <w:rPr>
          <w:rFonts w:ascii="Open Sans" w:hAnsi="Open Sans" w:cs="Open Sans"/>
          <w:sz w:val="20"/>
          <w:szCs w:val="20"/>
        </w:rPr>
        <w:t>affected</w:t>
      </w:r>
      <w:r w:rsidRPr="002754FA">
        <w:rPr>
          <w:rFonts w:ascii="Open Sans" w:hAnsi="Open Sans" w:cs="Open Sans"/>
          <w:sz w:val="20"/>
          <w:szCs w:val="20"/>
        </w:rPr>
        <w:t xml:space="preserve">. </w:t>
      </w:r>
      <w:r>
        <w:rPr>
          <w:rFonts w:ascii="Open Sans" w:hAnsi="Open Sans" w:cs="Open Sans"/>
          <w:sz w:val="20"/>
          <w:szCs w:val="20"/>
        </w:rPr>
        <w:t>F</w:t>
      </w:r>
      <w:r w:rsidR="00B90EAD">
        <w:rPr>
          <w:rFonts w:ascii="Open Sans" w:hAnsi="Open Sans" w:cs="Open Sans"/>
          <w:sz w:val="20"/>
          <w:szCs w:val="20"/>
        </w:rPr>
        <w:t xml:space="preserve">or example, </w:t>
      </w:r>
      <w:r w:rsidR="00583BA2">
        <w:rPr>
          <w:rFonts w:ascii="Open Sans" w:hAnsi="Open Sans" w:cs="Open Sans"/>
          <w:sz w:val="20"/>
          <w:szCs w:val="20"/>
        </w:rPr>
        <w:t>the statement quoted below</w:t>
      </w:r>
      <w:r w:rsidR="00D35258">
        <w:rPr>
          <w:rFonts w:ascii="Open Sans" w:hAnsi="Open Sans" w:cs="Open Sans"/>
          <w:sz w:val="20"/>
          <w:szCs w:val="20"/>
        </w:rPr>
        <w:t xml:space="preserve">, could be read to suggest that any change in TIC would mean the accreditation is lost, despite what is said </w:t>
      </w:r>
      <w:proofErr w:type="gramStart"/>
      <w:r w:rsidR="00D35258">
        <w:rPr>
          <w:rFonts w:ascii="Open Sans" w:hAnsi="Open Sans" w:cs="Open Sans"/>
          <w:sz w:val="20"/>
          <w:szCs w:val="20"/>
        </w:rPr>
        <w:t>later on</w:t>
      </w:r>
      <w:proofErr w:type="gramEnd"/>
      <w:r w:rsidR="00D35258">
        <w:rPr>
          <w:rFonts w:ascii="Open Sans" w:hAnsi="Open Sans" w:cs="Open Sans"/>
          <w:sz w:val="20"/>
          <w:szCs w:val="20"/>
        </w:rPr>
        <w:t xml:space="preserve"> the same page, already highlighted</w:t>
      </w:r>
      <w:r>
        <w:rPr>
          <w:rFonts w:ascii="Open Sans" w:hAnsi="Open Sans" w:cs="Open Sans"/>
          <w:sz w:val="20"/>
          <w:szCs w:val="20"/>
        </w:rPr>
        <w:t>:</w:t>
      </w:r>
    </w:p>
    <w:p w14:paraId="6D03A485" w14:textId="46C7E311" w:rsidR="00CD0C61" w:rsidRPr="002754FA" w:rsidRDefault="00CD0C61" w:rsidP="00CD0C61">
      <w:pPr>
        <w:spacing w:before="120" w:after="120" w:line="240" w:lineRule="auto"/>
        <w:rPr>
          <w:rFonts w:ascii="Open Sans" w:hAnsi="Open Sans" w:cs="Open Sans"/>
          <w:i/>
          <w:iCs/>
          <w:sz w:val="20"/>
          <w:szCs w:val="20"/>
        </w:rPr>
      </w:pPr>
      <w:r w:rsidRPr="002754FA">
        <w:rPr>
          <w:rFonts w:ascii="Open Sans" w:hAnsi="Open Sans" w:cs="Open Sans"/>
          <w:i/>
          <w:iCs/>
          <w:sz w:val="20"/>
          <w:szCs w:val="20"/>
        </w:rPr>
        <w:lastRenderedPageBreak/>
        <w:t xml:space="preserve">8.13. The repair or replacement of isolated components of an accredited FIT installation which do not affect its generating capacity should not affect the installation’s accreditation under, and ongoing participation in, the FIT scheme. In assessing changes to installations, the licensee should identify whether the changes mean that all components of the accredited FIT installation have been replaced and whether the changes affect the installation’s generating capacity. </w:t>
      </w:r>
      <w:r w:rsidRPr="002754FA">
        <w:rPr>
          <w:rFonts w:ascii="Open Sans" w:hAnsi="Open Sans" w:cs="Open Sans"/>
          <w:i/>
          <w:iCs/>
          <w:sz w:val="20"/>
          <w:szCs w:val="20"/>
          <w:u w:val="single"/>
        </w:rPr>
        <w:t xml:space="preserve">If the answer to </w:t>
      </w:r>
      <w:proofErr w:type="gramStart"/>
      <w:r w:rsidRPr="002754FA">
        <w:rPr>
          <w:rFonts w:ascii="Open Sans" w:hAnsi="Open Sans" w:cs="Open Sans"/>
          <w:i/>
          <w:iCs/>
          <w:sz w:val="20"/>
          <w:szCs w:val="20"/>
          <w:u w:val="single"/>
        </w:rPr>
        <w:t>both of these</w:t>
      </w:r>
      <w:proofErr w:type="gramEnd"/>
      <w:r w:rsidRPr="002754FA">
        <w:rPr>
          <w:rFonts w:ascii="Open Sans" w:hAnsi="Open Sans" w:cs="Open Sans"/>
          <w:i/>
          <w:iCs/>
          <w:sz w:val="20"/>
          <w:szCs w:val="20"/>
          <w:u w:val="single"/>
        </w:rPr>
        <w:t xml:space="preserve"> assessments is in the negative, there will be no impact on the FIT accreditation of the installation.</w:t>
      </w:r>
    </w:p>
    <w:p w14:paraId="24B6FA47" w14:textId="77777777" w:rsidR="002754FA" w:rsidRDefault="002754FA" w:rsidP="002754FA">
      <w:pPr>
        <w:spacing w:before="120" w:after="120" w:line="240" w:lineRule="auto"/>
        <w:rPr>
          <w:rFonts w:ascii="Open Sans" w:hAnsi="Open Sans" w:cs="Open Sans"/>
          <w:sz w:val="20"/>
          <w:szCs w:val="20"/>
        </w:rPr>
      </w:pPr>
      <w:r w:rsidRPr="002754FA">
        <w:rPr>
          <w:rFonts w:ascii="Open Sans" w:hAnsi="Open Sans" w:cs="Open Sans"/>
          <w:sz w:val="20"/>
          <w:szCs w:val="20"/>
        </w:rPr>
        <w:t xml:space="preserve">Clarity should be provided on what happens if one of the answers is “yes”. </w:t>
      </w:r>
    </w:p>
    <w:p w14:paraId="3D649F5D" w14:textId="139A623A" w:rsidR="00497401" w:rsidRPr="002754FA" w:rsidRDefault="00497401" w:rsidP="002754FA">
      <w:pPr>
        <w:spacing w:before="120" w:after="120" w:line="240" w:lineRule="auto"/>
        <w:rPr>
          <w:rFonts w:ascii="Open Sans" w:hAnsi="Open Sans" w:cs="Open Sans"/>
          <w:sz w:val="20"/>
          <w:szCs w:val="20"/>
        </w:rPr>
      </w:pPr>
      <w:r w:rsidRPr="002754FA">
        <w:rPr>
          <w:rFonts w:ascii="Open Sans" w:hAnsi="Open Sans" w:cs="Open Sans"/>
          <w:sz w:val="20"/>
          <w:szCs w:val="20"/>
        </w:rPr>
        <w:t xml:space="preserve">Overall consistency on what TIC changes </w:t>
      </w:r>
      <w:r w:rsidRPr="00497401">
        <w:rPr>
          <w:rFonts w:ascii="Open Sans" w:hAnsi="Open Sans" w:cs="Open Sans"/>
          <w:sz w:val="20"/>
          <w:szCs w:val="20"/>
        </w:rPr>
        <w:t>is</w:t>
      </w:r>
      <w:r w:rsidRPr="002754FA">
        <w:rPr>
          <w:rFonts w:ascii="Open Sans" w:hAnsi="Open Sans" w:cs="Open Sans"/>
          <w:sz w:val="20"/>
          <w:szCs w:val="20"/>
        </w:rPr>
        <w:t xml:space="preserve"> allowed and how this effects accreditation and payments needs to be clearly set out in the guidance. </w:t>
      </w:r>
    </w:p>
    <w:p w14:paraId="42519F3D" w14:textId="7D022875" w:rsidR="00C704B1" w:rsidRPr="002754FA" w:rsidRDefault="00FA1419" w:rsidP="002754FA">
      <w:pPr>
        <w:spacing w:before="120" w:after="120" w:line="240" w:lineRule="auto"/>
        <w:rPr>
          <w:rFonts w:ascii="Open Sans" w:hAnsi="Open Sans" w:cs="Open Sans"/>
          <w:color w:val="2F5496"/>
          <w:sz w:val="20"/>
          <w:szCs w:val="20"/>
        </w:rPr>
      </w:pPr>
      <w:r w:rsidRPr="002754FA">
        <w:rPr>
          <w:rFonts w:ascii="Open Sans" w:hAnsi="Open Sans" w:cs="Open Sans"/>
          <w:sz w:val="20"/>
          <w:szCs w:val="20"/>
        </w:rPr>
        <w:t>Finally, we</w:t>
      </w:r>
      <w:r w:rsidR="00C704B1" w:rsidRPr="002754FA">
        <w:rPr>
          <w:rFonts w:ascii="Open Sans" w:hAnsi="Open Sans" w:cs="Open Sans"/>
          <w:sz w:val="20"/>
          <w:szCs w:val="20"/>
        </w:rPr>
        <w:t xml:space="preserve"> would especially welcome more specific guidance for “repowering projects”</w:t>
      </w:r>
      <w:r w:rsidR="00DE1741" w:rsidRPr="002754FA">
        <w:rPr>
          <w:rFonts w:ascii="Open Sans" w:hAnsi="Open Sans" w:cs="Open Sans"/>
          <w:sz w:val="20"/>
          <w:szCs w:val="20"/>
        </w:rPr>
        <w:t xml:space="preserve">, </w:t>
      </w:r>
      <w:proofErr w:type="spellStart"/>
      <w:proofErr w:type="gramStart"/>
      <w:r w:rsidR="00DE1741" w:rsidRPr="002754FA">
        <w:rPr>
          <w:rFonts w:ascii="Open Sans" w:hAnsi="Open Sans" w:cs="Open Sans"/>
          <w:sz w:val="20"/>
          <w:szCs w:val="20"/>
        </w:rPr>
        <w:t>ie</w:t>
      </w:r>
      <w:proofErr w:type="spellEnd"/>
      <w:proofErr w:type="gramEnd"/>
      <w:r w:rsidR="00DE1741" w:rsidRPr="002754FA">
        <w:rPr>
          <w:rFonts w:ascii="Open Sans" w:hAnsi="Open Sans" w:cs="Open Sans"/>
          <w:sz w:val="20"/>
          <w:szCs w:val="20"/>
        </w:rPr>
        <w:t xml:space="preserve"> expressly setting out Ofgem’s policy on whether or the extent to which sites may repower.</w:t>
      </w:r>
    </w:p>
    <w:p w14:paraId="679B04BA" w14:textId="0620AC9C" w:rsidR="00614103" w:rsidRPr="001958FB" w:rsidRDefault="00CF6146" w:rsidP="002754FA">
      <w:pPr>
        <w:spacing w:before="120" w:after="120" w:line="240" w:lineRule="auto"/>
        <w:rPr>
          <w:rFonts w:ascii="Open Sans" w:hAnsi="Open Sans" w:cs="Open Sans"/>
          <w:b/>
          <w:bCs/>
          <w:color w:val="2F5496"/>
          <w:sz w:val="20"/>
          <w:szCs w:val="20"/>
        </w:rPr>
      </w:pPr>
      <w:r w:rsidRPr="001958FB">
        <w:rPr>
          <w:rFonts w:ascii="Open Sans" w:hAnsi="Open Sans" w:cs="Open Sans"/>
          <w:b/>
          <w:bCs/>
          <w:color w:val="2F5496"/>
          <w:sz w:val="20"/>
          <w:szCs w:val="20"/>
        </w:rPr>
        <w:t>Question 3: Do you agree with the proposed guidance changes detailed in annex 2</w:t>
      </w:r>
    </w:p>
    <w:p w14:paraId="7826FC2A" w14:textId="768F78EF" w:rsidR="008B2821" w:rsidRDefault="00C437B7" w:rsidP="002754FA">
      <w:pPr>
        <w:spacing w:before="120" w:after="120" w:line="240" w:lineRule="auto"/>
        <w:rPr>
          <w:rFonts w:ascii="Open Sans" w:hAnsi="Open Sans" w:cs="Open Sans"/>
          <w:sz w:val="20"/>
          <w:szCs w:val="20"/>
        </w:rPr>
      </w:pPr>
      <w:r w:rsidRPr="00C437B7">
        <w:rPr>
          <w:rFonts w:ascii="Open Sans" w:hAnsi="Open Sans" w:cs="Open Sans"/>
          <w:sz w:val="20"/>
          <w:szCs w:val="20"/>
        </w:rPr>
        <w:t xml:space="preserve">As detailed above, </w:t>
      </w:r>
      <w:r>
        <w:rPr>
          <w:rFonts w:ascii="Open Sans" w:hAnsi="Open Sans" w:cs="Open Sans"/>
          <w:sz w:val="20"/>
          <w:szCs w:val="20"/>
        </w:rPr>
        <w:t xml:space="preserve">we welcome the change of interpretation in principle, but further clarity is required on the points detailed in our response to question 2. </w:t>
      </w:r>
    </w:p>
    <w:p w14:paraId="791F5731" w14:textId="35D99CC0" w:rsidR="00ED6C06" w:rsidRPr="00C437B7" w:rsidRDefault="00ED6C06" w:rsidP="002754FA">
      <w:pPr>
        <w:spacing w:before="120" w:after="120" w:line="240" w:lineRule="auto"/>
        <w:rPr>
          <w:rFonts w:ascii="Open Sans" w:hAnsi="Open Sans" w:cs="Open Sans"/>
          <w:sz w:val="20"/>
          <w:szCs w:val="20"/>
        </w:rPr>
      </w:pPr>
      <w:r>
        <w:rPr>
          <w:rFonts w:ascii="Open Sans" w:hAnsi="Open Sans" w:cs="Open Sans"/>
          <w:sz w:val="20"/>
          <w:szCs w:val="20"/>
        </w:rPr>
        <w:t xml:space="preserve">Our greatest concern relates to the </w:t>
      </w:r>
      <w:r w:rsidR="001F23A0">
        <w:rPr>
          <w:rFonts w:ascii="Open Sans" w:hAnsi="Open Sans" w:cs="Open Sans"/>
          <w:sz w:val="20"/>
          <w:szCs w:val="20"/>
        </w:rPr>
        <w:t xml:space="preserve">scenario where a fire (or other catastrophic event) destroys all equipment and plants part of the installation. The reasons for this are detailed in our response to question 2. </w:t>
      </w:r>
    </w:p>
    <w:p w14:paraId="22F10332" w14:textId="4139E075" w:rsidR="00C52B7D" w:rsidRDefault="00C52B7D" w:rsidP="002754FA">
      <w:pPr>
        <w:spacing w:before="120" w:after="120" w:line="240" w:lineRule="auto"/>
        <w:rPr>
          <w:rFonts w:ascii="Open Sans" w:hAnsi="Open Sans" w:cs="Open Sans"/>
          <w:b/>
          <w:bCs/>
          <w:color w:val="2F5496"/>
          <w:sz w:val="20"/>
          <w:szCs w:val="20"/>
        </w:rPr>
      </w:pPr>
    </w:p>
    <w:p w14:paraId="6464D287" w14:textId="56D71055" w:rsidR="005916EA" w:rsidRPr="001D35EB" w:rsidRDefault="003151C6" w:rsidP="002754FA">
      <w:pPr>
        <w:spacing w:before="120" w:after="120" w:line="240" w:lineRule="auto"/>
        <w:rPr>
          <w:rFonts w:ascii="Open Sans" w:hAnsi="Open Sans" w:cs="Open Sans"/>
          <w:color w:val="2F5496"/>
          <w:sz w:val="20"/>
          <w:szCs w:val="20"/>
        </w:rPr>
      </w:pPr>
      <w:r>
        <w:rPr>
          <w:rFonts w:ascii="Open Sans" w:hAnsi="Open Sans" w:cs="Open Sans"/>
          <w:color w:val="2F5496"/>
          <w:sz w:val="20"/>
          <w:szCs w:val="20"/>
        </w:rPr>
        <w:t>04/08/2021</w:t>
      </w:r>
    </w:p>
    <w:sectPr w:rsidR="005916EA" w:rsidRPr="001D35EB" w:rsidSect="008F79B2">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4728" w14:textId="77777777" w:rsidR="00F62607" w:rsidRDefault="00F62607" w:rsidP="007777AC">
      <w:pPr>
        <w:spacing w:after="0" w:line="240" w:lineRule="auto"/>
      </w:pPr>
      <w:r>
        <w:separator/>
      </w:r>
    </w:p>
  </w:endnote>
  <w:endnote w:type="continuationSeparator" w:id="0">
    <w:p w14:paraId="45FB54C2" w14:textId="77777777" w:rsidR="00F62607" w:rsidRDefault="00F62607" w:rsidP="007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7958"/>
      <w:docPartObj>
        <w:docPartGallery w:val="Page Numbers (Bottom of Page)"/>
        <w:docPartUnique/>
      </w:docPartObj>
    </w:sdtPr>
    <w:sdtEndPr>
      <w:rPr>
        <w:noProof/>
      </w:rPr>
    </w:sdtEndPr>
    <w:sdtContent>
      <w:p w14:paraId="1D3AE220" w14:textId="1724008A" w:rsidR="00D77BDC" w:rsidRDefault="00D77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98DF" w14:textId="77777777" w:rsidR="00F62607" w:rsidRDefault="00F62607" w:rsidP="007777AC">
      <w:pPr>
        <w:spacing w:after="0" w:line="240" w:lineRule="auto"/>
      </w:pPr>
      <w:r>
        <w:separator/>
      </w:r>
    </w:p>
  </w:footnote>
  <w:footnote w:type="continuationSeparator" w:id="0">
    <w:p w14:paraId="1CC74047" w14:textId="77777777" w:rsidR="00F62607" w:rsidRDefault="00F62607" w:rsidP="0077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44D5B3C2" w:rsidR="008F79B2" w:rsidRDefault="002B6F10" w:rsidP="008F79B2">
    <w:pPr>
      <w:pStyle w:val="Header"/>
    </w:pPr>
    <w:r>
      <w:rPr>
        <w:sz w:val="18"/>
        <w:szCs w:val="18"/>
      </w:rPr>
      <w:tab/>
    </w:r>
  </w:p>
  <w:p w14:paraId="2A0CB0DE" w14:textId="17042FB1" w:rsidR="008F79B2" w:rsidRPr="002B6F10" w:rsidRDefault="002B6F10" w:rsidP="002B6F10">
    <w:pPr>
      <w:pStyle w:val="Header"/>
      <w:jc w:val="center"/>
      <w:rPr>
        <w:i/>
        <w:iCs/>
        <w:sz w:val="20"/>
        <w:szCs w:val="20"/>
      </w:rPr>
    </w:pPr>
    <w:r w:rsidRPr="002B6F10">
      <w:rPr>
        <w:i/>
        <w:iCs/>
        <w:sz w:val="20"/>
        <w:szCs w:val="20"/>
      </w:rPr>
      <w:t>REA Response</w:t>
    </w:r>
    <w:r w:rsidR="00E052B2">
      <w:rPr>
        <w:i/>
        <w:iCs/>
        <w:sz w:val="20"/>
        <w:szCs w:val="20"/>
      </w:rPr>
      <w:t xml:space="preserve"> to FIT equipment replacement consultation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6806" w14:textId="7DE671B9" w:rsidR="008F79B2" w:rsidRPr="00B153D9" w:rsidRDefault="008F79B2" w:rsidP="008F79B2">
    <w:pPr>
      <w:pStyle w:val="Header"/>
      <w:rPr>
        <w:sz w:val="18"/>
        <w:szCs w:val="18"/>
      </w:rPr>
    </w:pPr>
    <w:r>
      <w:rPr>
        <w:noProof/>
      </w:rPr>
      <w:drawing>
        <wp:anchor distT="0" distB="0" distL="114300" distR="114300" simplePos="0" relativeHeight="251660288"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8D3"/>
    <w:multiLevelType w:val="hybridMultilevel"/>
    <w:tmpl w:val="0BD8C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22120"/>
    <w:multiLevelType w:val="hybridMultilevel"/>
    <w:tmpl w:val="4E3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51770"/>
    <w:multiLevelType w:val="hybridMultilevel"/>
    <w:tmpl w:val="A4ACF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7817A2"/>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24A40"/>
    <w:multiLevelType w:val="hybridMultilevel"/>
    <w:tmpl w:val="8506B74C"/>
    <w:lvl w:ilvl="0" w:tplc="0F92A4D2">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351AE"/>
    <w:multiLevelType w:val="hybridMultilevel"/>
    <w:tmpl w:val="A306AF7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0CE146A1"/>
    <w:multiLevelType w:val="hybridMultilevel"/>
    <w:tmpl w:val="8D58C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B30CE9"/>
    <w:multiLevelType w:val="hybridMultilevel"/>
    <w:tmpl w:val="014E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C5469"/>
    <w:multiLevelType w:val="hybridMultilevel"/>
    <w:tmpl w:val="F920D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285138"/>
    <w:multiLevelType w:val="hybridMultilevel"/>
    <w:tmpl w:val="3C12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74DB1"/>
    <w:multiLevelType w:val="hybridMultilevel"/>
    <w:tmpl w:val="5616DB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E4D4F"/>
    <w:multiLevelType w:val="hybridMultilevel"/>
    <w:tmpl w:val="B178BCEE"/>
    <w:lvl w:ilvl="0" w:tplc="D4066D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B087F"/>
    <w:multiLevelType w:val="hybridMultilevel"/>
    <w:tmpl w:val="51688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411D9"/>
    <w:multiLevelType w:val="hybridMultilevel"/>
    <w:tmpl w:val="AC721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B07A2"/>
    <w:multiLevelType w:val="hybridMultilevel"/>
    <w:tmpl w:val="1E0E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E234E"/>
    <w:multiLevelType w:val="multilevel"/>
    <w:tmpl w:val="4C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C1A4B"/>
    <w:multiLevelType w:val="hybridMultilevel"/>
    <w:tmpl w:val="29AAD64C"/>
    <w:lvl w:ilvl="0" w:tplc="B086B74A">
      <w:start w:val="5"/>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04080"/>
    <w:multiLevelType w:val="hybridMultilevel"/>
    <w:tmpl w:val="7BFE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F7AD2"/>
    <w:multiLevelType w:val="hybridMultilevel"/>
    <w:tmpl w:val="2162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C2705"/>
    <w:multiLevelType w:val="hybridMultilevel"/>
    <w:tmpl w:val="5688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404FB"/>
    <w:multiLevelType w:val="hybridMultilevel"/>
    <w:tmpl w:val="EBB4EC4C"/>
    <w:lvl w:ilvl="0" w:tplc="EE804964">
      <w:start w:val="400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20226"/>
    <w:multiLevelType w:val="hybridMultilevel"/>
    <w:tmpl w:val="32CE6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541565"/>
    <w:multiLevelType w:val="hybridMultilevel"/>
    <w:tmpl w:val="F536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A1BD3"/>
    <w:multiLevelType w:val="hybridMultilevel"/>
    <w:tmpl w:val="228A75C2"/>
    <w:lvl w:ilvl="0" w:tplc="F742656A">
      <w:start w:val="3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6B24F6"/>
    <w:multiLevelType w:val="hybridMultilevel"/>
    <w:tmpl w:val="4DB44802"/>
    <w:lvl w:ilvl="0" w:tplc="1E50392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E65B9"/>
    <w:multiLevelType w:val="hybridMultilevel"/>
    <w:tmpl w:val="7BCA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8652A"/>
    <w:multiLevelType w:val="hybridMultilevel"/>
    <w:tmpl w:val="7A6A9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F2603E"/>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04AC6"/>
    <w:multiLevelType w:val="hybridMultilevel"/>
    <w:tmpl w:val="87649904"/>
    <w:lvl w:ilvl="0" w:tplc="8B2A6EB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C0008"/>
    <w:multiLevelType w:val="hybridMultilevel"/>
    <w:tmpl w:val="C024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128B9"/>
    <w:multiLevelType w:val="hybridMultilevel"/>
    <w:tmpl w:val="33E8CEBE"/>
    <w:lvl w:ilvl="0" w:tplc="84A2D55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43BC4"/>
    <w:multiLevelType w:val="hybridMultilevel"/>
    <w:tmpl w:val="EE18A9C6"/>
    <w:lvl w:ilvl="0" w:tplc="0D78FD7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470B8"/>
    <w:multiLevelType w:val="hybridMultilevel"/>
    <w:tmpl w:val="26DE8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C14384"/>
    <w:multiLevelType w:val="hybridMultilevel"/>
    <w:tmpl w:val="A1AE352E"/>
    <w:lvl w:ilvl="0" w:tplc="7E589484">
      <w:start w:val="1"/>
      <w:numFmt w:val="bullet"/>
      <w:lvlText w:val="•"/>
      <w:lvlJc w:val="left"/>
      <w:pPr>
        <w:tabs>
          <w:tab w:val="num" w:pos="720"/>
        </w:tabs>
        <w:ind w:left="720" w:hanging="360"/>
      </w:pPr>
      <w:rPr>
        <w:rFonts w:ascii="Arial" w:hAnsi="Arial" w:hint="default"/>
      </w:rPr>
    </w:lvl>
    <w:lvl w:ilvl="1" w:tplc="F126EF6A" w:tentative="1">
      <w:start w:val="1"/>
      <w:numFmt w:val="bullet"/>
      <w:lvlText w:val="•"/>
      <w:lvlJc w:val="left"/>
      <w:pPr>
        <w:tabs>
          <w:tab w:val="num" w:pos="1440"/>
        </w:tabs>
        <w:ind w:left="1440" w:hanging="360"/>
      </w:pPr>
      <w:rPr>
        <w:rFonts w:ascii="Arial" w:hAnsi="Arial" w:hint="default"/>
      </w:rPr>
    </w:lvl>
    <w:lvl w:ilvl="2" w:tplc="6310F066" w:tentative="1">
      <w:start w:val="1"/>
      <w:numFmt w:val="bullet"/>
      <w:lvlText w:val="•"/>
      <w:lvlJc w:val="left"/>
      <w:pPr>
        <w:tabs>
          <w:tab w:val="num" w:pos="2160"/>
        </w:tabs>
        <w:ind w:left="2160" w:hanging="360"/>
      </w:pPr>
      <w:rPr>
        <w:rFonts w:ascii="Arial" w:hAnsi="Arial" w:hint="default"/>
      </w:rPr>
    </w:lvl>
    <w:lvl w:ilvl="3" w:tplc="256E582A" w:tentative="1">
      <w:start w:val="1"/>
      <w:numFmt w:val="bullet"/>
      <w:lvlText w:val="•"/>
      <w:lvlJc w:val="left"/>
      <w:pPr>
        <w:tabs>
          <w:tab w:val="num" w:pos="2880"/>
        </w:tabs>
        <w:ind w:left="2880" w:hanging="360"/>
      </w:pPr>
      <w:rPr>
        <w:rFonts w:ascii="Arial" w:hAnsi="Arial" w:hint="default"/>
      </w:rPr>
    </w:lvl>
    <w:lvl w:ilvl="4" w:tplc="D57801FA" w:tentative="1">
      <w:start w:val="1"/>
      <w:numFmt w:val="bullet"/>
      <w:lvlText w:val="•"/>
      <w:lvlJc w:val="left"/>
      <w:pPr>
        <w:tabs>
          <w:tab w:val="num" w:pos="3600"/>
        </w:tabs>
        <w:ind w:left="3600" w:hanging="360"/>
      </w:pPr>
      <w:rPr>
        <w:rFonts w:ascii="Arial" w:hAnsi="Arial" w:hint="default"/>
      </w:rPr>
    </w:lvl>
    <w:lvl w:ilvl="5" w:tplc="43707B82" w:tentative="1">
      <w:start w:val="1"/>
      <w:numFmt w:val="bullet"/>
      <w:lvlText w:val="•"/>
      <w:lvlJc w:val="left"/>
      <w:pPr>
        <w:tabs>
          <w:tab w:val="num" w:pos="4320"/>
        </w:tabs>
        <w:ind w:left="4320" w:hanging="360"/>
      </w:pPr>
      <w:rPr>
        <w:rFonts w:ascii="Arial" w:hAnsi="Arial" w:hint="default"/>
      </w:rPr>
    </w:lvl>
    <w:lvl w:ilvl="6" w:tplc="A2702A82" w:tentative="1">
      <w:start w:val="1"/>
      <w:numFmt w:val="bullet"/>
      <w:lvlText w:val="•"/>
      <w:lvlJc w:val="left"/>
      <w:pPr>
        <w:tabs>
          <w:tab w:val="num" w:pos="5040"/>
        </w:tabs>
        <w:ind w:left="5040" w:hanging="360"/>
      </w:pPr>
      <w:rPr>
        <w:rFonts w:ascii="Arial" w:hAnsi="Arial" w:hint="default"/>
      </w:rPr>
    </w:lvl>
    <w:lvl w:ilvl="7" w:tplc="0D6077A2" w:tentative="1">
      <w:start w:val="1"/>
      <w:numFmt w:val="bullet"/>
      <w:lvlText w:val="•"/>
      <w:lvlJc w:val="left"/>
      <w:pPr>
        <w:tabs>
          <w:tab w:val="num" w:pos="5760"/>
        </w:tabs>
        <w:ind w:left="5760" w:hanging="360"/>
      </w:pPr>
      <w:rPr>
        <w:rFonts w:ascii="Arial" w:hAnsi="Arial" w:hint="default"/>
      </w:rPr>
    </w:lvl>
    <w:lvl w:ilvl="8" w:tplc="F51E07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1C147E"/>
    <w:multiLevelType w:val="hybridMultilevel"/>
    <w:tmpl w:val="3F4EFA10"/>
    <w:lvl w:ilvl="0" w:tplc="0298BD6A">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53E70"/>
    <w:multiLevelType w:val="hybridMultilevel"/>
    <w:tmpl w:val="2B2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F34A0"/>
    <w:multiLevelType w:val="hybridMultilevel"/>
    <w:tmpl w:val="98D82038"/>
    <w:lvl w:ilvl="0" w:tplc="7B4ED5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17EFA"/>
    <w:multiLevelType w:val="hybridMultilevel"/>
    <w:tmpl w:val="3C1EAB50"/>
    <w:lvl w:ilvl="0" w:tplc="849CD34A">
      <w:start w:val="2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F262F"/>
    <w:multiLevelType w:val="hybridMultilevel"/>
    <w:tmpl w:val="4760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2"/>
  </w:num>
  <w:num w:numId="4">
    <w:abstractNumId w:val="30"/>
  </w:num>
  <w:num w:numId="5">
    <w:abstractNumId w:val="33"/>
  </w:num>
  <w:num w:numId="6">
    <w:abstractNumId w:val="15"/>
  </w:num>
  <w:num w:numId="7">
    <w:abstractNumId w:val="24"/>
  </w:num>
  <w:num w:numId="8">
    <w:abstractNumId w:val="4"/>
  </w:num>
  <w:num w:numId="9">
    <w:abstractNumId w:val="34"/>
  </w:num>
  <w:num w:numId="10">
    <w:abstractNumId w:val="23"/>
  </w:num>
  <w:num w:numId="11">
    <w:abstractNumId w:val="16"/>
  </w:num>
  <w:num w:numId="12">
    <w:abstractNumId w:val="31"/>
  </w:num>
  <w:num w:numId="13">
    <w:abstractNumId w:val="12"/>
  </w:num>
  <w:num w:numId="14">
    <w:abstractNumId w:val="13"/>
  </w:num>
  <w:num w:numId="15">
    <w:abstractNumId w:val="17"/>
  </w:num>
  <w:num w:numId="16">
    <w:abstractNumId w:val="26"/>
  </w:num>
  <w:num w:numId="17">
    <w:abstractNumId w:val="32"/>
  </w:num>
  <w:num w:numId="18">
    <w:abstractNumId w:val="20"/>
  </w:num>
  <w:num w:numId="19">
    <w:abstractNumId w:val="22"/>
  </w:num>
  <w:num w:numId="20">
    <w:abstractNumId w:val="35"/>
  </w:num>
  <w:num w:numId="21">
    <w:abstractNumId w:val="14"/>
  </w:num>
  <w:num w:numId="22">
    <w:abstractNumId w:val="36"/>
  </w:num>
  <w:num w:numId="23">
    <w:abstractNumId w:val="19"/>
  </w:num>
  <w:num w:numId="24">
    <w:abstractNumId w:val="9"/>
  </w:num>
  <w:num w:numId="25">
    <w:abstractNumId w:val="11"/>
  </w:num>
  <w:num w:numId="26">
    <w:abstractNumId w:val="1"/>
  </w:num>
  <w:num w:numId="27">
    <w:abstractNumId w:val="7"/>
  </w:num>
  <w:num w:numId="28">
    <w:abstractNumId w:val="0"/>
  </w:num>
  <w:num w:numId="29">
    <w:abstractNumId w:val="25"/>
  </w:num>
  <w:num w:numId="30">
    <w:abstractNumId w:val="3"/>
  </w:num>
  <w:num w:numId="31">
    <w:abstractNumId w:val="27"/>
  </w:num>
  <w:num w:numId="32">
    <w:abstractNumId w:val="18"/>
  </w:num>
  <w:num w:numId="33">
    <w:abstractNumId w:val="37"/>
  </w:num>
  <w:num w:numId="34">
    <w:abstractNumId w:val="5"/>
  </w:num>
  <w:num w:numId="35">
    <w:abstractNumId w:val="29"/>
  </w:num>
  <w:num w:numId="36">
    <w:abstractNumId w:val="1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0F05"/>
    <w:rsid w:val="00001D58"/>
    <w:rsid w:val="000040A6"/>
    <w:rsid w:val="000049BD"/>
    <w:rsid w:val="000077A0"/>
    <w:rsid w:val="0001028A"/>
    <w:rsid w:val="0001210C"/>
    <w:rsid w:val="00012C09"/>
    <w:rsid w:val="00013741"/>
    <w:rsid w:val="00014DF3"/>
    <w:rsid w:val="00017429"/>
    <w:rsid w:val="00017625"/>
    <w:rsid w:val="00021FB0"/>
    <w:rsid w:val="00024049"/>
    <w:rsid w:val="0002670E"/>
    <w:rsid w:val="000274B7"/>
    <w:rsid w:val="00033C3F"/>
    <w:rsid w:val="00036118"/>
    <w:rsid w:val="0003622B"/>
    <w:rsid w:val="000377D3"/>
    <w:rsid w:val="00037B2E"/>
    <w:rsid w:val="00037FD9"/>
    <w:rsid w:val="0004039B"/>
    <w:rsid w:val="00040DF6"/>
    <w:rsid w:val="000514EB"/>
    <w:rsid w:val="000564E5"/>
    <w:rsid w:val="0006325D"/>
    <w:rsid w:val="00063B03"/>
    <w:rsid w:val="000717CA"/>
    <w:rsid w:val="00072972"/>
    <w:rsid w:val="000773E8"/>
    <w:rsid w:val="00081A4A"/>
    <w:rsid w:val="000835FC"/>
    <w:rsid w:val="000843F0"/>
    <w:rsid w:val="00087312"/>
    <w:rsid w:val="00095C3D"/>
    <w:rsid w:val="00096FA3"/>
    <w:rsid w:val="000976B3"/>
    <w:rsid w:val="000A0A8E"/>
    <w:rsid w:val="000A3635"/>
    <w:rsid w:val="000A4DB6"/>
    <w:rsid w:val="000A5033"/>
    <w:rsid w:val="000B2A51"/>
    <w:rsid w:val="000B4868"/>
    <w:rsid w:val="000B62FF"/>
    <w:rsid w:val="000B71A8"/>
    <w:rsid w:val="000C652B"/>
    <w:rsid w:val="000C688C"/>
    <w:rsid w:val="000C7291"/>
    <w:rsid w:val="000D1D81"/>
    <w:rsid w:val="000D56D1"/>
    <w:rsid w:val="000D5F16"/>
    <w:rsid w:val="000D6522"/>
    <w:rsid w:val="000E0E70"/>
    <w:rsid w:val="000E2AA0"/>
    <w:rsid w:val="000E46CA"/>
    <w:rsid w:val="000F1981"/>
    <w:rsid w:val="000F2AC3"/>
    <w:rsid w:val="00126A7E"/>
    <w:rsid w:val="001309D7"/>
    <w:rsid w:val="0013126A"/>
    <w:rsid w:val="001313BC"/>
    <w:rsid w:val="00133644"/>
    <w:rsid w:val="00150917"/>
    <w:rsid w:val="00151C2E"/>
    <w:rsid w:val="001534A2"/>
    <w:rsid w:val="00153CE5"/>
    <w:rsid w:val="001701F4"/>
    <w:rsid w:val="001725D8"/>
    <w:rsid w:val="00172EF2"/>
    <w:rsid w:val="00174095"/>
    <w:rsid w:val="001740F2"/>
    <w:rsid w:val="001771C3"/>
    <w:rsid w:val="00177C4A"/>
    <w:rsid w:val="00180640"/>
    <w:rsid w:val="00182AD8"/>
    <w:rsid w:val="00183EE7"/>
    <w:rsid w:val="001958FB"/>
    <w:rsid w:val="00196AF0"/>
    <w:rsid w:val="001A021F"/>
    <w:rsid w:val="001A4BE5"/>
    <w:rsid w:val="001A5BA9"/>
    <w:rsid w:val="001A5D95"/>
    <w:rsid w:val="001B03CA"/>
    <w:rsid w:val="001B0B4D"/>
    <w:rsid w:val="001B1A59"/>
    <w:rsid w:val="001B5B98"/>
    <w:rsid w:val="001B6847"/>
    <w:rsid w:val="001B6C0A"/>
    <w:rsid w:val="001B7135"/>
    <w:rsid w:val="001C126A"/>
    <w:rsid w:val="001C22D9"/>
    <w:rsid w:val="001C4CC3"/>
    <w:rsid w:val="001D02EC"/>
    <w:rsid w:val="001D35EB"/>
    <w:rsid w:val="001D52B3"/>
    <w:rsid w:val="001D647B"/>
    <w:rsid w:val="001D7A21"/>
    <w:rsid w:val="001E1DD1"/>
    <w:rsid w:val="001E2550"/>
    <w:rsid w:val="001E3BEC"/>
    <w:rsid w:val="001F23A0"/>
    <w:rsid w:val="001F2738"/>
    <w:rsid w:val="001F3165"/>
    <w:rsid w:val="001F5E53"/>
    <w:rsid w:val="001F70B4"/>
    <w:rsid w:val="0020578E"/>
    <w:rsid w:val="00206091"/>
    <w:rsid w:val="00206B05"/>
    <w:rsid w:val="00206E5E"/>
    <w:rsid w:val="00210636"/>
    <w:rsid w:val="002108B4"/>
    <w:rsid w:val="00210A37"/>
    <w:rsid w:val="0021296F"/>
    <w:rsid w:val="0021330A"/>
    <w:rsid w:val="00220257"/>
    <w:rsid w:val="0022265C"/>
    <w:rsid w:val="002241FE"/>
    <w:rsid w:val="002404A2"/>
    <w:rsid w:val="00241C00"/>
    <w:rsid w:val="00250A34"/>
    <w:rsid w:val="00250B2C"/>
    <w:rsid w:val="00252CFB"/>
    <w:rsid w:val="00253B79"/>
    <w:rsid w:val="002554EB"/>
    <w:rsid w:val="0025602C"/>
    <w:rsid w:val="00260EF7"/>
    <w:rsid w:val="00265A3D"/>
    <w:rsid w:val="00273616"/>
    <w:rsid w:val="002754FA"/>
    <w:rsid w:val="00277D6B"/>
    <w:rsid w:val="0028347F"/>
    <w:rsid w:val="002912A1"/>
    <w:rsid w:val="0029493B"/>
    <w:rsid w:val="00296366"/>
    <w:rsid w:val="002A2492"/>
    <w:rsid w:val="002A6CCA"/>
    <w:rsid w:val="002A7067"/>
    <w:rsid w:val="002B6F10"/>
    <w:rsid w:val="002B6F75"/>
    <w:rsid w:val="002B79D2"/>
    <w:rsid w:val="002C476E"/>
    <w:rsid w:val="002C6DEA"/>
    <w:rsid w:val="002C7F54"/>
    <w:rsid w:val="002D2CED"/>
    <w:rsid w:val="002D358F"/>
    <w:rsid w:val="002D41B7"/>
    <w:rsid w:val="002D56B3"/>
    <w:rsid w:val="002D6847"/>
    <w:rsid w:val="002E0D36"/>
    <w:rsid w:val="002E3E13"/>
    <w:rsid w:val="002E5F58"/>
    <w:rsid w:val="002F1E33"/>
    <w:rsid w:val="002F63D9"/>
    <w:rsid w:val="0030014B"/>
    <w:rsid w:val="00303845"/>
    <w:rsid w:val="00313E1D"/>
    <w:rsid w:val="003151C6"/>
    <w:rsid w:val="0032007C"/>
    <w:rsid w:val="00332A0E"/>
    <w:rsid w:val="003414FD"/>
    <w:rsid w:val="0034363A"/>
    <w:rsid w:val="00344FB0"/>
    <w:rsid w:val="00354CAA"/>
    <w:rsid w:val="00357F0E"/>
    <w:rsid w:val="0036214D"/>
    <w:rsid w:val="0036441F"/>
    <w:rsid w:val="0036568A"/>
    <w:rsid w:val="003706CE"/>
    <w:rsid w:val="00370856"/>
    <w:rsid w:val="003718D1"/>
    <w:rsid w:val="0037201A"/>
    <w:rsid w:val="00373239"/>
    <w:rsid w:val="00377D30"/>
    <w:rsid w:val="00382269"/>
    <w:rsid w:val="00387796"/>
    <w:rsid w:val="00387952"/>
    <w:rsid w:val="00392433"/>
    <w:rsid w:val="00392880"/>
    <w:rsid w:val="00394BC9"/>
    <w:rsid w:val="00396820"/>
    <w:rsid w:val="00397098"/>
    <w:rsid w:val="003970AB"/>
    <w:rsid w:val="003A2360"/>
    <w:rsid w:val="003A2969"/>
    <w:rsid w:val="003A2B72"/>
    <w:rsid w:val="003A2E5E"/>
    <w:rsid w:val="003A6C10"/>
    <w:rsid w:val="003B0EA0"/>
    <w:rsid w:val="003B2075"/>
    <w:rsid w:val="003C2F4C"/>
    <w:rsid w:val="003C480D"/>
    <w:rsid w:val="003D191B"/>
    <w:rsid w:val="003E1983"/>
    <w:rsid w:val="003F3E27"/>
    <w:rsid w:val="00400652"/>
    <w:rsid w:val="0040132C"/>
    <w:rsid w:val="00406304"/>
    <w:rsid w:val="00410450"/>
    <w:rsid w:val="00410EED"/>
    <w:rsid w:val="0041275E"/>
    <w:rsid w:val="00415724"/>
    <w:rsid w:val="004200FB"/>
    <w:rsid w:val="004205B0"/>
    <w:rsid w:val="004215BC"/>
    <w:rsid w:val="00425193"/>
    <w:rsid w:val="00431747"/>
    <w:rsid w:val="00431ECA"/>
    <w:rsid w:val="00440EF9"/>
    <w:rsid w:val="004530BA"/>
    <w:rsid w:val="004605BD"/>
    <w:rsid w:val="00462B0E"/>
    <w:rsid w:val="00470F89"/>
    <w:rsid w:val="0047456D"/>
    <w:rsid w:val="00484678"/>
    <w:rsid w:val="00487F88"/>
    <w:rsid w:val="0049405F"/>
    <w:rsid w:val="004968D5"/>
    <w:rsid w:val="00497395"/>
    <w:rsid w:val="00497401"/>
    <w:rsid w:val="004A0681"/>
    <w:rsid w:val="004A1A9C"/>
    <w:rsid w:val="004A37F1"/>
    <w:rsid w:val="004A6F7F"/>
    <w:rsid w:val="004A70B3"/>
    <w:rsid w:val="004B062E"/>
    <w:rsid w:val="004B3F56"/>
    <w:rsid w:val="004C28D6"/>
    <w:rsid w:val="004C3842"/>
    <w:rsid w:val="004C4708"/>
    <w:rsid w:val="004D4032"/>
    <w:rsid w:val="004E0E91"/>
    <w:rsid w:val="004E0EE5"/>
    <w:rsid w:val="004E49BB"/>
    <w:rsid w:val="004E7198"/>
    <w:rsid w:val="004F1F61"/>
    <w:rsid w:val="004F40EA"/>
    <w:rsid w:val="004F4C28"/>
    <w:rsid w:val="00501E5B"/>
    <w:rsid w:val="00505D9B"/>
    <w:rsid w:val="005143BA"/>
    <w:rsid w:val="005179A0"/>
    <w:rsid w:val="005272A8"/>
    <w:rsid w:val="00537142"/>
    <w:rsid w:val="00550A2E"/>
    <w:rsid w:val="00562759"/>
    <w:rsid w:val="005663FE"/>
    <w:rsid w:val="00572350"/>
    <w:rsid w:val="00573F98"/>
    <w:rsid w:val="00581FE5"/>
    <w:rsid w:val="00583BA2"/>
    <w:rsid w:val="0058465A"/>
    <w:rsid w:val="00586AD0"/>
    <w:rsid w:val="00587DF1"/>
    <w:rsid w:val="005916EA"/>
    <w:rsid w:val="00595898"/>
    <w:rsid w:val="00596F03"/>
    <w:rsid w:val="005A0F89"/>
    <w:rsid w:val="005A2866"/>
    <w:rsid w:val="005A4A6D"/>
    <w:rsid w:val="005A5650"/>
    <w:rsid w:val="005B0881"/>
    <w:rsid w:val="005B65C2"/>
    <w:rsid w:val="005C0948"/>
    <w:rsid w:val="005C1990"/>
    <w:rsid w:val="005C20E6"/>
    <w:rsid w:val="005D64C8"/>
    <w:rsid w:val="005D7C91"/>
    <w:rsid w:val="005E3370"/>
    <w:rsid w:val="005E3903"/>
    <w:rsid w:val="005E78C7"/>
    <w:rsid w:val="005F4D6A"/>
    <w:rsid w:val="005F5A55"/>
    <w:rsid w:val="005F64FB"/>
    <w:rsid w:val="00600168"/>
    <w:rsid w:val="00600736"/>
    <w:rsid w:val="00603614"/>
    <w:rsid w:val="006049C5"/>
    <w:rsid w:val="00604FEB"/>
    <w:rsid w:val="00610B17"/>
    <w:rsid w:val="006121E4"/>
    <w:rsid w:val="00613368"/>
    <w:rsid w:val="00614103"/>
    <w:rsid w:val="00617B37"/>
    <w:rsid w:val="006267B7"/>
    <w:rsid w:val="006269E3"/>
    <w:rsid w:val="0063083B"/>
    <w:rsid w:val="006408EC"/>
    <w:rsid w:val="0064108C"/>
    <w:rsid w:val="00641ADB"/>
    <w:rsid w:val="00642CDC"/>
    <w:rsid w:val="00644907"/>
    <w:rsid w:val="00647F83"/>
    <w:rsid w:val="00653571"/>
    <w:rsid w:val="00654E4F"/>
    <w:rsid w:val="0065769E"/>
    <w:rsid w:val="00662A59"/>
    <w:rsid w:val="0066517A"/>
    <w:rsid w:val="00672C0E"/>
    <w:rsid w:val="00674E9E"/>
    <w:rsid w:val="006767C5"/>
    <w:rsid w:val="00677674"/>
    <w:rsid w:val="00681E52"/>
    <w:rsid w:val="00690284"/>
    <w:rsid w:val="00690B4C"/>
    <w:rsid w:val="0069312B"/>
    <w:rsid w:val="006A1105"/>
    <w:rsid w:val="006A274E"/>
    <w:rsid w:val="006A29DD"/>
    <w:rsid w:val="006A38D9"/>
    <w:rsid w:val="006A448A"/>
    <w:rsid w:val="006A6935"/>
    <w:rsid w:val="006B5125"/>
    <w:rsid w:val="006C379B"/>
    <w:rsid w:val="006C5286"/>
    <w:rsid w:val="006C78C1"/>
    <w:rsid w:val="006D2634"/>
    <w:rsid w:val="006D28A4"/>
    <w:rsid w:val="006D67A2"/>
    <w:rsid w:val="006D708F"/>
    <w:rsid w:val="006E3C13"/>
    <w:rsid w:val="006E5127"/>
    <w:rsid w:val="006F061C"/>
    <w:rsid w:val="006F2592"/>
    <w:rsid w:val="006F4D15"/>
    <w:rsid w:val="006F6F3A"/>
    <w:rsid w:val="00700CD0"/>
    <w:rsid w:val="007014D4"/>
    <w:rsid w:val="00706225"/>
    <w:rsid w:val="007102F0"/>
    <w:rsid w:val="00711AAD"/>
    <w:rsid w:val="00713831"/>
    <w:rsid w:val="0072773A"/>
    <w:rsid w:val="00736310"/>
    <w:rsid w:val="0074223B"/>
    <w:rsid w:val="00742E91"/>
    <w:rsid w:val="00743B33"/>
    <w:rsid w:val="007451AB"/>
    <w:rsid w:val="00754CA3"/>
    <w:rsid w:val="007552A6"/>
    <w:rsid w:val="0075597A"/>
    <w:rsid w:val="00760205"/>
    <w:rsid w:val="00761EDA"/>
    <w:rsid w:val="00765744"/>
    <w:rsid w:val="007658FB"/>
    <w:rsid w:val="00770095"/>
    <w:rsid w:val="00771051"/>
    <w:rsid w:val="00776B27"/>
    <w:rsid w:val="007777AC"/>
    <w:rsid w:val="007813F5"/>
    <w:rsid w:val="00781E77"/>
    <w:rsid w:val="00782565"/>
    <w:rsid w:val="007835F4"/>
    <w:rsid w:val="007841D8"/>
    <w:rsid w:val="00787077"/>
    <w:rsid w:val="007908A3"/>
    <w:rsid w:val="00793832"/>
    <w:rsid w:val="00796838"/>
    <w:rsid w:val="007A4115"/>
    <w:rsid w:val="007B2B4B"/>
    <w:rsid w:val="007B5E42"/>
    <w:rsid w:val="007C2C1C"/>
    <w:rsid w:val="007D74C6"/>
    <w:rsid w:val="007E1515"/>
    <w:rsid w:val="007E20C9"/>
    <w:rsid w:val="007E46AB"/>
    <w:rsid w:val="007F3698"/>
    <w:rsid w:val="008032E1"/>
    <w:rsid w:val="00804AF0"/>
    <w:rsid w:val="00807468"/>
    <w:rsid w:val="00810550"/>
    <w:rsid w:val="00813223"/>
    <w:rsid w:val="00825D1B"/>
    <w:rsid w:val="00832702"/>
    <w:rsid w:val="00833E2D"/>
    <w:rsid w:val="008374D7"/>
    <w:rsid w:val="008451F9"/>
    <w:rsid w:val="00847C37"/>
    <w:rsid w:val="00850032"/>
    <w:rsid w:val="0085599D"/>
    <w:rsid w:val="008601CD"/>
    <w:rsid w:val="008608B5"/>
    <w:rsid w:val="00871B41"/>
    <w:rsid w:val="00875A6D"/>
    <w:rsid w:val="0087676B"/>
    <w:rsid w:val="00881E55"/>
    <w:rsid w:val="00882FC4"/>
    <w:rsid w:val="008910A6"/>
    <w:rsid w:val="00894858"/>
    <w:rsid w:val="008955CE"/>
    <w:rsid w:val="008A319C"/>
    <w:rsid w:val="008A5C91"/>
    <w:rsid w:val="008B04F7"/>
    <w:rsid w:val="008B2821"/>
    <w:rsid w:val="008B2C24"/>
    <w:rsid w:val="008B6196"/>
    <w:rsid w:val="008B7456"/>
    <w:rsid w:val="008C0168"/>
    <w:rsid w:val="008C210A"/>
    <w:rsid w:val="008C2761"/>
    <w:rsid w:val="008C462D"/>
    <w:rsid w:val="008C48F8"/>
    <w:rsid w:val="008C6806"/>
    <w:rsid w:val="008D2F33"/>
    <w:rsid w:val="008D4B61"/>
    <w:rsid w:val="008D6D60"/>
    <w:rsid w:val="008E3BFC"/>
    <w:rsid w:val="008E48FA"/>
    <w:rsid w:val="008E4D0A"/>
    <w:rsid w:val="008E58C9"/>
    <w:rsid w:val="008F09CE"/>
    <w:rsid w:val="008F37C4"/>
    <w:rsid w:val="008F431B"/>
    <w:rsid w:val="008F5EAD"/>
    <w:rsid w:val="008F79B2"/>
    <w:rsid w:val="00905646"/>
    <w:rsid w:val="0091531F"/>
    <w:rsid w:val="0092188E"/>
    <w:rsid w:val="00923308"/>
    <w:rsid w:val="00923427"/>
    <w:rsid w:val="00924D1F"/>
    <w:rsid w:val="00925525"/>
    <w:rsid w:val="00930AAB"/>
    <w:rsid w:val="00930BD7"/>
    <w:rsid w:val="009330EE"/>
    <w:rsid w:val="00933D47"/>
    <w:rsid w:val="00937B26"/>
    <w:rsid w:val="00937EB9"/>
    <w:rsid w:val="009442B0"/>
    <w:rsid w:val="00944466"/>
    <w:rsid w:val="00944C84"/>
    <w:rsid w:val="009464C7"/>
    <w:rsid w:val="009614BF"/>
    <w:rsid w:val="00961C52"/>
    <w:rsid w:val="00964C3A"/>
    <w:rsid w:val="00965284"/>
    <w:rsid w:val="00970FC6"/>
    <w:rsid w:val="0097232E"/>
    <w:rsid w:val="00975456"/>
    <w:rsid w:val="009801F9"/>
    <w:rsid w:val="00981859"/>
    <w:rsid w:val="00981B74"/>
    <w:rsid w:val="009879B4"/>
    <w:rsid w:val="00991DB0"/>
    <w:rsid w:val="009975F0"/>
    <w:rsid w:val="00997D46"/>
    <w:rsid w:val="009A205B"/>
    <w:rsid w:val="009A3BBA"/>
    <w:rsid w:val="009B46C4"/>
    <w:rsid w:val="009B71CA"/>
    <w:rsid w:val="009C11D3"/>
    <w:rsid w:val="009C12EB"/>
    <w:rsid w:val="009C1DC8"/>
    <w:rsid w:val="009C519A"/>
    <w:rsid w:val="009C5F06"/>
    <w:rsid w:val="009C7B7D"/>
    <w:rsid w:val="009D18E6"/>
    <w:rsid w:val="009D3DD3"/>
    <w:rsid w:val="009D5997"/>
    <w:rsid w:val="009E535F"/>
    <w:rsid w:val="009E7AF7"/>
    <w:rsid w:val="009E7D89"/>
    <w:rsid w:val="009F56BA"/>
    <w:rsid w:val="009F6874"/>
    <w:rsid w:val="00A0313A"/>
    <w:rsid w:val="00A061AD"/>
    <w:rsid w:val="00A064C0"/>
    <w:rsid w:val="00A07AD0"/>
    <w:rsid w:val="00A103BB"/>
    <w:rsid w:val="00A1173F"/>
    <w:rsid w:val="00A1513F"/>
    <w:rsid w:val="00A213FB"/>
    <w:rsid w:val="00A22764"/>
    <w:rsid w:val="00A22F37"/>
    <w:rsid w:val="00A35170"/>
    <w:rsid w:val="00A41446"/>
    <w:rsid w:val="00A438A1"/>
    <w:rsid w:val="00A50EF3"/>
    <w:rsid w:val="00A5625D"/>
    <w:rsid w:val="00A60983"/>
    <w:rsid w:val="00A6183F"/>
    <w:rsid w:val="00A72706"/>
    <w:rsid w:val="00A85AF3"/>
    <w:rsid w:val="00A92ECA"/>
    <w:rsid w:val="00AA2E6E"/>
    <w:rsid w:val="00AA7AA5"/>
    <w:rsid w:val="00AB382B"/>
    <w:rsid w:val="00AB3AEF"/>
    <w:rsid w:val="00AC0194"/>
    <w:rsid w:val="00AC0EE5"/>
    <w:rsid w:val="00AD1D49"/>
    <w:rsid w:val="00AD27AE"/>
    <w:rsid w:val="00AD39A3"/>
    <w:rsid w:val="00AD4882"/>
    <w:rsid w:val="00AD7571"/>
    <w:rsid w:val="00AE249C"/>
    <w:rsid w:val="00AE4FA5"/>
    <w:rsid w:val="00AE6840"/>
    <w:rsid w:val="00AF142C"/>
    <w:rsid w:val="00AF7B82"/>
    <w:rsid w:val="00B006DA"/>
    <w:rsid w:val="00B03E9B"/>
    <w:rsid w:val="00B046A0"/>
    <w:rsid w:val="00B05A48"/>
    <w:rsid w:val="00B153D9"/>
    <w:rsid w:val="00B16A3E"/>
    <w:rsid w:val="00B326CF"/>
    <w:rsid w:val="00B32F64"/>
    <w:rsid w:val="00B357E2"/>
    <w:rsid w:val="00B401EC"/>
    <w:rsid w:val="00B4340D"/>
    <w:rsid w:val="00B465FA"/>
    <w:rsid w:val="00B5046B"/>
    <w:rsid w:val="00B50FF3"/>
    <w:rsid w:val="00B54056"/>
    <w:rsid w:val="00B55094"/>
    <w:rsid w:val="00B676E9"/>
    <w:rsid w:val="00B67D67"/>
    <w:rsid w:val="00B77154"/>
    <w:rsid w:val="00B812B1"/>
    <w:rsid w:val="00B8327A"/>
    <w:rsid w:val="00B8338A"/>
    <w:rsid w:val="00B849C8"/>
    <w:rsid w:val="00B85908"/>
    <w:rsid w:val="00B907DA"/>
    <w:rsid w:val="00B90EAD"/>
    <w:rsid w:val="00B97E03"/>
    <w:rsid w:val="00BA0D24"/>
    <w:rsid w:val="00BA1C33"/>
    <w:rsid w:val="00BA2E42"/>
    <w:rsid w:val="00BA2E70"/>
    <w:rsid w:val="00BA6AAF"/>
    <w:rsid w:val="00BC1109"/>
    <w:rsid w:val="00BC3A53"/>
    <w:rsid w:val="00BC545F"/>
    <w:rsid w:val="00BC54A1"/>
    <w:rsid w:val="00BC5FB0"/>
    <w:rsid w:val="00BD0520"/>
    <w:rsid w:val="00BD1951"/>
    <w:rsid w:val="00BD2C45"/>
    <w:rsid w:val="00BD5D83"/>
    <w:rsid w:val="00BD7CB2"/>
    <w:rsid w:val="00BE4A74"/>
    <w:rsid w:val="00BE5B27"/>
    <w:rsid w:val="00BE78C3"/>
    <w:rsid w:val="00BF1D13"/>
    <w:rsid w:val="00BF2D25"/>
    <w:rsid w:val="00C00AF2"/>
    <w:rsid w:val="00C04405"/>
    <w:rsid w:val="00C04DD9"/>
    <w:rsid w:val="00C07F46"/>
    <w:rsid w:val="00C15AF3"/>
    <w:rsid w:val="00C270D2"/>
    <w:rsid w:val="00C27DA4"/>
    <w:rsid w:val="00C34BBF"/>
    <w:rsid w:val="00C35091"/>
    <w:rsid w:val="00C36567"/>
    <w:rsid w:val="00C37BFA"/>
    <w:rsid w:val="00C4094C"/>
    <w:rsid w:val="00C437B7"/>
    <w:rsid w:val="00C44BE8"/>
    <w:rsid w:val="00C45ED5"/>
    <w:rsid w:val="00C45F72"/>
    <w:rsid w:val="00C507DF"/>
    <w:rsid w:val="00C520EB"/>
    <w:rsid w:val="00C52B7D"/>
    <w:rsid w:val="00C53211"/>
    <w:rsid w:val="00C53597"/>
    <w:rsid w:val="00C5372F"/>
    <w:rsid w:val="00C54C9A"/>
    <w:rsid w:val="00C54E33"/>
    <w:rsid w:val="00C56C6E"/>
    <w:rsid w:val="00C577D8"/>
    <w:rsid w:val="00C67B02"/>
    <w:rsid w:val="00C704B1"/>
    <w:rsid w:val="00C7276F"/>
    <w:rsid w:val="00C81C12"/>
    <w:rsid w:val="00C846A6"/>
    <w:rsid w:val="00C963E2"/>
    <w:rsid w:val="00C976D8"/>
    <w:rsid w:val="00C97EEA"/>
    <w:rsid w:val="00CA4ECF"/>
    <w:rsid w:val="00CB1E72"/>
    <w:rsid w:val="00CB38AA"/>
    <w:rsid w:val="00CB3A74"/>
    <w:rsid w:val="00CB4A6F"/>
    <w:rsid w:val="00CC005C"/>
    <w:rsid w:val="00CC12E5"/>
    <w:rsid w:val="00CC410A"/>
    <w:rsid w:val="00CC68F8"/>
    <w:rsid w:val="00CC6D68"/>
    <w:rsid w:val="00CD0C61"/>
    <w:rsid w:val="00CD4F10"/>
    <w:rsid w:val="00CE341C"/>
    <w:rsid w:val="00CE52F7"/>
    <w:rsid w:val="00CE5BC1"/>
    <w:rsid w:val="00CF1952"/>
    <w:rsid w:val="00CF244E"/>
    <w:rsid w:val="00CF6146"/>
    <w:rsid w:val="00CF6894"/>
    <w:rsid w:val="00D051BD"/>
    <w:rsid w:val="00D0734A"/>
    <w:rsid w:val="00D16EA6"/>
    <w:rsid w:val="00D215A9"/>
    <w:rsid w:val="00D2531D"/>
    <w:rsid w:val="00D3184F"/>
    <w:rsid w:val="00D33A58"/>
    <w:rsid w:val="00D341A0"/>
    <w:rsid w:val="00D35258"/>
    <w:rsid w:val="00D4036D"/>
    <w:rsid w:val="00D50B2F"/>
    <w:rsid w:val="00D51913"/>
    <w:rsid w:val="00D52190"/>
    <w:rsid w:val="00D53266"/>
    <w:rsid w:val="00D5409E"/>
    <w:rsid w:val="00D55CC4"/>
    <w:rsid w:val="00D57686"/>
    <w:rsid w:val="00D6282B"/>
    <w:rsid w:val="00D74F62"/>
    <w:rsid w:val="00D77BDC"/>
    <w:rsid w:val="00D91667"/>
    <w:rsid w:val="00D96EF9"/>
    <w:rsid w:val="00DA393E"/>
    <w:rsid w:val="00DB2928"/>
    <w:rsid w:val="00DB5321"/>
    <w:rsid w:val="00DB7D28"/>
    <w:rsid w:val="00DC0CF5"/>
    <w:rsid w:val="00DC1AC6"/>
    <w:rsid w:val="00DD089F"/>
    <w:rsid w:val="00DD0A00"/>
    <w:rsid w:val="00DD2E81"/>
    <w:rsid w:val="00DD57CC"/>
    <w:rsid w:val="00DD7DEE"/>
    <w:rsid w:val="00DE1741"/>
    <w:rsid w:val="00DE3C02"/>
    <w:rsid w:val="00DE5336"/>
    <w:rsid w:val="00DE6000"/>
    <w:rsid w:val="00DF0B0C"/>
    <w:rsid w:val="00DF171B"/>
    <w:rsid w:val="00DF4E18"/>
    <w:rsid w:val="00DF5CBD"/>
    <w:rsid w:val="00DF7275"/>
    <w:rsid w:val="00E052B2"/>
    <w:rsid w:val="00E056B5"/>
    <w:rsid w:val="00E109E4"/>
    <w:rsid w:val="00E13E81"/>
    <w:rsid w:val="00E26EB1"/>
    <w:rsid w:val="00E26FBF"/>
    <w:rsid w:val="00E3441E"/>
    <w:rsid w:val="00E36AD9"/>
    <w:rsid w:val="00E45B36"/>
    <w:rsid w:val="00E46AED"/>
    <w:rsid w:val="00E527C6"/>
    <w:rsid w:val="00E538C6"/>
    <w:rsid w:val="00E55948"/>
    <w:rsid w:val="00E609FC"/>
    <w:rsid w:val="00E65833"/>
    <w:rsid w:val="00E67463"/>
    <w:rsid w:val="00E8290D"/>
    <w:rsid w:val="00E82DC6"/>
    <w:rsid w:val="00E84AA1"/>
    <w:rsid w:val="00E869E9"/>
    <w:rsid w:val="00E87045"/>
    <w:rsid w:val="00E92C15"/>
    <w:rsid w:val="00E938D7"/>
    <w:rsid w:val="00E949A9"/>
    <w:rsid w:val="00EA0C82"/>
    <w:rsid w:val="00EA1E6E"/>
    <w:rsid w:val="00EA3705"/>
    <w:rsid w:val="00EA3B86"/>
    <w:rsid w:val="00EA3D5E"/>
    <w:rsid w:val="00EB1770"/>
    <w:rsid w:val="00EB771E"/>
    <w:rsid w:val="00EC216F"/>
    <w:rsid w:val="00EC3D19"/>
    <w:rsid w:val="00EC6A3C"/>
    <w:rsid w:val="00EC6D5D"/>
    <w:rsid w:val="00EC700C"/>
    <w:rsid w:val="00ED0279"/>
    <w:rsid w:val="00ED1553"/>
    <w:rsid w:val="00ED1B06"/>
    <w:rsid w:val="00ED2011"/>
    <w:rsid w:val="00ED2919"/>
    <w:rsid w:val="00ED4413"/>
    <w:rsid w:val="00ED6C06"/>
    <w:rsid w:val="00ED71E5"/>
    <w:rsid w:val="00EE099B"/>
    <w:rsid w:val="00EE14E3"/>
    <w:rsid w:val="00EE1AC8"/>
    <w:rsid w:val="00EE1D42"/>
    <w:rsid w:val="00EE34CA"/>
    <w:rsid w:val="00EF288A"/>
    <w:rsid w:val="00EF523A"/>
    <w:rsid w:val="00EF700A"/>
    <w:rsid w:val="00F01BC0"/>
    <w:rsid w:val="00F029ED"/>
    <w:rsid w:val="00F051C2"/>
    <w:rsid w:val="00F1011C"/>
    <w:rsid w:val="00F13CFB"/>
    <w:rsid w:val="00F157B3"/>
    <w:rsid w:val="00F162DB"/>
    <w:rsid w:val="00F16560"/>
    <w:rsid w:val="00F16B7E"/>
    <w:rsid w:val="00F16CA4"/>
    <w:rsid w:val="00F25F0F"/>
    <w:rsid w:val="00F279CA"/>
    <w:rsid w:val="00F36EEC"/>
    <w:rsid w:val="00F42007"/>
    <w:rsid w:val="00F43E63"/>
    <w:rsid w:val="00F465CA"/>
    <w:rsid w:val="00F47716"/>
    <w:rsid w:val="00F52B93"/>
    <w:rsid w:val="00F534B8"/>
    <w:rsid w:val="00F550C6"/>
    <w:rsid w:val="00F60548"/>
    <w:rsid w:val="00F616A0"/>
    <w:rsid w:val="00F6251D"/>
    <w:rsid w:val="00F62607"/>
    <w:rsid w:val="00F62B22"/>
    <w:rsid w:val="00F63184"/>
    <w:rsid w:val="00F634FF"/>
    <w:rsid w:val="00F63811"/>
    <w:rsid w:val="00F66C5F"/>
    <w:rsid w:val="00F67EC2"/>
    <w:rsid w:val="00F71B41"/>
    <w:rsid w:val="00F74D64"/>
    <w:rsid w:val="00F83C29"/>
    <w:rsid w:val="00F87BE2"/>
    <w:rsid w:val="00F91461"/>
    <w:rsid w:val="00F92210"/>
    <w:rsid w:val="00F92323"/>
    <w:rsid w:val="00F94F31"/>
    <w:rsid w:val="00FA0AFE"/>
    <w:rsid w:val="00FA0BAB"/>
    <w:rsid w:val="00FA1419"/>
    <w:rsid w:val="00FA3D44"/>
    <w:rsid w:val="00FA54BA"/>
    <w:rsid w:val="00FB2E6A"/>
    <w:rsid w:val="00FB572E"/>
    <w:rsid w:val="00FC461D"/>
    <w:rsid w:val="00FC7404"/>
    <w:rsid w:val="00FD1E09"/>
    <w:rsid w:val="00FD6846"/>
    <w:rsid w:val="00FE32EA"/>
    <w:rsid w:val="00FE59FF"/>
    <w:rsid w:val="00FE6E4E"/>
    <w:rsid w:val="00FF1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79D78"/>
  <w15:chartTrackingRefBased/>
  <w15:docId w15:val="{AE3D7774-5B77-42BE-9115-7FC1FCF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unhideWhenUsed/>
    <w:rsid w:val="00B849C8"/>
    <w:rPr>
      <w:vertAlign w:val="superscript"/>
    </w:rPr>
  </w:style>
  <w:style w:type="paragraph" w:styleId="CommentText">
    <w:name w:val="annotation text"/>
    <w:basedOn w:val="Normal"/>
    <w:link w:val="CommentTextChar"/>
    <w:uiPriority w:val="99"/>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semiHidden/>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 w:type="character" w:customStyle="1" w:styleId="ListParagraphChar">
    <w:name w:val="List Paragraph Char"/>
    <w:link w:val="ListParagraph"/>
    <w:uiPriority w:val="34"/>
    <w:locked/>
    <w:rsid w:val="00A92ECA"/>
  </w:style>
  <w:style w:type="character" w:customStyle="1" w:styleId="wixguard">
    <w:name w:val="wixguard"/>
    <w:basedOn w:val="DefaultParagraphFont"/>
    <w:rsid w:val="001701F4"/>
  </w:style>
  <w:style w:type="paragraph" w:customStyle="1" w:styleId="BodyText1">
    <w:name w:val="Body Text1"/>
    <w:basedOn w:val="Normal"/>
    <w:link w:val="BodytextChar"/>
    <w:qFormat/>
    <w:rsid w:val="007E46AB"/>
    <w:pPr>
      <w:spacing w:before="120" w:after="0" w:line="312" w:lineRule="auto"/>
      <w:ind w:firstLine="720"/>
      <w:jc w:val="both"/>
    </w:pPr>
    <w:rPr>
      <w:rFonts w:ascii="Calibri" w:eastAsia="Times New Roman" w:hAnsi="Calibri" w:cs="Times New Roman"/>
      <w:kern w:val="20"/>
      <w:sz w:val="20"/>
      <w:szCs w:val="20"/>
    </w:rPr>
  </w:style>
  <w:style w:type="character" w:customStyle="1" w:styleId="BodytextChar">
    <w:name w:val="Body text Char"/>
    <w:basedOn w:val="DefaultParagraphFont"/>
    <w:link w:val="BodyText1"/>
    <w:rsid w:val="007E46AB"/>
    <w:rPr>
      <w:rFonts w:ascii="Calibri" w:eastAsia="Times New Roman" w:hAnsi="Calibri" w:cs="Times New Roman"/>
      <w:kern w:val="20"/>
      <w:sz w:val="20"/>
      <w:szCs w:val="20"/>
    </w:rPr>
  </w:style>
  <w:style w:type="paragraph" w:styleId="CommentSubject">
    <w:name w:val="annotation subject"/>
    <w:basedOn w:val="CommentText"/>
    <w:next w:val="CommentText"/>
    <w:link w:val="CommentSubjectChar"/>
    <w:uiPriority w:val="99"/>
    <w:semiHidden/>
    <w:unhideWhenUsed/>
    <w:rsid w:val="00970FC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0FC6"/>
    <w:rPr>
      <w:rFonts w:ascii="Calibri" w:eastAsia="Times New Roman" w:hAnsi="Calibri" w:cs="Calibri"/>
      <w:b/>
      <w:bCs/>
      <w:sz w:val="20"/>
      <w:szCs w:val="20"/>
      <w:lang w:eastAsia="en-GB"/>
    </w:rPr>
  </w:style>
  <w:style w:type="character" w:customStyle="1" w:styleId="markedcontent">
    <w:name w:val="markedcontent"/>
    <w:basedOn w:val="DefaultParagraphFont"/>
    <w:rsid w:val="008608B5"/>
  </w:style>
  <w:style w:type="paragraph" w:styleId="BalloonText">
    <w:name w:val="Balloon Text"/>
    <w:basedOn w:val="Normal"/>
    <w:link w:val="BalloonTextChar"/>
    <w:uiPriority w:val="99"/>
    <w:semiHidden/>
    <w:unhideWhenUsed/>
    <w:rsid w:val="00C70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95056691">
      <w:bodyDiv w:val="1"/>
      <w:marLeft w:val="0"/>
      <w:marRight w:val="0"/>
      <w:marTop w:val="0"/>
      <w:marBottom w:val="0"/>
      <w:divBdr>
        <w:top w:val="none" w:sz="0" w:space="0" w:color="auto"/>
        <w:left w:val="none" w:sz="0" w:space="0" w:color="auto"/>
        <w:bottom w:val="none" w:sz="0" w:space="0" w:color="auto"/>
        <w:right w:val="none" w:sz="0" w:space="0" w:color="auto"/>
      </w:divBdr>
    </w:div>
    <w:div w:id="1072831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218635436">
      <w:bodyDiv w:val="1"/>
      <w:marLeft w:val="0"/>
      <w:marRight w:val="0"/>
      <w:marTop w:val="0"/>
      <w:marBottom w:val="0"/>
      <w:divBdr>
        <w:top w:val="none" w:sz="0" w:space="0" w:color="auto"/>
        <w:left w:val="none" w:sz="0" w:space="0" w:color="auto"/>
        <w:bottom w:val="none" w:sz="0" w:space="0" w:color="auto"/>
        <w:right w:val="none" w:sz="0" w:space="0" w:color="auto"/>
      </w:divBdr>
    </w:div>
    <w:div w:id="306401011">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626350921">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499493128">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620606348">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01458109">
      <w:bodyDiv w:val="1"/>
      <w:marLeft w:val="0"/>
      <w:marRight w:val="0"/>
      <w:marTop w:val="0"/>
      <w:marBottom w:val="0"/>
      <w:divBdr>
        <w:top w:val="none" w:sz="0" w:space="0" w:color="auto"/>
        <w:left w:val="none" w:sz="0" w:space="0" w:color="auto"/>
        <w:bottom w:val="none" w:sz="0" w:space="0" w:color="auto"/>
        <w:right w:val="none" w:sz="0" w:space="0" w:color="auto"/>
      </w:divBdr>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2075155712">
      <w:bodyDiv w:val="1"/>
      <w:marLeft w:val="0"/>
      <w:marRight w:val="0"/>
      <w:marTop w:val="0"/>
      <w:marBottom w:val="0"/>
      <w:divBdr>
        <w:top w:val="none" w:sz="0" w:space="0" w:color="auto"/>
        <w:left w:val="none" w:sz="0" w:space="0" w:color="auto"/>
        <w:bottom w:val="none" w:sz="0" w:space="0" w:color="auto"/>
        <w:right w:val="none" w:sz="0" w:space="0" w:color="auto"/>
      </w:divBdr>
    </w:div>
    <w:div w:id="2082871911">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6.mailanyone.net/v1/?m=1m80z1-0008uf-6A&amp;i=57e1b682&amp;c=S4kh825LCXtuCG64Zb47hgiuUaa1LLW3YsCcvHbp0BkymwRFgKkG-LszibtaLMPtGvua3XgCI_nhGX4454SaoFTOk077qawaIvmd63ZjNeba13e-kuwVJg91enpJvo1hg0GVN9f5Zsi2EtC852kgRoCge3FaFy3xsRYCdzC3DGEctyg5Wr_25DQ3Y25VaHMrziuMlRPdB0g61pxak1teeViCyBlkiagkYso1MFA8rq0H362MzNhEh_ObGnSWIVqjXqfcjQPvo1i_4mxk59WxyNSOEcaCo2UcGgLYU0Qvz7divt1SxRNL31axAhSxbBktyLuEBIcR-xJ8-QIptMLQAKJeLlMfqNKj9tNQGG4_nr_KbqWVwBKltM9vsS_vUm3Pty7QNaQKNnb2EgYpSm0GGNYu2M62g-LIn-ttykbwyJ5S8G0uhnxuHqHMuH1jTTBY84AsxbaAez2wE0GGLTWBeXYW7ni6tS2whiPS-g1He7z6y7z1u9mnbys180pGYFLm6lh--Ub2HMQ6LB3u4cIWzM7pBMyKCfe0TcxDMJQ2nNMG1uxl7q_odUY7-3PLRMQpn88YSdbhPbM_dU9SLNl3BUr5lbaR4tkQWRmAMLYjjXuXT7MgxqD5x6IdNI45NemLkGQ1nG_MJghQiCYMRYQpp8-twN7aTVJvp6PR42j7dAdLVSqVrBjFApCK_wI8MDykz3kH6rIW_l173fSHcg3slgIB0KxhvWHBHRNm8HFwwM1sasRA6UYeAUord9ScPYEVD0FMqLkZKe7Gj598iSoVA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png@01D7855B.ACB6FA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2.png@01D7855B.ACB6FAB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9A72-C769-437F-88D5-E6D62DD9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5</cp:revision>
  <dcterms:created xsi:type="dcterms:W3CDTF">2021-08-04T13:14:00Z</dcterms:created>
  <dcterms:modified xsi:type="dcterms:W3CDTF">2021-08-04T14:14:00Z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20210802144140509</vt:lpwstr>
  </property>
</Properties>
</file>