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240" w:lineRule="auto"/>
        <w:jc w:val="center"/>
        <w:rPr>
          <w:rFonts w:ascii="Open Sans" w:cs="Open Sans" w:eastAsia="Open Sans" w:hAnsi="Open Sans"/>
          <w:b w:val="1"/>
          <w:color w:val="06926b"/>
          <w:sz w:val="32"/>
          <w:szCs w:val="32"/>
        </w:rPr>
      </w:pPr>
      <w:r w:rsidDel="00000000" w:rsidR="00000000" w:rsidRPr="00000000">
        <w:rPr>
          <w:rFonts w:ascii="Open Sans" w:cs="Open Sans" w:eastAsia="Open Sans" w:hAnsi="Open Sans"/>
          <w:b w:val="1"/>
          <w:color w:val="06926b"/>
          <w:sz w:val="32"/>
          <w:szCs w:val="32"/>
          <w:rtl w:val="0"/>
        </w:rPr>
        <w:t xml:space="preserve">National Audit Office Publishes Green Homes Grant Voucher Scheme Report</w:t>
      </w:r>
    </w:p>
    <w:p w:rsidR="00000000" w:rsidDel="00000000" w:rsidP="00000000" w:rsidRDefault="00000000" w:rsidRPr="00000000" w14:paraId="00000002">
      <w:pPr>
        <w:ind w:left="0" w:firstLine="0"/>
        <w:rPr>
          <w:rFonts w:ascii="Open Sans" w:cs="Open Sans" w:eastAsia="Open Sans" w:hAnsi="Open Sans"/>
          <w:b w:val="1"/>
          <w:color w:val="06926b"/>
          <w:sz w:val="32"/>
          <w:szCs w:val="32"/>
        </w:rPr>
      </w:pPr>
      <w:r w:rsidDel="00000000" w:rsidR="00000000" w:rsidRPr="00000000">
        <w:rPr>
          <w:rtl w:val="0"/>
        </w:rPr>
      </w:r>
    </w:p>
    <w:p w:rsidR="00000000" w:rsidDel="00000000" w:rsidP="00000000" w:rsidRDefault="00000000" w:rsidRPr="00000000" w14:paraId="00000003">
      <w:pPr>
        <w:ind w:left="0" w:firstLine="0"/>
        <w:rPr>
          <w:rFonts w:ascii="Open Sans" w:cs="Open Sans" w:eastAsia="Open Sans" w:hAnsi="Open Sans"/>
          <w:color w:val="4e5053"/>
          <w:sz w:val="20"/>
          <w:szCs w:val="20"/>
        </w:rPr>
      </w:pPr>
      <w:r w:rsidDel="00000000" w:rsidR="00000000" w:rsidRPr="00000000">
        <w:rPr>
          <w:rFonts w:ascii="Open Sans" w:cs="Open Sans" w:eastAsia="Open Sans" w:hAnsi="Open Sans"/>
          <w:color w:val="4e5053"/>
          <w:sz w:val="20"/>
          <w:szCs w:val="20"/>
          <w:rtl w:val="0"/>
        </w:rPr>
        <w:t xml:space="preserve">The National Audit Office (NAO) has </w:t>
      </w:r>
      <w:hyperlink r:id="rId6">
        <w:r w:rsidDel="00000000" w:rsidR="00000000" w:rsidRPr="00000000">
          <w:rPr>
            <w:rFonts w:ascii="Open Sans" w:cs="Open Sans" w:eastAsia="Open Sans" w:hAnsi="Open Sans"/>
            <w:color w:val="1155cc"/>
            <w:sz w:val="20"/>
            <w:szCs w:val="20"/>
            <w:u w:val="single"/>
            <w:rtl w:val="0"/>
          </w:rPr>
          <w:t xml:space="preserve">published a report</w:t>
        </w:r>
      </w:hyperlink>
      <w:r w:rsidDel="00000000" w:rsidR="00000000" w:rsidRPr="00000000">
        <w:rPr>
          <w:rFonts w:ascii="Open Sans" w:cs="Open Sans" w:eastAsia="Open Sans" w:hAnsi="Open Sans"/>
          <w:color w:val="4e5053"/>
          <w:sz w:val="20"/>
          <w:szCs w:val="20"/>
          <w:rtl w:val="0"/>
        </w:rPr>
        <w:t xml:space="preserve"> examining the performance and implementation of the </w:t>
      </w:r>
      <w:hyperlink r:id="rId7">
        <w:r w:rsidDel="00000000" w:rsidR="00000000" w:rsidRPr="00000000">
          <w:rPr>
            <w:rFonts w:ascii="Open Sans" w:cs="Open Sans" w:eastAsia="Open Sans" w:hAnsi="Open Sans"/>
            <w:color w:val="1155cc"/>
            <w:sz w:val="20"/>
            <w:szCs w:val="20"/>
            <w:u w:val="single"/>
            <w:rtl w:val="0"/>
          </w:rPr>
          <w:t xml:space="preserve">Green Home Grant (GHG) Voucher Scheme</w:t>
        </w:r>
      </w:hyperlink>
      <w:r w:rsidDel="00000000" w:rsidR="00000000" w:rsidRPr="00000000">
        <w:rPr>
          <w:rFonts w:ascii="Open Sans" w:cs="Open Sans" w:eastAsia="Open Sans" w:hAnsi="Open Sans"/>
          <w:color w:val="4e5053"/>
          <w:sz w:val="20"/>
          <w:szCs w:val="20"/>
          <w:rtl w:val="0"/>
        </w:rPr>
        <w:t xml:space="preserve">. The scheme offered up to £5,000 funding for homeowners to install efficiency improvements and low carbon heating in their homes. Homeowners were expected to apply for vouchers with the installer receiving the funding once they had fitted the measure. The Department expected the scheme to support up to 82,500 jobs over six months and enable up to 600,000 households to save up to £600 on their energy bills. The report aims to identify lessons for future schemes. The main findings are as follows:</w:t>
      </w:r>
    </w:p>
    <w:p w:rsidR="00000000" w:rsidDel="00000000" w:rsidP="00000000" w:rsidRDefault="00000000" w:rsidRPr="00000000" w14:paraId="00000004">
      <w:pPr>
        <w:ind w:left="0" w:firstLine="0"/>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Scheme performance:</w:t>
      </w:r>
    </w:p>
    <w:p w:rsidR="00000000" w:rsidDel="00000000" w:rsidP="00000000" w:rsidRDefault="00000000" w:rsidRPr="00000000" w14:paraId="00000005">
      <w:pPr>
        <w:numPr>
          <w:ilvl w:val="0"/>
          <w:numId w:val="1"/>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Scheme did not deliver the expected number of installations or support the expected number of jobs.  </w:t>
      </w:r>
    </w:p>
    <w:p w:rsidR="00000000" w:rsidDel="00000000" w:rsidP="00000000" w:rsidRDefault="00000000" w:rsidRPr="00000000" w14:paraId="00000006">
      <w:pPr>
        <w:numPr>
          <w:ilvl w:val="0"/>
          <w:numId w:val="1"/>
        </w:numPr>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There was a high level of interest in the Green Homes Grant but many homeowners and installers had a poor experience of using the Scheme</w:t>
      </w:r>
    </w:p>
    <w:p w:rsidR="00000000" w:rsidDel="00000000" w:rsidP="00000000" w:rsidRDefault="00000000" w:rsidRPr="00000000" w14:paraId="00000007">
      <w:pPr>
        <w:ind w:left="0" w:firstLine="0"/>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Scheme design:</w:t>
      </w:r>
    </w:p>
    <w:p w:rsidR="00000000" w:rsidDel="00000000" w:rsidP="00000000" w:rsidRDefault="00000000" w:rsidRPr="00000000" w14:paraId="00000008">
      <w:pPr>
        <w:numPr>
          <w:ilvl w:val="0"/>
          <w:numId w:val="2"/>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deadlines set to put in place the Scheme constrained the time available for design, procurement and launch.</w:t>
      </w:r>
    </w:p>
    <w:p w:rsidR="00000000" w:rsidDel="00000000" w:rsidP="00000000" w:rsidRDefault="00000000" w:rsidRPr="00000000" w14:paraId="00000009">
      <w:pPr>
        <w:numPr>
          <w:ilvl w:val="0"/>
          <w:numId w:val="2"/>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Department did not reconcile the tension between short-term job creation, and its aim of delivering a long-term carbon impact.</w:t>
      </w:r>
    </w:p>
    <w:p w:rsidR="00000000" w:rsidDel="00000000" w:rsidP="00000000" w:rsidRDefault="00000000" w:rsidRPr="00000000" w14:paraId="0000000A">
      <w:pPr>
        <w:numPr>
          <w:ilvl w:val="0"/>
          <w:numId w:val="2"/>
        </w:numPr>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Department did not understand the challenges facing installers.</w:t>
      </w:r>
    </w:p>
    <w:p w:rsidR="00000000" w:rsidDel="00000000" w:rsidP="00000000" w:rsidRDefault="00000000" w:rsidRPr="00000000" w14:paraId="0000000B">
      <w:pPr>
        <w:ind w:left="0" w:firstLine="0"/>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Procurement, implementation and management of the scheme</w:t>
      </w:r>
    </w:p>
    <w:p w:rsidR="00000000" w:rsidDel="00000000" w:rsidP="00000000" w:rsidRDefault="00000000" w:rsidRPr="00000000" w14:paraId="0000000C">
      <w:pPr>
        <w:numPr>
          <w:ilvl w:val="0"/>
          <w:numId w:val="4"/>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Department accepted that the Scheme posed a high delivery risk but felt urgency was required to stimulate the economy.</w:t>
      </w:r>
    </w:p>
    <w:p w:rsidR="00000000" w:rsidDel="00000000" w:rsidP="00000000" w:rsidRDefault="00000000" w:rsidRPr="00000000" w14:paraId="0000000D">
      <w:pPr>
        <w:numPr>
          <w:ilvl w:val="0"/>
          <w:numId w:val="4"/>
        </w:numPr>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Department’s Investment Committee had rejected the business case for the scheme. </w:t>
      </w:r>
    </w:p>
    <w:p w:rsidR="00000000" w:rsidDel="00000000" w:rsidP="00000000" w:rsidRDefault="00000000" w:rsidRPr="00000000" w14:paraId="0000000E">
      <w:pPr>
        <w:ind w:left="0" w:firstLine="0"/>
        <w:rPr>
          <w:rFonts w:ascii="Open Sans" w:cs="Open Sans" w:eastAsia="Open Sans" w:hAnsi="Open Sans"/>
          <w:b w:val="1"/>
          <w:color w:val="4e5053"/>
          <w:sz w:val="20"/>
          <w:szCs w:val="20"/>
        </w:rPr>
      </w:pPr>
      <w:r w:rsidDel="00000000" w:rsidR="00000000" w:rsidRPr="00000000">
        <w:rPr>
          <w:rFonts w:ascii="Open Sans" w:cs="Open Sans" w:eastAsia="Open Sans" w:hAnsi="Open Sans"/>
          <w:b w:val="1"/>
          <w:color w:val="4e5053"/>
          <w:sz w:val="20"/>
          <w:szCs w:val="20"/>
          <w:rtl w:val="0"/>
        </w:rPr>
        <w:t xml:space="preserve">Recommendations for Future Schemes:</w:t>
      </w:r>
    </w:p>
    <w:p w:rsidR="00000000" w:rsidDel="00000000" w:rsidP="00000000" w:rsidRDefault="00000000" w:rsidRPr="00000000" w14:paraId="0000000F">
      <w:pPr>
        <w:numPr>
          <w:ilvl w:val="0"/>
          <w:numId w:val="3"/>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Department should set out by the end of 2021 how its various home energy efficiency schemes fit with its plans for decarbonisation.</w:t>
      </w:r>
    </w:p>
    <w:p w:rsidR="00000000" w:rsidDel="00000000" w:rsidP="00000000" w:rsidRDefault="00000000" w:rsidRPr="00000000" w14:paraId="00000010">
      <w:pPr>
        <w:numPr>
          <w:ilvl w:val="0"/>
          <w:numId w:val="3"/>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Department should ensure the objectives of a scheme are translated into clear targets.</w:t>
      </w:r>
    </w:p>
    <w:p w:rsidR="00000000" w:rsidDel="00000000" w:rsidP="00000000" w:rsidRDefault="00000000" w:rsidRPr="00000000" w14:paraId="00000011">
      <w:pPr>
        <w:numPr>
          <w:ilvl w:val="0"/>
          <w:numId w:val="3"/>
        </w:numPr>
        <w:spacing w:after="0" w:afterAutospacing="0"/>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In designing a scheme, the Department should test from the start what is being expected of householders and installers.  </w:t>
      </w:r>
    </w:p>
    <w:p w:rsidR="00000000" w:rsidDel="00000000" w:rsidP="00000000" w:rsidRDefault="00000000" w:rsidRPr="00000000" w14:paraId="00000012">
      <w:pPr>
        <w:numPr>
          <w:ilvl w:val="0"/>
          <w:numId w:val="3"/>
        </w:numPr>
        <w:ind w:left="720" w:hanging="360"/>
        <w:rPr>
          <w:rFonts w:ascii="Open Sans" w:cs="Open Sans" w:eastAsia="Open Sans" w:hAnsi="Open Sans"/>
          <w:color w:val="4e5053"/>
          <w:sz w:val="20"/>
          <w:szCs w:val="20"/>
          <w:u w:val="none"/>
        </w:rPr>
      </w:pPr>
      <w:r w:rsidDel="00000000" w:rsidR="00000000" w:rsidRPr="00000000">
        <w:rPr>
          <w:rFonts w:ascii="Open Sans" w:cs="Open Sans" w:eastAsia="Open Sans" w:hAnsi="Open Sans"/>
          <w:color w:val="4e5053"/>
          <w:sz w:val="20"/>
          <w:szCs w:val="20"/>
          <w:rtl w:val="0"/>
        </w:rPr>
        <w:t xml:space="preserve">The Department should engage with the installer market on the proposed design of any future scheme.</w:t>
      </w: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-259714</wp:posOffset>
          </wp:positionV>
          <wp:extent cx="2321560" cy="67691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21560" cy="6769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nao.org.uk/wp-content/uploads/2021/09/Green-Homes-Grant-Voucher-Scheme.pdf" TargetMode="External"/><Relationship Id="rId7" Type="http://schemas.openxmlformats.org/officeDocument/2006/relationships/hyperlink" Target="https://www.gov.uk/guidance/apply-for-the-green-homes-grant-schem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