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Call for evidence on the expansion of the 2009 Carbon Capture Readiness Requirements </w:t>
      </w:r>
    </w:p>
    <w:p w:rsidR="00000000" w:rsidDel="00000000" w:rsidP="00000000" w:rsidRDefault="00000000" w:rsidRPr="00000000" w14:paraId="00000003">
      <w:pPr>
        <w:spacing w:after="120" w:before="120" w:line="24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Scope of Decarbonisation Readiness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8">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type of organisation are you answering on behalf of? (e.g., generation, interconnector, demand side response, storage, investor, developer, trade association, consultant, individual, other)</w:t>
      </w:r>
    </w:p>
    <w:p w:rsidR="00000000" w:rsidDel="00000000" w:rsidP="00000000" w:rsidRDefault="00000000" w:rsidRPr="00000000" w14:paraId="0000000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0A">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Trade Association - the REA has over 550 members across the power, heat, transport, and organics sectors. The REA is the largest renewable energy trade association in the UK. It encompasses all renewables </w:t>
      </w:r>
      <w:r w:rsidDel="00000000" w:rsidR="00000000" w:rsidRPr="00000000">
        <w:rPr>
          <w:rFonts w:ascii="Open Sans" w:cs="Open Sans" w:eastAsia="Open Sans" w:hAnsi="Open Sans"/>
          <w:sz w:val="19"/>
          <w:szCs w:val="19"/>
          <w:rtl w:val="0"/>
        </w:rPr>
        <w:t xml:space="preserve">industr</w:t>
      </w:r>
      <w:r w:rsidDel="00000000" w:rsidR="00000000" w:rsidRPr="00000000">
        <w:rPr>
          <w:rFonts w:ascii="Open Sans" w:cs="Open Sans" w:eastAsia="Open Sans" w:hAnsi="Open Sans"/>
          <w:sz w:val="19"/>
          <w:szCs w:val="19"/>
          <w:rtl w:val="0"/>
        </w:rPr>
        <w:t xml:space="preserve">ies in the United Kingdom. The REA covers renewable power &amp; flexibility, heat and cooling, circular bioresources and transport. Members comprise generators, project developers, fuel producers and distributors, equipment manufacturers and distributors, installers and service providers, and range from major multinationals to sole traders. We empower our member companies to build sustainable businesses, by providing the latest information on policy updates, sector-specific insights, topical briefings, and industry-leading training/events.</w:t>
      </w:r>
    </w:p>
    <w:p w:rsidR="00000000" w:rsidDel="00000000" w:rsidP="00000000" w:rsidRDefault="00000000" w:rsidRPr="00000000" w14:paraId="0000000B">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0C">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technologies is your organisation mainly involved with? (e.g. gas turbines, combined heat and power, reciprocating engines, nuclear, interconnector, coal plant, demand side response, storage, wind, solar, energy from waste, hydropower, batteries, other)</w:t>
      </w:r>
    </w:p>
    <w:p w:rsidR="00000000" w:rsidDel="00000000" w:rsidP="00000000" w:rsidRDefault="00000000" w:rsidRPr="00000000" w14:paraId="0000000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0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REA has members involved in the development of projects doing Green Gas, Biomass power, Biomass Heat, CHP, Storage, Solar and Energy from Waste including advanced conversion technologies. </w:t>
      </w:r>
    </w:p>
    <w:p w:rsidR="00000000" w:rsidDel="00000000" w:rsidP="00000000" w:rsidRDefault="00000000" w:rsidRPr="00000000" w14:paraId="0000000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0">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the 300 MW threshold, and what challenges might the removal of the threshold present to developers?</w:t>
      </w:r>
    </w:p>
    <w:p w:rsidR="00000000" w:rsidDel="00000000" w:rsidP="00000000" w:rsidRDefault="00000000" w:rsidRPr="00000000" w14:paraId="0000001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2">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 The REA supports the reduction of the 300 MW to a lower threshold, in the region of  50 MW. This already has a precedent as “significant national infrastructure” under planning rules. It is important that the carbon capture readiness requirement acknowledges the lack of current commercial route to market to see CCS retrofitted. As such, we stress that even if  the threshold is reduced/removed, if the cost of retrofit is uneconomical, or the environmental benefit remains low, then it remains appropriate for the site not to proceed with installing CCS. The reduction/removal of the threshold needs to be done in a sensible time frame and in conjunction with sites, so the Government is not putting up market barriers. With the expansion of the requirements to other technologies some form of threshold will still likely be required. Some Biomass power and heat sites, used in small commercial operations, may well be too small to make such requirements realistic. </w:t>
      </w:r>
    </w:p>
    <w:p w:rsidR="00000000" w:rsidDel="00000000" w:rsidP="00000000" w:rsidRDefault="00000000" w:rsidRPr="00000000" w14:paraId="0000001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Challenges to developers are likely to include difficult timescales and increased development costs. Our members have raised concerns that requirements imposed now may not reflect the state of technology in 15-20 years. This could put a hiatus on smaller developments. For smaller 10-20MW plants the space requirements for carbon capture will be onerous and may be irrelevant as technology evolves. Our members have also raised the possibility of reducing the threshold over time similarly to the Large Plant Combustion Directive.</w:t>
      </w:r>
    </w:p>
    <w:p w:rsidR="00000000" w:rsidDel="00000000" w:rsidP="00000000" w:rsidRDefault="00000000" w:rsidRPr="00000000" w14:paraId="00000015">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6">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the inclusion of refurbishing plants in DR? How could we best define refurbishing plants in this context?</w:t>
      </w:r>
    </w:p>
    <w:p w:rsidR="00000000" w:rsidDel="00000000" w:rsidP="00000000" w:rsidRDefault="00000000" w:rsidRPr="00000000" w14:paraId="0000001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including refurbishing plants and new build combustion power plants. There must, however, be clear differentiation between refurbishment and maintenance. Refurbishment needs to suggest that the existing site has come to the end of its economically viable life and that refurbishment of the site is required to make it worthwhile for the site to continue to operate. Where the actual operations of the site are significantly changed. </w:t>
      </w:r>
    </w:p>
    <w:p w:rsidR="00000000" w:rsidDel="00000000" w:rsidP="00000000" w:rsidRDefault="00000000" w:rsidRPr="00000000" w14:paraId="00000019">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A">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Our members suggest the definition of refurbishment should be based on cost, with significant refurbishment workers costing equal or greater than 50% of the original installation cost, as currently defined in the environmental permitting regulations. Our members have also stressed ongoing refurbishments at the time of the requirement coming into effect should not be covered. What we want to avoid is the DR becoming a barrier to straight forward and planned maintenance that is done to keep the site operational in line with its original economic activity and business case. </w:t>
      </w:r>
    </w:p>
    <w:p w:rsidR="00000000" w:rsidDel="00000000" w:rsidP="00000000" w:rsidRDefault="00000000" w:rsidRPr="00000000" w14:paraId="0000001B">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1C">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the potential inclusion of technologies such as heat, energy from waste, biomass and CHP in DR? Are there any additional technologies to these which could be included?</w:t>
      </w:r>
    </w:p>
    <w:p w:rsidR="00000000" w:rsidDel="00000000" w:rsidP="00000000" w:rsidRDefault="00000000" w:rsidRPr="00000000" w14:paraId="0000001D">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do not oppose the requirements for inclusion of further technologies; however, this needs to be done carefully.  Existing sites will not have been designed with decarbonisation readiness (DR) in mind and it may not be appropriate for them even at the point of refurbishment. If it, however, becomes a term of their environmental permit, it could create a risk to ongoing operations. The biomass power sector is already pioneering demonstration projects in BECCS. Anaerobic digestion plants are also already capturing carbon dioxide for use in the food and drinks industry.</w:t>
      </w:r>
    </w:p>
    <w:p w:rsidR="00000000" w:rsidDel="00000000" w:rsidP="00000000" w:rsidRDefault="00000000" w:rsidRPr="00000000" w14:paraId="0000001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However, it should be recognised that such technologies are used at many different scales, from small domestic applications (biomass boilers) right up to several hundred MWs in biomass power plants.  The requirements will need to recognise that it will not be feasible to implement CCS on many small to medium scale installations, due to space restrictions and costs involved, including smaller commercial and industrial applications. Given that Biomass and energy from waste are already defined as low carbon and there remains significant carbon advantages to seeing such technologies replace fossil fuel systems, it is important that these proposals do not become a barrier to their deployment, even where it is not economically or physically feasible for CCS to be installed in the future. As such, smaller and medium scale applications of these technologies should continue to be exempt from the DR requirements.   </w:t>
      </w:r>
    </w:p>
    <w:p w:rsidR="00000000" w:rsidDel="00000000" w:rsidP="00000000" w:rsidRDefault="00000000" w:rsidRPr="00000000" w14:paraId="00000021">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potential exemptions from DR? Would it be suitable to exclude plants which operate below a certain level of annual carbon emissions and/or running hours?</w:t>
      </w:r>
    </w:p>
    <w:p w:rsidR="00000000" w:rsidDel="00000000" w:rsidP="00000000" w:rsidRDefault="00000000" w:rsidRPr="00000000" w14:paraId="0000002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Exemptions will be required for smaller to medium scale sites that decarbonise through alternative means such as fuel switching to biogenic feedstocks. Given biomass heat and power sites are already considered low carbon, it is important that new DR requirements do not become a barrier to deployment. Carbon emission levels might be suitable as a way of making appropriate exemptions as it will ensure low carbon and decarbonised industries are not caught up in carbon capture requirements. Extra leniency or time should also be considered for sites with improved environmental performance. </w:t>
      </w:r>
    </w:p>
    <w:p w:rsidR="00000000" w:rsidDel="00000000" w:rsidP="00000000" w:rsidRDefault="00000000" w:rsidRPr="00000000" w14:paraId="00000025">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6">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Beyond grandfathering of Capacity Markets agreements, is there anything more that we could do to ensure that the DR requirements do not affect the Capacity Market?</w:t>
      </w:r>
    </w:p>
    <w:p w:rsidR="00000000" w:rsidDel="00000000" w:rsidP="00000000" w:rsidRDefault="00000000" w:rsidRPr="00000000" w14:paraId="00000027">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2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Capacity Market auctions are set early in the year, the Carbon Capture Readiness Requirement should provide exemptions if you get a Capacity Market contract up to and including the auction in 2022 and 2023. Our members have queried if capacity market projects are then exempt from Carbon Capture Readiness in perpetuity? This should be made clear in the Government's response to this call for evidence or in further consultations on future policies. </w:t>
      </w:r>
    </w:p>
    <w:p w:rsidR="00000000" w:rsidDel="00000000" w:rsidP="00000000" w:rsidRDefault="00000000" w:rsidRPr="00000000" w14:paraId="00000029">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A">
      <w:pPr>
        <w:spacing w:after="0" w:line="276" w:lineRule="auto"/>
        <w:rPr>
          <w:rFonts w:ascii="Open Sans" w:cs="Open Sans" w:eastAsia="Open Sans" w:hAnsi="Open Sans"/>
          <w:i w:val="1"/>
          <w:color w:val="2f5496"/>
          <w:sz w:val="19"/>
          <w:szCs w:val="19"/>
        </w:rPr>
      </w:pPr>
      <w:r w:rsidDel="00000000" w:rsidR="00000000" w:rsidRPr="00000000">
        <w:rPr>
          <w:rtl w:val="0"/>
        </w:rPr>
      </w:r>
    </w:p>
    <w:p w:rsidR="00000000" w:rsidDel="00000000" w:rsidP="00000000" w:rsidRDefault="00000000" w:rsidRPr="00000000" w14:paraId="0000002B">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implementing DR through environmental permitting rather than the planning consent process?</w:t>
      </w:r>
    </w:p>
    <w:p w:rsidR="00000000" w:rsidDel="00000000" w:rsidP="00000000" w:rsidRDefault="00000000" w:rsidRPr="00000000" w14:paraId="0000002C">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 We do not oppose the move to application of DR through environmental permitting, and welcome the proposed approach on implementation that a site will only become non-compliant if they do something that actively jeopardises their ability to install CCS in the future. The REA hopes permitting will allow developments to avoid the politics of the planning process. We also recognise that the Environment Agency , with their knowledge and experience, will be more effective at overseeing implementation rather than local authorities.</w:t>
      </w:r>
    </w:p>
    <w:p w:rsidR="00000000" w:rsidDel="00000000" w:rsidP="00000000" w:rsidRDefault="00000000" w:rsidRPr="00000000" w14:paraId="0000002D">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However, we also raise some concerns with this proposal that will need to be addressed before the EA is required to take on this responsibility. This includes:</w:t>
      </w:r>
    </w:p>
    <w:p w:rsidR="00000000" w:rsidDel="00000000" w:rsidP="00000000" w:rsidRDefault="00000000" w:rsidRPr="00000000" w14:paraId="0000002F">
      <w:pPr>
        <w:numPr>
          <w:ilvl w:val="0"/>
          <w:numId w:val="3"/>
        </w:numPr>
        <w:spacing w:after="0" w:line="276" w:lineRule="auto"/>
        <w:ind w:left="72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Clear guidance must be produced on how compliance will be monitored and what activities may mean when a site becomes non-compliant.</w:t>
      </w:r>
    </w:p>
    <w:p w:rsidR="00000000" w:rsidDel="00000000" w:rsidP="00000000" w:rsidRDefault="00000000" w:rsidRPr="00000000" w14:paraId="00000030">
      <w:pPr>
        <w:numPr>
          <w:ilvl w:val="0"/>
          <w:numId w:val="3"/>
        </w:numPr>
        <w:spacing w:after="0" w:line="276" w:lineRule="auto"/>
        <w:ind w:left="72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Reassurance should be given that this will not see requirements implemented retrospectively when environmental permits are renewed every four years. The EA will need clear guidance on when such a requirement will kick in for site following refurbishment. </w:t>
      </w:r>
    </w:p>
    <w:p w:rsidR="00000000" w:rsidDel="00000000" w:rsidP="00000000" w:rsidRDefault="00000000" w:rsidRPr="00000000" w14:paraId="00000031">
      <w:pPr>
        <w:numPr>
          <w:ilvl w:val="0"/>
          <w:numId w:val="3"/>
        </w:numPr>
        <w:spacing w:after="0" w:line="276" w:lineRule="auto"/>
        <w:ind w:left="72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are concerned whether the Environment Agency will have the necessary resources to take on this process, an increase in responsibilities for the agency must be matched with further funding and legislative clarification. We are already aware of the EA being stretched and not always having the staff or expertise to complete existing responsibilities in a timely manner. As such industry will need to be provided confidence that the EA is able to fulfil this role. </w:t>
      </w:r>
    </w:p>
    <w:p w:rsidR="00000000" w:rsidDel="00000000" w:rsidP="00000000" w:rsidRDefault="00000000" w:rsidRPr="00000000" w14:paraId="00000032">
      <w:pPr>
        <w:numPr>
          <w:ilvl w:val="0"/>
          <w:numId w:val="3"/>
        </w:numPr>
        <w:spacing w:after="0" w:line="276" w:lineRule="auto"/>
        <w:ind w:left="72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Government should also confirm where the proposal would fit in existing Environmental Permitting (England and Wales) Regulations 2016 or if there will be some separate regulations for this purpose.</w:t>
      </w:r>
    </w:p>
    <w:p w:rsidR="00000000" w:rsidDel="00000000" w:rsidP="00000000" w:rsidRDefault="00000000" w:rsidRPr="00000000" w14:paraId="00000033">
      <w:pPr>
        <w:numPr>
          <w:ilvl w:val="0"/>
          <w:numId w:val="3"/>
        </w:numPr>
        <w:spacing w:after="0" w:line="276" w:lineRule="auto"/>
        <w:ind w:left="72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There needs to be clear definitions on how quickly the Environment Agency must respond to submitted Carbon Capture Readiness Plans. There should be deemed consent for renewal applications if the regulator does not issue a response before this deadline. </w:t>
      </w:r>
    </w:p>
    <w:p w:rsidR="00000000" w:rsidDel="00000000" w:rsidP="00000000" w:rsidRDefault="00000000" w:rsidRPr="00000000" w14:paraId="00000034">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5">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If we were to implement DR through environmental permitting, how can developers be given confidence that their site will be compliant with DR prior to construction?</w:t>
      </w:r>
    </w:p>
    <w:p w:rsidR="00000000" w:rsidDel="00000000" w:rsidP="00000000" w:rsidRDefault="00000000" w:rsidRPr="00000000" w14:paraId="0000003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Clear guidance from the Environment Agency must be provided. This should include a list of things they would expect to see as a part of the plans when applying for environmental permitting. We would also encourage the EA to offer a pre-approval process for submission of DR plans of a site being built and finally commissioned, to provide developers with the confidence that they have in place sufficient plans to meet their obligation, this could be a paid for service.  </w:t>
      </w:r>
    </w:p>
    <w:p w:rsidR="00000000" w:rsidDel="00000000" w:rsidP="00000000" w:rsidRDefault="00000000" w:rsidRPr="00000000" w14:paraId="00000038">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39">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the two-yearly review of DR requirements? Should this be retained and is the frequency suitable?</w:t>
      </w:r>
    </w:p>
    <w:p w:rsidR="00000000" w:rsidDel="00000000" w:rsidP="00000000" w:rsidRDefault="00000000" w:rsidRPr="00000000" w14:paraId="0000003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B">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If the requirements are being implemented through the environmental permit, then this should be done in line with when permits are reviewed, which is every four years. This will reduce the administrative burden for both the EA and permitted party. </w:t>
      </w:r>
    </w:p>
    <w:p w:rsidR="00000000" w:rsidDel="00000000" w:rsidP="00000000" w:rsidRDefault="00000000" w:rsidRPr="00000000" w14:paraId="0000003C">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D">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How frequently should the DR requirements be reviewed? Should this be made a legislative requirement? </w:t>
      </w:r>
    </w:p>
    <w:p w:rsidR="00000000" w:rsidDel="00000000" w:rsidP="00000000" w:rsidRDefault="00000000" w:rsidRPr="00000000" w14:paraId="0000003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As decarbonisation readiness and carbon capture are a fast evolving and ever adapting technology, we support the need for requirements to be reviewed, however this needs to be balanced against placing over burdensome or rapidly changing requirements on sites.  As such, the proposed 5 years should be considered the earliest that revaluations of DR requirements should take place, especially as DR plans themselves will likely be reviewed every 2-4 years. It would be a significant burden if each review was also accompanied with new requirements.  Some thought should also be given to how appropriate it would be for new requirements to apply to existing sites, causing retrospective changes, introducing a new risk for site developers, that should be avoided.</w:t>
      </w:r>
    </w:p>
    <w:p w:rsidR="00000000" w:rsidDel="00000000" w:rsidP="00000000" w:rsidRDefault="00000000" w:rsidRPr="00000000" w14:paraId="0000004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1">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How can we future proof DR against further technological development, e.g. new decarbonisation technologies and/or simplify the process for adding new techs to DR?</w:t>
      </w:r>
    </w:p>
    <w:p w:rsidR="00000000" w:rsidDel="00000000" w:rsidP="00000000" w:rsidRDefault="00000000" w:rsidRPr="00000000" w14:paraId="00000042">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4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An Initial suggestion would be for the requirement to focus on carbon emission thresholds rather than specific technologies. In doing so, a site could use any appropriate emerging technology if carbon is being demonstrably captured. This would support a technology agnostic approach supporting the best carbon capture method for the situation. </w:t>
      </w:r>
    </w:p>
    <w:p w:rsidR="00000000" w:rsidDel="00000000" w:rsidP="00000000" w:rsidRDefault="00000000" w:rsidRPr="00000000" w14:paraId="00000044">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45">
      <w:pPr>
        <w:numPr>
          <w:ilvl w:val="0"/>
          <w:numId w:val="2"/>
        </w:numPr>
        <w:spacing w:after="0" w:line="276" w:lineRule="auto"/>
        <w:ind w:left="720" w:hanging="360"/>
        <w:rPr>
          <w:rFonts w:ascii="Open Sans" w:cs="Open Sans" w:eastAsia="Open Sans" w:hAnsi="Open Sans"/>
          <w:b w:val="1"/>
          <w:sz w:val="19"/>
          <w:szCs w:val="19"/>
        </w:rPr>
      </w:pPr>
      <w:r w:rsidDel="00000000" w:rsidR="00000000" w:rsidRPr="00000000">
        <w:rPr>
          <w:rFonts w:ascii="Open Sans" w:cs="Open Sans" w:eastAsia="Open Sans" w:hAnsi="Open Sans"/>
          <w:b w:val="1"/>
          <w:color w:val="2f5496"/>
          <w:sz w:val="19"/>
          <w:szCs w:val="19"/>
          <w:rtl w:val="0"/>
        </w:rPr>
        <w:t xml:space="preserve">Are there any alternative decarbonisation options, beyond low-carbon hydrogen and CCS which are already developed enough to be included in Decarbonisation Readiness? If so, then please include details on how their readiness could be assessed for a combustion power plant.</w:t>
      </w:r>
      <w:r w:rsidDel="00000000" w:rsidR="00000000" w:rsidRPr="00000000">
        <w:rPr>
          <w:rtl w:val="0"/>
        </w:rPr>
      </w:r>
    </w:p>
    <w:p w:rsidR="00000000" w:rsidDel="00000000" w:rsidP="00000000" w:rsidRDefault="00000000" w:rsidRPr="00000000" w14:paraId="00000046">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4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deployment of CCS should complement, and not replace, other methods for decarbonisation. Renewable sources of energy such as biomass should continue to be used hand in hand with CCS as we strive for negative emissions. Capturing carbon in Char and other by-products of advanced conversion technologies should also be considered. </w:t>
      </w:r>
    </w:p>
    <w:p w:rsidR="00000000" w:rsidDel="00000000" w:rsidP="00000000" w:rsidRDefault="00000000" w:rsidRPr="00000000" w14:paraId="0000004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9">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our suggested design principles?</w:t>
      </w:r>
    </w:p>
    <w:p w:rsidR="00000000" w:rsidDel="00000000" w:rsidP="00000000" w:rsidRDefault="00000000" w:rsidRPr="00000000" w14:paraId="0000004A">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4B">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the ratcheting up of rigorous assessments, albeit with some caveats. We recognise ratcheting will provide a reasonable timeframe for developers to put in place CCS with much needed leniency considering the novelty of the technology. But the Government should ensure it works with industry when reforming assessments to ensure extra barriers are not created. We support maintaining the no barriers approach to facilitate innovation and a constructive partnership between assessors and sites. We support allowing developers to change their chosen decarbonisation technology as long as the loss of emissions is equal to or greater than the previous technology. </w:t>
      </w:r>
    </w:p>
    <w:p w:rsidR="00000000" w:rsidDel="00000000" w:rsidP="00000000" w:rsidRDefault="00000000" w:rsidRPr="00000000" w14:paraId="0000004C">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D">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hydrogen conversion and carbon capture assessments should be as similar as possible in order to simplify the assessment process. We believe assessments should work in conjunction with sites, and that the robustness of demonstration should keep in mind the size and capacity of plants under development . A site should also be provided leniency if required infrastructure needed to implement CCS or hydrogen is not available to them through no fault of their own. Ie. Availability of carbon transportation and storage, or hydrogen pipeline. </w:t>
      </w:r>
    </w:p>
    <w:p w:rsidR="00000000" w:rsidDel="00000000" w:rsidP="00000000" w:rsidRDefault="00000000" w:rsidRPr="00000000" w14:paraId="0000004E">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F">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regarding the four proposed assessments for demonstrating Hydrogen readiness? Are there additional assessments which would be beneficial?</w:t>
      </w:r>
    </w:p>
    <w:p w:rsidR="00000000" w:rsidDel="00000000" w:rsidP="00000000" w:rsidRDefault="00000000" w:rsidRPr="00000000" w14:paraId="00000050">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51">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the four proposed assessments. We would like to see further guidance around the safety of hydrogen storage, as well as infrastructure in place to manage hydrogen safely. It is unclear how much hydrogen would need to be stored under current regulations - high levels of storage could put a large strain on sites in terms of land requirements. Hydrogen via pipeline should also be allowed as a way of proving hydrogen readiness.</w:t>
      </w:r>
    </w:p>
    <w:p w:rsidR="00000000" w:rsidDel="00000000" w:rsidP="00000000" w:rsidRDefault="00000000" w:rsidRPr="00000000" w14:paraId="00000052">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3">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the suggested requirements for hydrogen ready plants to demonstrate hydrogen blend capability from the point of construction, including the example of 2030 as a cut-off for 100% hydrogen?</w:t>
      </w:r>
    </w:p>
    <w:p w:rsidR="00000000" w:rsidDel="00000000" w:rsidP="00000000" w:rsidRDefault="00000000" w:rsidRPr="00000000" w14:paraId="00000054">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55">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shift from fossil gas to hydrogen should be made as quickly as possible. We support the day one requirement to consider a site “hydrogen ready”</w:t>
      </w:r>
    </w:p>
    <w:p w:rsidR="00000000" w:rsidDel="00000000" w:rsidP="00000000" w:rsidRDefault="00000000" w:rsidRPr="00000000" w14:paraId="00000056">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5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8">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would welcome views on if there are any additional and/or necessary items for hydrogen combustion that might have space requirements (e.g. NOx abatement equipment) and what their specific requirements might be?</w:t>
      </w:r>
    </w:p>
    <w:p w:rsidR="00000000" w:rsidDel="00000000" w:rsidP="00000000" w:rsidRDefault="00000000" w:rsidRPr="00000000" w14:paraId="00000059">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A">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No Comment</w:t>
      </w:r>
    </w:p>
    <w:p w:rsidR="00000000" w:rsidDel="00000000" w:rsidP="00000000" w:rsidRDefault="00000000" w:rsidRPr="00000000" w14:paraId="0000005B">
      <w:pPr>
        <w:spacing w:after="0" w:line="276" w:lineRule="auto"/>
        <w:rPr>
          <w:rFonts w:ascii="Open Sans" w:cs="Open Sans" w:eastAsia="Open Sans" w:hAnsi="Open Sans"/>
          <w:b w:val="1"/>
          <w:i w:val="1"/>
          <w:sz w:val="19"/>
          <w:szCs w:val="19"/>
        </w:rPr>
      </w:pPr>
      <w:r w:rsidDel="00000000" w:rsidR="00000000" w:rsidRPr="00000000">
        <w:rPr>
          <w:rtl w:val="0"/>
        </w:rPr>
      </w:r>
    </w:p>
    <w:p w:rsidR="00000000" w:rsidDel="00000000" w:rsidP="00000000" w:rsidRDefault="00000000" w:rsidRPr="00000000" w14:paraId="0000005C">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Would it be suitable to require plants that have a choice between hydrogen and CCS to set-aside enough space for whichever technology requires the most space, even if they are planning to meet the DR requirements through hydrogen? How could we ensure that this would only apply to sites which are likely to be able to retrofit CCS as well as to convert to hydrogen?</w:t>
      </w:r>
    </w:p>
    <w:p w:rsidR="00000000" w:rsidDel="00000000" w:rsidP="00000000" w:rsidRDefault="00000000" w:rsidRPr="00000000" w14:paraId="0000005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E">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5F">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0">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would appreciate your views on these issues, including whether there are any we have overlooked, and how we can best assure/assess that developers have considered all the relevant technical issues.</w:t>
      </w:r>
    </w:p>
    <w:p w:rsidR="00000000" w:rsidDel="00000000" w:rsidP="00000000" w:rsidRDefault="00000000" w:rsidRPr="00000000" w14:paraId="00000061">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62">
      <w:pPr>
        <w:spacing w:after="0" w:line="276" w:lineRule="auto"/>
        <w:rPr>
          <w:rFonts w:ascii="Open Sans" w:cs="Open Sans" w:eastAsia="Open Sans" w:hAnsi="Open Sans"/>
          <w:i w:val="1"/>
          <w:sz w:val="19"/>
          <w:szCs w:val="19"/>
        </w:rPr>
      </w:pPr>
      <w:r w:rsidDel="00000000" w:rsidR="00000000" w:rsidRPr="00000000">
        <w:rPr>
          <w:rFonts w:ascii="Open Sans" w:cs="Open Sans" w:eastAsia="Open Sans" w:hAnsi="Open Sans"/>
          <w:sz w:val="19"/>
          <w:szCs w:val="19"/>
          <w:rtl w:val="0"/>
        </w:rPr>
        <w:t xml:space="preserve">The issues raised are all pertinent and legitimate, especially issues raised around the safety of hydrogen and the danger of leakage. This is why it is important for the government to work closely with sites and provide clear safety guidance. The points raised around pressure are also important as much infrastructure designed for fossil gas on existing sites will have to be converted to transport hydrogen, this will be a costly and time-consuming process. New technical training will also be required for staff at conversion sites</w:t>
      </w:r>
      <w:r w:rsidDel="00000000" w:rsidR="00000000" w:rsidRPr="00000000">
        <w:rPr>
          <w:rtl w:val="0"/>
        </w:rPr>
      </w:r>
    </w:p>
    <w:p w:rsidR="00000000" w:rsidDel="00000000" w:rsidP="00000000" w:rsidRDefault="00000000" w:rsidRPr="00000000" w14:paraId="00000063">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64">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welcome your views on how to design a meaningful assessment for hydrogen fuel.</w:t>
      </w:r>
    </w:p>
    <w:p w:rsidR="00000000" w:rsidDel="00000000" w:rsidP="00000000" w:rsidRDefault="00000000" w:rsidRPr="00000000" w14:paraId="0000006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6">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Assessment should be done in conjunction with sites, criteria for assessment could include:</w:t>
      </w:r>
    </w:p>
    <w:p w:rsidR="00000000" w:rsidDel="00000000" w:rsidP="00000000" w:rsidRDefault="00000000" w:rsidRPr="00000000" w14:paraId="00000067">
      <w:pPr>
        <w:numPr>
          <w:ilvl w:val="1"/>
          <w:numId w:val="1"/>
        </w:numPr>
        <w:spacing w:after="0" w:line="276" w:lineRule="auto"/>
        <w:ind w:left="144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Logistical considerations, e.g. distance from supply cluster and infrastructure in place</w:t>
      </w:r>
    </w:p>
    <w:p w:rsidR="00000000" w:rsidDel="00000000" w:rsidP="00000000" w:rsidRDefault="00000000" w:rsidRPr="00000000" w14:paraId="00000068">
      <w:pPr>
        <w:numPr>
          <w:ilvl w:val="1"/>
          <w:numId w:val="1"/>
        </w:numPr>
        <w:spacing w:after="0" w:line="276" w:lineRule="auto"/>
        <w:ind w:left="144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Health and safety consideration e.g. the structural integrity of storage units, transport pipes etc.</w:t>
      </w:r>
    </w:p>
    <w:p w:rsidR="00000000" w:rsidDel="00000000" w:rsidP="00000000" w:rsidRDefault="00000000" w:rsidRPr="00000000" w14:paraId="00000069">
      <w:pPr>
        <w:numPr>
          <w:ilvl w:val="1"/>
          <w:numId w:val="1"/>
        </w:numPr>
        <w:spacing w:after="0" w:line="276" w:lineRule="auto"/>
        <w:ind w:left="144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Financial feasibility e.g. necessary capital acquired, long term investment</w:t>
      </w:r>
    </w:p>
    <w:p w:rsidR="00000000" w:rsidDel="00000000" w:rsidP="00000000" w:rsidRDefault="00000000" w:rsidRPr="00000000" w14:paraId="0000006A">
      <w:pPr>
        <w:numPr>
          <w:ilvl w:val="1"/>
          <w:numId w:val="1"/>
        </w:numPr>
        <w:spacing w:after="0" w:line="276" w:lineRule="auto"/>
        <w:ind w:left="1440" w:hanging="36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Environmental impact e.g. consequences of expanding site balanced with CO2 reductions</w:t>
      </w:r>
    </w:p>
    <w:p w:rsidR="00000000" w:rsidDel="00000000" w:rsidP="00000000" w:rsidRDefault="00000000" w:rsidRPr="00000000" w14:paraId="0000006B">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6C">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welcome your views on our likely position to make the hydrogen fuel access assessment non-compulsory in the short-term, with a view to making “passing” it mandatory in future to reflect the anticipated development of the hydrogen economy.</w:t>
      </w:r>
    </w:p>
    <w:p w:rsidR="00000000" w:rsidDel="00000000" w:rsidP="00000000" w:rsidRDefault="00000000" w:rsidRPr="00000000" w14:paraId="0000006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making fuel access non-compulsory in the short term as this will reduce unnecessary barriers </w:t>
      </w:r>
    </w:p>
    <w:p w:rsidR="00000000" w:rsidDel="00000000" w:rsidP="00000000" w:rsidRDefault="00000000" w:rsidRPr="00000000" w14:paraId="0000006F">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70">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appreciate your views on the viability of on-site hydrogen supply and/or storage for hydrogen-fuelled peaking plants.</w:t>
      </w:r>
    </w:p>
    <w:p w:rsidR="00000000" w:rsidDel="00000000" w:rsidP="00000000" w:rsidRDefault="00000000" w:rsidRPr="00000000" w14:paraId="0000007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2">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73">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74">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factors are viewed as critical in determining whether conversion to hydrogen is economically feasible? What would be your economic considerations?</w:t>
      </w:r>
    </w:p>
    <w:p w:rsidR="00000000" w:rsidDel="00000000" w:rsidP="00000000" w:rsidRDefault="00000000" w:rsidRPr="00000000" w14:paraId="0000007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6">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7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our proposed updates to the CCR requirements?</w:t>
      </w:r>
    </w:p>
    <w:p w:rsidR="00000000" w:rsidDel="00000000" w:rsidP="00000000" w:rsidRDefault="00000000" w:rsidRPr="00000000" w14:paraId="0000007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A">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updates which reduce barriers such as converting the economic feasibility test to a periodically reviewed economics assessment. The revised requirements must be matched by Government policy support to see the delivery of CCS and Hydrogen. The business case for installing systems will not happen without government support. </w:t>
      </w:r>
    </w:p>
    <w:p w:rsidR="00000000" w:rsidDel="00000000" w:rsidP="00000000" w:rsidRDefault="00000000" w:rsidRPr="00000000" w14:paraId="0000007B">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C">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are your views on how the transport and storage test for CCR should be updated?</w:t>
      </w:r>
    </w:p>
    <w:p w:rsidR="00000000" w:rsidDel="00000000" w:rsidP="00000000" w:rsidRDefault="00000000" w:rsidRPr="00000000" w14:paraId="0000007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would like to see more flexibility in the transport assessment, maintaining the option of a viable transport route, but also opening assessments based on feasible routes to carbon storage or suitable clusters. We would also like to see alternative forms of transport, such as Liquefaction of CO2 taken into account. This will reduce barriers and maximise flexibility for sites. As technology stabilises,and uncertainties reduce, these assessments could be narrowed.</w:t>
      </w:r>
    </w:p>
    <w:p w:rsidR="00000000" w:rsidDel="00000000" w:rsidP="00000000" w:rsidRDefault="00000000" w:rsidRPr="00000000" w14:paraId="0000007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80">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additional areas for change we have not identified? Please provide Justifications.</w:t>
      </w:r>
    </w:p>
    <w:p w:rsidR="00000000" w:rsidDel="00000000" w:rsidP="00000000" w:rsidRDefault="00000000" w:rsidRPr="00000000" w14:paraId="0000008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2">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Government should provide further guidance around how they are defining carbon capture. All forms of carbon capture need to be seen as legitimate, certain carbon capture technologies should not be privileged over others, as long as they are all effective and all carbon can be accounted for. Government should also recognise the geographical considerations in carbon capture, it is much more practical to install carbon capture in rural secluded sites i.e. sewage plants, rather than cities, several of our members have raised concerns around space. There will be lots of places where carbon capture will work well, but it could become a barrier for smaller plants. Finally, we would like to see clarification on the definition of combustion-based fuels – for example, gasification is not combustion.</w:t>
      </w:r>
    </w:p>
    <w:p w:rsidR="00000000" w:rsidDel="00000000" w:rsidP="00000000" w:rsidRDefault="00000000" w:rsidRPr="00000000" w14:paraId="00000083">
      <w:pPr>
        <w:spacing w:after="0" w:line="276" w:lineRule="auto"/>
        <w:ind w:left="72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84">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85">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impact could the changes discussed in this call for evidence have on your business’s administrative costs for planning permission and environmental permitting? Please specify which of the proposed changes will have the most impact.</w:t>
      </w:r>
    </w:p>
    <w:p w:rsidR="00000000" w:rsidDel="00000000" w:rsidP="00000000" w:rsidRDefault="00000000" w:rsidRPr="00000000" w14:paraId="0000008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88">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89">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anticipate developers are already considering future decarbonisation options following the EWP. What impact are the changes discussed in this call for evidence likely to have on your investment decisions for a new build plant? Please specify which of the proposed changes will have the most impact.</w:t>
      </w:r>
    </w:p>
    <w:p w:rsidR="00000000" w:rsidDel="00000000" w:rsidP="00000000" w:rsidRDefault="00000000" w:rsidRPr="00000000" w14:paraId="0000008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B">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This might become a barrier  for the deployment of bioenergy solutions if they must eventually install CCS – creating competitive advantage for electrification even where it may not be the most appropriate solution. This needs to be done carefully and shouldn’t impact small sites from going forward, delivering immediate decarbonisation. </w:t>
      </w:r>
    </w:p>
    <w:p w:rsidR="00000000" w:rsidDel="00000000" w:rsidP="00000000" w:rsidRDefault="00000000" w:rsidRPr="00000000" w14:paraId="0000008C">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8D">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How do you currently manage the long-term risks of decarbonisation in your investment decisions? What additional work will the proposed changes cause?</w:t>
      </w:r>
    </w:p>
    <w:p w:rsidR="00000000" w:rsidDel="00000000" w:rsidP="00000000" w:rsidRDefault="00000000" w:rsidRPr="00000000" w14:paraId="0000008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F">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9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91">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specific impacts on small and micro businesses that are not covered above? If so, please provide details of the anticipated one-off and on-going costs.</w:t>
      </w:r>
    </w:p>
    <w:p w:rsidR="00000000" w:rsidDel="00000000" w:rsidP="00000000" w:rsidRDefault="00000000" w:rsidRPr="00000000" w14:paraId="00000092">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9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These need to be considered and appropriate thresholds put in place. If carbon emissions are minimised through installation of renewable systems then CCS or hydrogen may not be an appropriate requirement for small systems as used by SMEs.</w:t>
      </w:r>
    </w:p>
    <w:p w:rsidR="00000000" w:rsidDel="00000000" w:rsidP="00000000" w:rsidRDefault="00000000" w:rsidRPr="00000000" w14:paraId="00000094">
      <w:pPr>
        <w:spacing w:after="0" w:line="276" w:lineRule="auto"/>
        <w:rPr>
          <w:rFonts w:ascii="Open Sans" w:cs="Open Sans" w:eastAsia="Open Sans" w:hAnsi="Open Sans"/>
          <w:i w:val="1"/>
          <w:sz w:val="19"/>
          <w:szCs w:val="19"/>
        </w:rPr>
      </w:pPr>
      <w:r w:rsidDel="00000000" w:rsidR="00000000" w:rsidRPr="00000000">
        <w:rPr>
          <w:rtl w:val="0"/>
        </w:rPr>
      </w:r>
    </w:p>
    <w:p w:rsidR="00000000" w:rsidDel="00000000" w:rsidP="00000000" w:rsidRDefault="00000000" w:rsidRPr="00000000" w14:paraId="00000095">
      <w:pPr>
        <w:numPr>
          <w:ilvl w:val="0"/>
          <w:numId w:val="2"/>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Please tell us if you think there are any other impacts not covered above, in particular wider impacts on the energy system and security of supply</w:t>
      </w:r>
    </w:p>
    <w:p w:rsidR="00000000" w:rsidDel="00000000" w:rsidP="00000000" w:rsidRDefault="00000000" w:rsidRPr="00000000" w14:paraId="0000009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No Comment</w:t>
      </w:r>
      <w:r w:rsidDel="00000000" w:rsidR="00000000" w:rsidRPr="00000000">
        <w:rPr>
          <w:rtl w:val="0"/>
        </w:rPr>
      </w:r>
    </w:p>
    <w:p w:rsidR="00000000" w:rsidDel="00000000" w:rsidP="00000000" w:rsidRDefault="00000000" w:rsidRPr="00000000" w14:paraId="0000009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99">
      <w:pPr>
        <w:spacing w:after="0" w:line="276" w:lineRule="auto"/>
        <w:jc w:val="right"/>
        <w:rPr>
          <w:rFonts w:ascii="Open Sans" w:cs="Open Sans" w:eastAsia="Open Sans" w:hAnsi="Open Sans"/>
          <w:b w:val="1"/>
          <w:i w:val="1"/>
          <w:sz w:val="19"/>
          <w:szCs w:val="19"/>
        </w:rPr>
      </w:pPr>
      <w:r w:rsidDel="00000000" w:rsidR="00000000" w:rsidRPr="00000000">
        <w:rPr>
          <w:rFonts w:ascii="Open Sans" w:cs="Open Sans" w:eastAsia="Open Sans" w:hAnsi="Open Sans"/>
          <w:b w:val="1"/>
          <w:i w:val="1"/>
          <w:sz w:val="19"/>
          <w:szCs w:val="19"/>
          <w:rtl w:val="0"/>
        </w:rPr>
        <w:t xml:space="preserve">September 2021</w:t>
      </w:r>
    </w:p>
    <w:p w:rsidR="00000000" w:rsidDel="00000000" w:rsidP="00000000" w:rsidRDefault="00000000" w:rsidRPr="00000000" w14:paraId="0000009A">
      <w:pPr>
        <w:spacing w:after="120" w:before="120" w:line="240" w:lineRule="auto"/>
        <w:rPr>
          <w:rFonts w:ascii="Open Sans" w:cs="Open Sans" w:eastAsia="Open Sans" w:hAnsi="Open Sans"/>
          <w:b w:val="1"/>
          <w:color w:val="2f5496"/>
          <w:sz w:val="19"/>
          <w:szCs w:val="19"/>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-311146</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