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AD49" w14:textId="794FCA4A" w:rsidR="00B44F56" w:rsidRPr="006616E2" w:rsidRDefault="00BD5E21" w:rsidP="006616E2">
      <w:pPr>
        <w:jc w:val="center"/>
        <w:rPr>
          <w:rFonts w:ascii="Open Sans" w:hAnsi="Open Sans" w:cs="Open Sans"/>
          <w:b/>
          <w:bCs/>
          <w:color w:val="06926B"/>
          <w:sz w:val="28"/>
          <w:szCs w:val="28"/>
        </w:rPr>
      </w:pPr>
      <w:r w:rsidRPr="006616E2">
        <w:rPr>
          <w:rFonts w:ascii="Open Sans" w:hAnsi="Open Sans" w:cs="Open Sans"/>
          <w:b/>
          <w:bCs/>
          <w:color w:val="06926B"/>
          <w:sz w:val="28"/>
          <w:szCs w:val="28"/>
        </w:rPr>
        <w:t xml:space="preserve">Capacity Market: Improving delivery assurance and early action to align with </w:t>
      </w:r>
      <w:r w:rsidR="00200A13" w:rsidRPr="006616E2">
        <w:rPr>
          <w:rFonts w:ascii="Open Sans" w:hAnsi="Open Sans" w:cs="Open Sans"/>
          <w:b/>
          <w:bCs/>
          <w:color w:val="06926B"/>
          <w:sz w:val="28"/>
          <w:szCs w:val="28"/>
        </w:rPr>
        <w:t xml:space="preserve">a </w:t>
      </w:r>
      <w:r w:rsidRPr="006616E2">
        <w:rPr>
          <w:rFonts w:ascii="Open Sans" w:hAnsi="Open Sans" w:cs="Open Sans"/>
          <w:b/>
          <w:bCs/>
          <w:color w:val="06926B"/>
          <w:sz w:val="28"/>
          <w:szCs w:val="28"/>
        </w:rPr>
        <w:t>net</w:t>
      </w:r>
      <w:r w:rsidR="00200A13" w:rsidRPr="006616E2">
        <w:rPr>
          <w:rFonts w:ascii="Open Sans" w:hAnsi="Open Sans" w:cs="Open Sans"/>
          <w:b/>
          <w:bCs/>
          <w:color w:val="06926B"/>
          <w:sz w:val="28"/>
          <w:szCs w:val="28"/>
        </w:rPr>
        <w:t>-</w:t>
      </w:r>
      <w:r w:rsidRPr="006616E2">
        <w:rPr>
          <w:rFonts w:ascii="Open Sans" w:hAnsi="Open Sans" w:cs="Open Sans"/>
          <w:b/>
          <w:bCs/>
          <w:color w:val="06926B"/>
          <w:sz w:val="28"/>
          <w:szCs w:val="28"/>
        </w:rPr>
        <w:t>zero call for evidence</w:t>
      </w:r>
    </w:p>
    <w:p w14:paraId="4EC30593" w14:textId="77777777" w:rsidR="002223A7" w:rsidRPr="006616E2" w:rsidRDefault="002223A7" w:rsidP="002223A7">
      <w:pPr>
        <w:rPr>
          <w:rFonts w:ascii="Open Sans" w:hAnsi="Open Sans" w:cs="Open Sans"/>
          <w:sz w:val="20"/>
          <w:szCs w:val="20"/>
        </w:rPr>
      </w:pPr>
      <w:r w:rsidRPr="006616E2">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000F3D83" w14:textId="63B780D6" w:rsidR="00A339B0" w:rsidRPr="006616E2" w:rsidRDefault="00A339B0" w:rsidP="00133F05">
      <w:pPr>
        <w:spacing w:after="0" w:line="240" w:lineRule="auto"/>
        <w:rPr>
          <w:rFonts w:ascii="Open Sans" w:eastAsia="Times New Roman" w:hAnsi="Open Sans" w:cs="Open Sans"/>
          <w:sz w:val="20"/>
          <w:szCs w:val="20"/>
          <w:lang w:eastAsia="en-GB"/>
        </w:rPr>
      </w:pPr>
    </w:p>
    <w:p w14:paraId="57D29E97" w14:textId="051066BB" w:rsidR="009B02D3"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 Could ‘low carbon capacity in the context of the Capacity Market be defined in terms of an emissions limit? If so, what should form the basis of this limit – for example, would it be better to base a limit on carbon intensity or overall annual emissions, and what types of capacity should be captured by this emissions limit? </w:t>
      </w:r>
    </w:p>
    <w:p w14:paraId="1297C268" w14:textId="77777777" w:rsidR="009B02D3" w:rsidRPr="006616E2" w:rsidRDefault="009B02D3" w:rsidP="00133F05">
      <w:pPr>
        <w:spacing w:after="0" w:line="240" w:lineRule="auto"/>
        <w:rPr>
          <w:rFonts w:ascii="Open Sans" w:eastAsia="Times New Roman" w:hAnsi="Open Sans" w:cs="Open Sans"/>
          <w:b/>
          <w:bCs/>
          <w:sz w:val="20"/>
          <w:szCs w:val="20"/>
          <w:lang w:eastAsia="en-GB"/>
        </w:rPr>
      </w:pPr>
    </w:p>
    <w:p w14:paraId="6B2BDAD4" w14:textId="4FF01559" w:rsidR="001E3195" w:rsidRDefault="00222C0E" w:rsidP="00793B49">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REA support the use of </w:t>
      </w:r>
      <w:r w:rsidR="004514C2" w:rsidRPr="006616E2">
        <w:rPr>
          <w:rFonts w:ascii="Open Sans" w:eastAsia="Times New Roman" w:hAnsi="Open Sans" w:cs="Open Sans"/>
          <w:sz w:val="20"/>
          <w:szCs w:val="20"/>
          <w:lang w:eastAsia="en-GB"/>
        </w:rPr>
        <w:t xml:space="preserve">a </w:t>
      </w:r>
      <w:r w:rsidRPr="006616E2">
        <w:rPr>
          <w:rFonts w:ascii="Open Sans" w:eastAsia="Times New Roman" w:hAnsi="Open Sans" w:cs="Open Sans"/>
          <w:sz w:val="20"/>
          <w:szCs w:val="20"/>
          <w:lang w:eastAsia="en-GB"/>
        </w:rPr>
        <w:t xml:space="preserve">carbon intensity </w:t>
      </w:r>
      <w:r w:rsidR="004514C2" w:rsidRPr="006616E2">
        <w:rPr>
          <w:rFonts w:ascii="Open Sans" w:eastAsia="Times New Roman" w:hAnsi="Open Sans" w:cs="Open Sans"/>
          <w:sz w:val="20"/>
          <w:szCs w:val="20"/>
          <w:lang w:eastAsia="en-GB"/>
        </w:rPr>
        <w:t>threshold</w:t>
      </w:r>
      <w:r w:rsidRPr="006616E2">
        <w:rPr>
          <w:rFonts w:ascii="Open Sans" w:eastAsia="Times New Roman" w:hAnsi="Open Sans" w:cs="Open Sans"/>
          <w:sz w:val="20"/>
          <w:szCs w:val="20"/>
          <w:lang w:eastAsia="en-GB"/>
        </w:rPr>
        <w:t xml:space="preserve"> to prioritise clean and renewable technologies. </w:t>
      </w:r>
      <w:r w:rsidR="00793B49" w:rsidRPr="006616E2">
        <w:rPr>
          <w:rFonts w:ascii="Open Sans" w:eastAsia="Times New Roman" w:hAnsi="Open Sans" w:cs="Open Sans"/>
          <w:sz w:val="20"/>
          <w:szCs w:val="20"/>
          <w:lang w:eastAsia="en-GB"/>
        </w:rPr>
        <w:t xml:space="preserve">Carbon intensity should be considered against Life Cycle </w:t>
      </w:r>
      <w:r w:rsidR="001E3195" w:rsidRPr="006616E2">
        <w:rPr>
          <w:rFonts w:ascii="Open Sans" w:eastAsia="Times New Roman" w:hAnsi="Open Sans" w:cs="Open Sans"/>
          <w:sz w:val="20"/>
          <w:szCs w:val="20"/>
          <w:lang w:eastAsia="en-GB"/>
        </w:rPr>
        <w:t xml:space="preserve">Assessments of a plant, considering emissions in their entirety, not just emissions associated with </w:t>
      </w:r>
      <w:r w:rsidR="001240AD" w:rsidRPr="006616E2">
        <w:rPr>
          <w:rFonts w:ascii="Open Sans" w:eastAsia="Times New Roman" w:hAnsi="Open Sans" w:cs="Open Sans"/>
          <w:sz w:val="20"/>
          <w:szCs w:val="20"/>
          <w:lang w:eastAsia="en-GB"/>
        </w:rPr>
        <w:t>generation</w:t>
      </w:r>
      <w:r w:rsidR="00A44BED" w:rsidRPr="006616E2">
        <w:rPr>
          <w:rFonts w:ascii="Open Sans" w:eastAsia="Times New Roman" w:hAnsi="Open Sans" w:cs="Open Sans"/>
          <w:sz w:val="20"/>
          <w:szCs w:val="20"/>
          <w:lang w:eastAsia="en-GB"/>
        </w:rPr>
        <w:t xml:space="preserve">, </w:t>
      </w:r>
      <w:r w:rsidR="001240AD" w:rsidRPr="006616E2">
        <w:rPr>
          <w:rFonts w:ascii="Open Sans" w:eastAsia="Times New Roman" w:hAnsi="Open Sans" w:cs="Open Sans"/>
          <w:sz w:val="20"/>
          <w:szCs w:val="20"/>
          <w:lang w:eastAsia="en-GB"/>
        </w:rPr>
        <w:t xml:space="preserve">as such a </w:t>
      </w:r>
      <w:r w:rsidR="00635A9B" w:rsidRPr="006616E2">
        <w:rPr>
          <w:rFonts w:ascii="Open Sans" w:eastAsia="Times New Roman" w:hAnsi="Open Sans" w:cs="Open Sans"/>
          <w:sz w:val="20"/>
          <w:szCs w:val="20"/>
          <w:lang w:eastAsia="en-GB"/>
        </w:rPr>
        <w:t>total annual emission</w:t>
      </w:r>
      <w:r w:rsidR="006616E2">
        <w:rPr>
          <w:rFonts w:ascii="Open Sans" w:eastAsia="Times New Roman" w:hAnsi="Open Sans" w:cs="Open Sans"/>
          <w:sz w:val="20"/>
          <w:szCs w:val="20"/>
          <w:lang w:eastAsia="en-GB"/>
        </w:rPr>
        <w:t>,</w:t>
      </w:r>
      <w:r w:rsidR="001240AD" w:rsidRPr="006616E2">
        <w:rPr>
          <w:rFonts w:ascii="Open Sans" w:eastAsia="Times New Roman" w:hAnsi="Open Sans" w:cs="Open Sans"/>
          <w:sz w:val="20"/>
          <w:szCs w:val="20"/>
          <w:lang w:eastAsia="en-GB"/>
        </w:rPr>
        <w:t xml:space="preserve"> including embodied emissions</w:t>
      </w:r>
      <w:r w:rsidR="006616E2">
        <w:rPr>
          <w:rFonts w:ascii="Open Sans" w:eastAsia="Times New Roman" w:hAnsi="Open Sans" w:cs="Open Sans"/>
          <w:sz w:val="20"/>
          <w:szCs w:val="20"/>
          <w:lang w:eastAsia="en-GB"/>
        </w:rPr>
        <w:t>,</w:t>
      </w:r>
      <w:r w:rsidR="001240AD" w:rsidRPr="006616E2">
        <w:rPr>
          <w:rFonts w:ascii="Open Sans" w:eastAsia="Times New Roman" w:hAnsi="Open Sans" w:cs="Open Sans"/>
          <w:sz w:val="20"/>
          <w:szCs w:val="20"/>
          <w:lang w:eastAsia="en-GB"/>
        </w:rPr>
        <w:t xml:space="preserve"> should be used</w:t>
      </w:r>
      <w:r w:rsidR="001E3195" w:rsidRPr="006616E2">
        <w:rPr>
          <w:rFonts w:ascii="Open Sans" w:eastAsia="Times New Roman" w:hAnsi="Open Sans" w:cs="Open Sans"/>
          <w:sz w:val="20"/>
          <w:szCs w:val="20"/>
          <w:lang w:eastAsia="en-GB"/>
        </w:rPr>
        <w:t xml:space="preserve">. Existing emission accounting methodologies, based on internationally agreed approaches, as set out by the IPCC, can be used to accurately calculate </w:t>
      </w:r>
      <w:r w:rsidR="004514C2" w:rsidRPr="006616E2">
        <w:rPr>
          <w:rFonts w:ascii="Open Sans" w:eastAsia="Times New Roman" w:hAnsi="Open Sans" w:cs="Open Sans"/>
          <w:sz w:val="20"/>
          <w:szCs w:val="20"/>
          <w:lang w:eastAsia="en-GB"/>
        </w:rPr>
        <w:t>lifetime</w:t>
      </w:r>
      <w:r w:rsidR="001E3195" w:rsidRPr="006616E2">
        <w:rPr>
          <w:rFonts w:ascii="Open Sans" w:eastAsia="Times New Roman" w:hAnsi="Open Sans" w:cs="Open Sans"/>
          <w:sz w:val="20"/>
          <w:szCs w:val="20"/>
          <w:lang w:eastAsia="en-GB"/>
        </w:rPr>
        <w:t xml:space="preserve"> emissions</w:t>
      </w:r>
      <w:r w:rsidR="004514C2" w:rsidRPr="006616E2">
        <w:rPr>
          <w:rFonts w:ascii="Open Sans" w:eastAsia="Times New Roman" w:hAnsi="Open Sans" w:cs="Open Sans"/>
          <w:sz w:val="20"/>
          <w:szCs w:val="20"/>
          <w:lang w:eastAsia="en-GB"/>
        </w:rPr>
        <w:t xml:space="preserve">, with contract terms then used to reward low carbon technologies. </w:t>
      </w:r>
    </w:p>
    <w:p w14:paraId="486FDA16" w14:textId="77777777" w:rsidR="006616E2" w:rsidRPr="006616E2" w:rsidRDefault="006616E2" w:rsidP="00793B49">
      <w:pPr>
        <w:spacing w:after="0" w:line="240" w:lineRule="auto"/>
        <w:rPr>
          <w:rFonts w:ascii="Open Sans" w:eastAsia="Times New Roman" w:hAnsi="Open Sans" w:cs="Open Sans"/>
          <w:sz w:val="20"/>
          <w:szCs w:val="20"/>
          <w:lang w:eastAsia="en-GB"/>
        </w:rPr>
      </w:pPr>
    </w:p>
    <w:p w14:paraId="6EBC3B3A" w14:textId="35BDCC64" w:rsidR="00793B49" w:rsidRPr="006616E2" w:rsidRDefault="004514C2" w:rsidP="00793B49">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 A carbon threshold that accounts for both embodied carbon and then for carbon per unit of energy produced</w:t>
      </w:r>
      <w:r w:rsidR="006616E2">
        <w:rPr>
          <w:rFonts w:ascii="Open Sans" w:eastAsia="Times New Roman" w:hAnsi="Open Sans" w:cs="Open Sans"/>
          <w:sz w:val="20"/>
          <w:szCs w:val="20"/>
          <w:lang w:eastAsia="en-GB"/>
        </w:rPr>
        <w:t>,</w:t>
      </w:r>
      <w:r w:rsidRPr="006616E2">
        <w:rPr>
          <w:rFonts w:ascii="Open Sans" w:eastAsia="Times New Roman" w:hAnsi="Open Sans" w:cs="Open Sans"/>
          <w:sz w:val="20"/>
          <w:szCs w:val="20"/>
          <w:lang w:eastAsia="en-GB"/>
        </w:rPr>
        <w:t xml:space="preserve"> could </w:t>
      </w:r>
      <w:r w:rsidR="000A3C19" w:rsidRPr="006616E2">
        <w:rPr>
          <w:rFonts w:ascii="Open Sans" w:eastAsia="Times New Roman" w:hAnsi="Open Sans" w:cs="Open Sans"/>
          <w:sz w:val="20"/>
          <w:szCs w:val="20"/>
          <w:lang w:eastAsia="en-GB"/>
        </w:rPr>
        <w:t xml:space="preserve">then </w:t>
      </w:r>
      <w:r w:rsidRPr="006616E2">
        <w:rPr>
          <w:rFonts w:ascii="Open Sans" w:eastAsia="Times New Roman" w:hAnsi="Open Sans" w:cs="Open Sans"/>
          <w:sz w:val="20"/>
          <w:szCs w:val="20"/>
          <w:lang w:eastAsia="en-GB"/>
        </w:rPr>
        <w:t>be used to determine contract terms. C</w:t>
      </w:r>
      <w:r w:rsidR="00A14D48" w:rsidRPr="006616E2">
        <w:rPr>
          <w:rFonts w:ascii="Open Sans" w:eastAsia="Times New Roman" w:hAnsi="Open Sans" w:cs="Open Sans"/>
          <w:sz w:val="20"/>
          <w:szCs w:val="20"/>
          <w:lang w:eastAsia="en-GB"/>
        </w:rPr>
        <w:t>ontract length and/or contract price</w:t>
      </w:r>
      <w:r w:rsidRPr="006616E2">
        <w:rPr>
          <w:rFonts w:ascii="Open Sans" w:eastAsia="Times New Roman" w:hAnsi="Open Sans" w:cs="Open Sans"/>
          <w:sz w:val="20"/>
          <w:szCs w:val="20"/>
          <w:lang w:eastAsia="en-GB"/>
        </w:rPr>
        <w:t xml:space="preserve"> could have a direct liner relationship to carbon intensity, with the most </w:t>
      </w:r>
      <w:r w:rsidR="00A3531E" w:rsidRPr="006616E2">
        <w:rPr>
          <w:rFonts w:ascii="Open Sans" w:eastAsia="Times New Roman" w:hAnsi="Open Sans" w:cs="Open Sans"/>
          <w:sz w:val="20"/>
          <w:szCs w:val="20"/>
          <w:lang w:eastAsia="en-GB"/>
        </w:rPr>
        <w:t xml:space="preserve">carbon intensive </w:t>
      </w:r>
      <w:r w:rsidRPr="006616E2">
        <w:rPr>
          <w:rFonts w:ascii="Open Sans" w:eastAsia="Times New Roman" w:hAnsi="Open Sans" w:cs="Open Sans"/>
          <w:sz w:val="20"/>
          <w:szCs w:val="20"/>
          <w:lang w:eastAsia="en-GB"/>
        </w:rPr>
        <w:t>sites having a shortest</w:t>
      </w:r>
      <w:r w:rsidR="00A3531E" w:rsidRPr="006616E2">
        <w:rPr>
          <w:rFonts w:ascii="Open Sans" w:eastAsia="Times New Roman" w:hAnsi="Open Sans" w:cs="Open Sans"/>
          <w:sz w:val="20"/>
          <w:szCs w:val="20"/>
          <w:lang w:eastAsia="en-GB"/>
        </w:rPr>
        <w:t xml:space="preserve"> or lowe</w:t>
      </w:r>
      <w:r w:rsidRPr="006616E2">
        <w:rPr>
          <w:rFonts w:ascii="Open Sans" w:eastAsia="Times New Roman" w:hAnsi="Open Sans" w:cs="Open Sans"/>
          <w:sz w:val="20"/>
          <w:szCs w:val="20"/>
          <w:lang w:eastAsia="en-GB"/>
        </w:rPr>
        <w:t>st</w:t>
      </w:r>
      <w:r w:rsidR="00A3531E" w:rsidRPr="006616E2">
        <w:rPr>
          <w:rFonts w:ascii="Open Sans" w:eastAsia="Times New Roman" w:hAnsi="Open Sans" w:cs="Open Sans"/>
          <w:sz w:val="20"/>
          <w:szCs w:val="20"/>
          <w:lang w:eastAsia="en-GB"/>
        </w:rPr>
        <w:t xml:space="preserve"> priced contract</w:t>
      </w:r>
      <w:r w:rsidRPr="006616E2">
        <w:rPr>
          <w:rFonts w:ascii="Open Sans" w:eastAsia="Times New Roman" w:hAnsi="Open Sans" w:cs="Open Sans"/>
          <w:sz w:val="20"/>
          <w:szCs w:val="20"/>
          <w:lang w:eastAsia="en-GB"/>
        </w:rPr>
        <w:t xml:space="preserve">s. This would still allow for range of capacity to come forward but recognise and reward the benefits of low carbon </w:t>
      </w:r>
      <w:r w:rsidR="006616E2">
        <w:rPr>
          <w:rFonts w:ascii="Open Sans" w:eastAsia="Times New Roman" w:hAnsi="Open Sans" w:cs="Open Sans"/>
          <w:sz w:val="20"/>
          <w:szCs w:val="20"/>
          <w:lang w:eastAsia="en-GB"/>
        </w:rPr>
        <w:t>CMUs</w:t>
      </w:r>
      <w:r w:rsidRPr="006616E2">
        <w:rPr>
          <w:rFonts w:ascii="Open Sans" w:eastAsia="Times New Roman" w:hAnsi="Open Sans" w:cs="Open Sans"/>
          <w:sz w:val="20"/>
          <w:szCs w:val="20"/>
          <w:lang w:eastAsia="en-GB"/>
        </w:rPr>
        <w:t xml:space="preserve">, while also restricting support from going to already established, and in some cases merchant, fossil fuel generation sites. </w:t>
      </w:r>
    </w:p>
    <w:p w14:paraId="458C9DCA" w14:textId="77777777" w:rsidR="00F34134" w:rsidRPr="006616E2" w:rsidRDefault="00F34134" w:rsidP="00F34134">
      <w:pPr>
        <w:spacing w:after="0" w:line="240" w:lineRule="auto"/>
        <w:rPr>
          <w:rFonts w:ascii="Open Sans" w:eastAsia="Times New Roman" w:hAnsi="Open Sans" w:cs="Open Sans"/>
          <w:b/>
          <w:bCs/>
          <w:sz w:val="20"/>
          <w:szCs w:val="20"/>
          <w:lang w:eastAsia="en-GB"/>
        </w:rPr>
      </w:pPr>
    </w:p>
    <w:p w14:paraId="543ACBE0" w14:textId="77D679DF" w:rsidR="009B02D3"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Question 2</w:t>
      </w:r>
      <w:r w:rsidR="004514C2" w:rsidRPr="006616E2">
        <w:rPr>
          <w:rFonts w:ascii="Open Sans" w:eastAsia="Times New Roman" w:hAnsi="Open Sans" w:cs="Open Sans"/>
          <w:b/>
          <w:bCs/>
          <w:sz w:val="20"/>
          <w:szCs w:val="20"/>
          <w:lang w:eastAsia="en-GB"/>
        </w:rPr>
        <w:t xml:space="preserve">: </w:t>
      </w:r>
      <w:r w:rsidRPr="006616E2">
        <w:rPr>
          <w:rFonts w:ascii="Open Sans" w:eastAsia="Times New Roman" w:hAnsi="Open Sans" w:cs="Open Sans"/>
          <w:b/>
          <w:bCs/>
          <w:sz w:val="20"/>
          <w:szCs w:val="20"/>
          <w:lang w:eastAsia="en-GB"/>
        </w:rPr>
        <w:t xml:space="preserve">Are there alternative approaches to defining low carbon capacity in the context of the Capacity Market? Please provide justifications. </w:t>
      </w:r>
    </w:p>
    <w:p w14:paraId="5F3E1E8E" w14:textId="77777777" w:rsidR="004F0FDA" w:rsidRPr="006616E2" w:rsidRDefault="004F0FDA" w:rsidP="00133F05">
      <w:pPr>
        <w:spacing w:after="0" w:line="240" w:lineRule="auto"/>
        <w:rPr>
          <w:rFonts w:ascii="Open Sans" w:eastAsia="Times New Roman" w:hAnsi="Open Sans" w:cs="Open Sans"/>
          <w:sz w:val="20"/>
          <w:szCs w:val="20"/>
          <w:lang w:eastAsia="en-GB"/>
        </w:rPr>
      </w:pPr>
    </w:p>
    <w:p w14:paraId="25F3A030" w14:textId="153A0A5D" w:rsidR="00A44BED" w:rsidRPr="006616E2" w:rsidRDefault="00382BE2"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sz w:val="20"/>
          <w:szCs w:val="20"/>
          <w:lang w:eastAsia="en-GB"/>
        </w:rPr>
        <w:t>Overall</w:t>
      </w:r>
      <w:r w:rsidR="00A44BED" w:rsidRPr="006616E2">
        <w:rPr>
          <w:rFonts w:ascii="Open Sans" w:eastAsia="Times New Roman" w:hAnsi="Open Sans" w:cs="Open Sans"/>
          <w:sz w:val="20"/>
          <w:szCs w:val="20"/>
          <w:lang w:eastAsia="en-GB"/>
        </w:rPr>
        <w:t xml:space="preserve"> </w:t>
      </w:r>
      <w:r w:rsidRPr="006616E2">
        <w:rPr>
          <w:rFonts w:ascii="Open Sans" w:eastAsia="Times New Roman" w:hAnsi="Open Sans" w:cs="Open Sans"/>
          <w:sz w:val="20"/>
          <w:szCs w:val="20"/>
          <w:lang w:eastAsia="en-GB"/>
        </w:rPr>
        <w:t>definitions within the capacity market</w:t>
      </w:r>
      <w:r w:rsidR="00A44BED" w:rsidRPr="006616E2">
        <w:rPr>
          <w:rFonts w:ascii="Open Sans" w:eastAsia="Times New Roman" w:hAnsi="Open Sans" w:cs="Open Sans"/>
          <w:sz w:val="20"/>
          <w:szCs w:val="20"/>
          <w:lang w:eastAsia="en-GB"/>
        </w:rPr>
        <w:t xml:space="preserve"> should align with internationally accepted taxonomy and</w:t>
      </w:r>
      <w:r w:rsidRPr="006616E2">
        <w:rPr>
          <w:rFonts w:ascii="Open Sans" w:eastAsia="Times New Roman" w:hAnsi="Open Sans" w:cs="Open Sans"/>
          <w:sz w:val="20"/>
          <w:szCs w:val="20"/>
          <w:lang w:eastAsia="en-GB"/>
        </w:rPr>
        <w:t xml:space="preserve"> other</w:t>
      </w:r>
      <w:r w:rsidR="00A44BED" w:rsidRPr="006616E2">
        <w:rPr>
          <w:rFonts w:ascii="Open Sans" w:eastAsia="Times New Roman" w:hAnsi="Open Sans" w:cs="Open Sans"/>
          <w:sz w:val="20"/>
          <w:szCs w:val="20"/>
          <w:lang w:eastAsia="en-GB"/>
        </w:rPr>
        <w:t xml:space="preserve"> UK policy around the definition</w:t>
      </w:r>
      <w:r w:rsidR="006616E2">
        <w:rPr>
          <w:rFonts w:ascii="Open Sans" w:eastAsia="Times New Roman" w:hAnsi="Open Sans" w:cs="Open Sans"/>
          <w:sz w:val="20"/>
          <w:szCs w:val="20"/>
          <w:lang w:eastAsia="en-GB"/>
        </w:rPr>
        <w:t>s</w:t>
      </w:r>
      <w:r w:rsidR="00A44BED" w:rsidRPr="006616E2">
        <w:rPr>
          <w:rFonts w:ascii="Open Sans" w:eastAsia="Times New Roman" w:hAnsi="Open Sans" w:cs="Open Sans"/>
          <w:sz w:val="20"/>
          <w:szCs w:val="20"/>
          <w:lang w:eastAsia="en-GB"/>
        </w:rPr>
        <w:t xml:space="preserve"> of lower carbon capacity</w:t>
      </w:r>
      <w:r w:rsidRPr="006616E2">
        <w:rPr>
          <w:rFonts w:ascii="Open Sans" w:eastAsia="Times New Roman" w:hAnsi="Open Sans" w:cs="Open Sans"/>
          <w:sz w:val="20"/>
          <w:szCs w:val="20"/>
          <w:lang w:eastAsia="en-GB"/>
        </w:rPr>
        <w:t>, based</w:t>
      </w:r>
      <w:r w:rsidR="006616E2">
        <w:rPr>
          <w:rFonts w:ascii="Open Sans" w:eastAsia="Times New Roman" w:hAnsi="Open Sans" w:cs="Open Sans"/>
          <w:sz w:val="20"/>
          <w:szCs w:val="20"/>
          <w:lang w:eastAsia="en-GB"/>
        </w:rPr>
        <w:t xml:space="preserve"> on</w:t>
      </w:r>
      <w:r w:rsidRPr="006616E2">
        <w:rPr>
          <w:rFonts w:ascii="Open Sans" w:eastAsia="Times New Roman" w:hAnsi="Open Sans" w:cs="Open Sans"/>
          <w:sz w:val="20"/>
          <w:szCs w:val="20"/>
          <w:lang w:eastAsia="en-GB"/>
        </w:rPr>
        <w:t xml:space="preserve"> </w:t>
      </w:r>
      <w:r w:rsidR="006616E2" w:rsidRPr="006616E2">
        <w:rPr>
          <w:rFonts w:ascii="Open Sans" w:eastAsia="Times New Roman" w:hAnsi="Open Sans" w:cs="Open Sans"/>
          <w:sz w:val="20"/>
          <w:szCs w:val="20"/>
          <w:lang w:eastAsia="en-GB"/>
        </w:rPr>
        <w:t>well-established</w:t>
      </w:r>
      <w:r w:rsidRPr="006616E2">
        <w:rPr>
          <w:rFonts w:ascii="Open Sans" w:eastAsia="Times New Roman" w:hAnsi="Open Sans" w:cs="Open Sans"/>
          <w:sz w:val="20"/>
          <w:szCs w:val="20"/>
          <w:lang w:eastAsia="en-GB"/>
        </w:rPr>
        <w:t xml:space="preserve"> greenhouse gas inventories as set out by the IPCC. </w:t>
      </w:r>
    </w:p>
    <w:p w14:paraId="1332E3F2" w14:textId="704CF5DF" w:rsidR="00133F05" w:rsidRPr="006616E2" w:rsidRDefault="00133F05" w:rsidP="006616E2">
      <w:pPr>
        <w:spacing w:after="0" w:line="240" w:lineRule="auto"/>
        <w:rPr>
          <w:rFonts w:ascii="Open Sans" w:eastAsia="Times New Roman" w:hAnsi="Open Sans" w:cs="Open Sans"/>
          <w:b/>
          <w:bCs/>
          <w:sz w:val="20"/>
          <w:szCs w:val="20"/>
          <w:lang w:eastAsia="en-GB"/>
        </w:rPr>
      </w:pPr>
    </w:p>
    <w:p w14:paraId="60FCBF0B" w14:textId="2A64A109"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3 What are your views on the benefits or challenges of linking future long-term Capacity Market agreements to a new carbon emissions limit? Do you have any suggestions regarding an appropriate approach to setting such an emissions limit, and how could we best account for ‘lower’ rather than ‘low’ carbon technologies in determining eligibility for multi-year agreements? </w:t>
      </w:r>
    </w:p>
    <w:p w14:paraId="112EA5EA" w14:textId="77777777" w:rsidR="004F0FDA" w:rsidRPr="006616E2" w:rsidRDefault="004F0FDA" w:rsidP="00382BE2">
      <w:pPr>
        <w:spacing w:after="0" w:line="240" w:lineRule="auto"/>
        <w:rPr>
          <w:rFonts w:ascii="Open Sans" w:eastAsia="Times New Roman" w:hAnsi="Open Sans" w:cs="Open Sans"/>
          <w:sz w:val="20"/>
          <w:szCs w:val="20"/>
          <w:lang w:eastAsia="en-GB"/>
        </w:rPr>
      </w:pPr>
    </w:p>
    <w:p w14:paraId="14BA7DCE" w14:textId="356E3C16" w:rsidR="006162D0" w:rsidRPr="006616E2" w:rsidRDefault="00382BE2" w:rsidP="00382BE2">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REA Supports the linking </w:t>
      </w:r>
      <w:r w:rsidR="006616E2">
        <w:rPr>
          <w:rFonts w:ascii="Open Sans" w:eastAsia="Times New Roman" w:hAnsi="Open Sans" w:cs="Open Sans"/>
          <w:sz w:val="20"/>
          <w:szCs w:val="20"/>
          <w:lang w:eastAsia="en-GB"/>
        </w:rPr>
        <w:t xml:space="preserve">of </w:t>
      </w:r>
      <w:r w:rsidRPr="006616E2">
        <w:rPr>
          <w:rFonts w:ascii="Open Sans" w:eastAsia="Times New Roman" w:hAnsi="Open Sans" w:cs="Open Sans"/>
          <w:sz w:val="20"/>
          <w:szCs w:val="20"/>
          <w:lang w:eastAsia="en-GB"/>
        </w:rPr>
        <w:t>long-term Capacity market agreements to emission limits. This relationship could be linear</w:t>
      </w:r>
      <w:r w:rsidR="006162D0" w:rsidRPr="006616E2">
        <w:rPr>
          <w:rFonts w:ascii="Open Sans" w:eastAsia="Times New Roman" w:hAnsi="Open Sans" w:cs="Open Sans"/>
          <w:sz w:val="20"/>
          <w:szCs w:val="20"/>
          <w:lang w:eastAsia="en-GB"/>
        </w:rPr>
        <w:t xml:space="preserve">. The highest carbon intensive form of capacity would receive 50% of the contract length of the lowest carbon </w:t>
      </w:r>
      <w:r w:rsidR="006616E2">
        <w:rPr>
          <w:rFonts w:ascii="Open Sans" w:eastAsia="Times New Roman" w:hAnsi="Open Sans" w:cs="Open Sans"/>
          <w:sz w:val="20"/>
          <w:szCs w:val="20"/>
          <w:lang w:eastAsia="en-GB"/>
        </w:rPr>
        <w:t>CMUs</w:t>
      </w:r>
      <w:r w:rsidR="006162D0" w:rsidRPr="006616E2">
        <w:rPr>
          <w:rFonts w:ascii="Open Sans" w:eastAsia="Times New Roman" w:hAnsi="Open Sans" w:cs="Open Sans"/>
          <w:sz w:val="20"/>
          <w:szCs w:val="20"/>
          <w:lang w:eastAsia="en-GB"/>
        </w:rPr>
        <w:t xml:space="preserve">. This would both reward ‘lower’ forms of carbon intensive capacity, while also not allowing high carbon </w:t>
      </w:r>
      <w:r w:rsidR="006616E2">
        <w:rPr>
          <w:rFonts w:ascii="Open Sans" w:eastAsia="Times New Roman" w:hAnsi="Open Sans" w:cs="Open Sans"/>
          <w:sz w:val="20"/>
          <w:szCs w:val="20"/>
          <w:lang w:eastAsia="en-GB"/>
        </w:rPr>
        <w:t>CMUs</w:t>
      </w:r>
      <w:r w:rsidR="006162D0" w:rsidRPr="006616E2">
        <w:rPr>
          <w:rFonts w:ascii="Open Sans" w:eastAsia="Times New Roman" w:hAnsi="Open Sans" w:cs="Open Sans"/>
          <w:sz w:val="20"/>
          <w:szCs w:val="20"/>
          <w:lang w:eastAsia="en-GB"/>
        </w:rPr>
        <w:t xml:space="preserve"> contract</w:t>
      </w:r>
      <w:r w:rsidR="006616E2">
        <w:rPr>
          <w:rFonts w:ascii="Open Sans" w:eastAsia="Times New Roman" w:hAnsi="Open Sans" w:cs="Open Sans"/>
          <w:sz w:val="20"/>
          <w:szCs w:val="20"/>
          <w:lang w:eastAsia="en-GB"/>
        </w:rPr>
        <w:t>s for new builds.</w:t>
      </w:r>
    </w:p>
    <w:p w14:paraId="77C3862C" w14:textId="77777777" w:rsidR="00382BE2" w:rsidRPr="006616E2" w:rsidRDefault="00382BE2" w:rsidP="00382BE2">
      <w:pPr>
        <w:spacing w:after="0" w:line="240" w:lineRule="auto"/>
        <w:rPr>
          <w:rFonts w:ascii="Open Sans" w:eastAsia="Times New Roman" w:hAnsi="Open Sans" w:cs="Open Sans"/>
          <w:sz w:val="20"/>
          <w:szCs w:val="20"/>
          <w:lang w:eastAsia="en-GB"/>
        </w:rPr>
      </w:pPr>
    </w:p>
    <w:p w14:paraId="4F11DFF0" w14:textId="549A60AC"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lastRenderedPageBreak/>
        <w:br/>
        <w:t>Question 4</w:t>
      </w:r>
      <w:r w:rsidR="006616E2">
        <w:rPr>
          <w:rFonts w:ascii="Open Sans" w:eastAsia="Times New Roman" w:hAnsi="Open Sans" w:cs="Open Sans"/>
          <w:b/>
          <w:bCs/>
          <w:sz w:val="20"/>
          <w:szCs w:val="20"/>
          <w:lang w:eastAsia="en-GB"/>
        </w:rPr>
        <w:t>.</w:t>
      </w:r>
      <w:r w:rsidRPr="006616E2">
        <w:rPr>
          <w:rFonts w:ascii="Open Sans" w:eastAsia="Times New Roman" w:hAnsi="Open Sans" w:cs="Open Sans"/>
          <w:b/>
          <w:bCs/>
          <w:sz w:val="20"/>
          <w:szCs w:val="20"/>
          <w:lang w:eastAsia="en-GB"/>
        </w:rPr>
        <w:t xml:space="preserve"> Is it necessary and appropriate for carbon intensive generation to continue to access shorter multi-year agreements, until such a time as low carbon dispatchable generation is more widely available? </w:t>
      </w:r>
    </w:p>
    <w:p w14:paraId="765221AA" w14:textId="47E26547" w:rsidR="005B52A4" w:rsidRPr="006616E2" w:rsidRDefault="005B52A4" w:rsidP="00133F05">
      <w:pPr>
        <w:spacing w:after="0" w:line="240" w:lineRule="auto"/>
        <w:rPr>
          <w:rFonts w:ascii="Open Sans" w:eastAsia="Times New Roman" w:hAnsi="Open Sans" w:cs="Open Sans"/>
          <w:b/>
          <w:bCs/>
          <w:sz w:val="20"/>
          <w:szCs w:val="20"/>
          <w:lang w:eastAsia="en-GB"/>
        </w:rPr>
      </w:pPr>
    </w:p>
    <w:p w14:paraId="5A479DC9" w14:textId="0CF6A86B" w:rsidR="00F109F5" w:rsidRPr="006616E2" w:rsidRDefault="002245C1" w:rsidP="006616E2">
      <w:pPr>
        <w:pStyle w:val="ListParagraph"/>
        <w:spacing w:after="0" w:line="240" w:lineRule="auto"/>
        <w:ind w:left="0"/>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REA recognise that </w:t>
      </w:r>
      <w:r w:rsidR="005B52A4" w:rsidRPr="006616E2">
        <w:rPr>
          <w:rFonts w:ascii="Open Sans" w:eastAsia="Times New Roman" w:hAnsi="Open Sans" w:cs="Open Sans"/>
          <w:sz w:val="20"/>
          <w:szCs w:val="20"/>
          <w:lang w:eastAsia="en-GB"/>
        </w:rPr>
        <w:t xml:space="preserve">Energy security is </w:t>
      </w:r>
      <w:r w:rsidR="006616E2">
        <w:rPr>
          <w:rFonts w:ascii="Open Sans" w:eastAsia="Times New Roman" w:hAnsi="Open Sans" w:cs="Open Sans"/>
          <w:sz w:val="20"/>
          <w:szCs w:val="20"/>
          <w:lang w:eastAsia="en-GB"/>
        </w:rPr>
        <w:t xml:space="preserve">a </w:t>
      </w:r>
      <w:r w:rsidR="005B52A4" w:rsidRPr="006616E2">
        <w:rPr>
          <w:rFonts w:ascii="Open Sans" w:eastAsia="Times New Roman" w:hAnsi="Open Sans" w:cs="Open Sans"/>
          <w:sz w:val="20"/>
          <w:szCs w:val="20"/>
          <w:lang w:eastAsia="en-GB"/>
        </w:rPr>
        <w:t>priority</w:t>
      </w:r>
      <w:r w:rsidR="006616E2">
        <w:rPr>
          <w:rFonts w:ascii="Open Sans" w:eastAsia="Times New Roman" w:hAnsi="Open Sans" w:cs="Open Sans"/>
          <w:sz w:val="20"/>
          <w:szCs w:val="20"/>
          <w:lang w:eastAsia="en-GB"/>
        </w:rPr>
        <w:t xml:space="preserve"> </w:t>
      </w:r>
      <w:proofErr w:type="spellStart"/>
      <w:r w:rsidR="006616E2">
        <w:rPr>
          <w:rFonts w:ascii="Open Sans" w:eastAsia="Times New Roman" w:hAnsi="Open Sans" w:cs="Open Sans"/>
          <w:sz w:val="20"/>
          <w:szCs w:val="20"/>
          <w:lang w:eastAsia="en-GB"/>
        </w:rPr>
        <w:t>fo</w:t>
      </w:r>
      <w:proofErr w:type="spellEnd"/>
      <w:r w:rsidR="006616E2">
        <w:rPr>
          <w:rFonts w:ascii="Open Sans" w:eastAsia="Times New Roman" w:hAnsi="Open Sans" w:cs="Open Sans"/>
          <w:sz w:val="20"/>
          <w:szCs w:val="20"/>
          <w:lang w:eastAsia="en-GB"/>
        </w:rPr>
        <w:t xml:space="preserve"> the capacity market, and that in the immediate term some carbon</w:t>
      </w:r>
      <w:r w:rsidRPr="006616E2">
        <w:rPr>
          <w:rFonts w:ascii="Open Sans" w:eastAsia="Times New Roman" w:hAnsi="Open Sans" w:cs="Open Sans"/>
          <w:sz w:val="20"/>
          <w:szCs w:val="20"/>
          <w:lang w:eastAsia="en-GB"/>
        </w:rPr>
        <w:t xml:space="preserve">-intensive generation </w:t>
      </w:r>
      <w:r w:rsidR="006616E2">
        <w:rPr>
          <w:rFonts w:ascii="Open Sans" w:eastAsia="Times New Roman" w:hAnsi="Open Sans" w:cs="Open Sans"/>
          <w:sz w:val="20"/>
          <w:szCs w:val="20"/>
          <w:lang w:eastAsia="en-GB"/>
        </w:rPr>
        <w:t xml:space="preserve">may be required. However, the </w:t>
      </w:r>
      <w:r w:rsidRPr="006616E2">
        <w:rPr>
          <w:rFonts w:ascii="Open Sans" w:eastAsia="Times New Roman" w:hAnsi="Open Sans" w:cs="Open Sans"/>
          <w:sz w:val="20"/>
          <w:szCs w:val="20"/>
          <w:lang w:eastAsia="en-GB"/>
        </w:rPr>
        <w:t xml:space="preserve">capacity market should not be used to see delivery of new </w:t>
      </w:r>
      <w:r w:rsidR="006616E2">
        <w:rPr>
          <w:rFonts w:ascii="Open Sans" w:eastAsia="Times New Roman" w:hAnsi="Open Sans" w:cs="Open Sans"/>
          <w:sz w:val="20"/>
          <w:szCs w:val="20"/>
          <w:lang w:eastAsia="en-GB"/>
        </w:rPr>
        <w:t xml:space="preserve">build </w:t>
      </w:r>
      <w:r w:rsidRPr="006616E2">
        <w:rPr>
          <w:rFonts w:ascii="Open Sans" w:eastAsia="Times New Roman" w:hAnsi="Open Sans" w:cs="Open Sans"/>
          <w:sz w:val="20"/>
          <w:szCs w:val="20"/>
          <w:lang w:eastAsia="en-GB"/>
        </w:rPr>
        <w:t xml:space="preserve">fossil generation sites that would </w:t>
      </w:r>
      <w:r w:rsidR="00F109F5" w:rsidRPr="006616E2">
        <w:rPr>
          <w:rFonts w:ascii="Open Sans" w:eastAsia="Times New Roman" w:hAnsi="Open Sans" w:cs="Open Sans"/>
          <w:sz w:val="20"/>
          <w:szCs w:val="20"/>
          <w:lang w:eastAsia="en-GB"/>
        </w:rPr>
        <w:t>lock-in</w:t>
      </w:r>
      <w:r w:rsidRPr="006616E2">
        <w:rPr>
          <w:rFonts w:ascii="Open Sans" w:eastAsia="Times New Roman" w:hAnsi="Open Sans" w:cs="Open Sans"/>
          <w:sz w:val="20"/>
          <w:szCs w:val="20"/>
          <w:lang w:eastAsia="en-GB"/>
        </w:rPr>
        <w:t xml:space="preserve"> stranded assets as the energy system decarbonises in line with the net zero 2050 target</w:t>
      </w:r>
      <w:r w:rsidR="006616E2">
        <w:rPr>
          <w:rFonts w:ascii="Open Sans" w:eastAsia="Times New Roman" w:hAnsi="Open Sans" w:cs="Open Sans"/>
          <w:sz w:val="20"/>
          <w:szCs w:val="20"/>
          <w:lang w:eastAsia="en-GB"/>
        </w:rPr>
        <w:t xml:space="preserve">. </w:t>
      </w:r>
      <w:r w:rsidRPr="006616E2">
        <w:rPr>
          <w:rFonts w:ascii="Open Sans" w:eastAsia="Times New Roman" w:hAnsi="Open Sans" w:cs="Open Sans"/>
          <w:sz w:val="20"/>
          <w:szCs w:val="20"/>
          <w:lang w:eastAsia="en-GB"/>
        </w:rPr>
        <w:t>As such</w:t>
      </w:r>
      <w:r w:rsidR="006616E2">
        <w:rPr>
          <w:rFonts w:ascii="Open Sans" w:eastAsia="Times New Roman" w:hAnsi="Open Sans" w:cs="Open Sans"/>
          <w:sz w:val="20"/>
          <w:szCs w:val="20"/>
          <w:lang w:eastAsia="en-GB"/>
        </w:rPr>
        <w:t xml:space="preserve">, </w:t>
      </w:r>
      <w:r w:rsidRPr="006616E2">
        <w:rPr>
          <w:rFonts w:ascii="Open Sans" w:eastAsia="Times New Roman" w:hAnsi="Open Sans" w:cs="Open Sans"/>
          <w:sz w:val="20"/>
          <w:szCs w:val="20"/>
          <w:lang w:eastAsia="en-GB"/>
        </w:rPr>
        <w:t>multi-year agreements should be ring fenced for low carbon new builds and not be awarded above a certain emission threshold. By comparison T-1 could be awarded to refurbishment sites</w:t>
      </w:r>
      <w:r w:rsidR="00F109F5" w:rsidRPr="006616E2">
        <w:rPr>
          <w:rFonts w:ascii="Open Sans" w:eastAsia="Times New Roman" w:hAnsi="Open Sans" w:cs="Open Sans"/>
          <w:sz w:val="20"/>
          <w:szCs w:val="20"/>
          <w:lang w:eastAsia="en-GB"/>
        </w:rPr>
        <w:t xml:space="preserve">, </w:t>
      </w:r>
      <w:r w:rsidRPr="006616E2">
        <w:rPr>
          <w:rFonts w:ascii="Open Sans" w:eastAsia="Times New Roman" w:hAnsi="Open Sans" w:cs="Open Sans"/>
          <w:sz w:val="20"/>
          <w:szCs w:val="20"/>
          <w:lang w:eastAsia="en-GB"/>
        </w:rPr>
        <w:t xml:space="preserve">where existing carbon intensive capacity could be given a role, while more low carbon capacity is delivered.  </w:t>
      </w:r>
      <w:r w:rsidR="00F109F5" w:rsidRPr="006616E2">
        <w:rPr>
          <w:rFonts w:ascii="Open Sans" w:eastAsia="Times New Roman" w:hAnsi="Open Sans" w:cs="Open Sans"/>
          <w:sz w:val="20"/>
          <w:szCs w:val="20"/>
          <w:lang w:eastAsia="en-GB"/>
        </w:rPr>
        <w:t xml:space="preserve">We would also support shorter multi-year agreements to be given to those sites with a clear carbon reduction plan in place to be low carbon, or deliver negative emissions, within a suitable </w:t>
      </w:r>
      <w:r w:rsidR="006616E2" w:rsidRPr="006616E2">
        <w:rPr>
          <w:rFonts w:ascii="Open Sans" w:eastAsia="Times New Roman" w:hAnsi="Open Sans" w:cs="Open Sans"/>
          <w:sz w:val="20"/>
          <w:szCs w:val="20"/>
          <w:lang w:eastAsia="en-GB"/>
        </w:rPr>
        <w:t>time</w:t>
      </w:r>
      <w:r w:rsidR="00F109F5" w:rsidRPr="006616E2">
        <w:rPr>
          <w:rFonts w:ascii="Open Sans" w:eastAsia="Times New Roman" w:hAnsi="Open Sans" w:cs="Open Sans"/>
          <w:sz w:val="20"/>
          <w:szCs w:val="20"/>
          <w:lang w:eastAsia="en-GB"/>
        </w:rPr>
        <w:t xml:space="preserve">. </w:t>
      </w:r>
    </w:p>
    <w:p w14:paraId="7AF329AC" w14:textId="77777777" w:rsidR="00F109F5" w:rsidRPr="006616E2" w:rsidRDefault="00F109F5" w:rsidP="00F109F5">
      <w:pPr>
        <w:spacing w:after="0" w:line="240" w:lineRule="auto"/>
        <w:rPr>
          <w:rFonts w:ascii="Open Sans" w:eastAsia="Times New Roman" w:hAnsi="Open Sans" w:cs="Open Sans"/>
          <w:sz w:val="20"/>
          <w:szCs w:val="20"/>
          <w:lang w:eastAsia="en-GB"/>
        </w:rPr>
      </w:pPr>
    </w:p>
    <w:p w14:paraId="53542BA2" w14:textId="5292C3F5" w:rsidR="005B52A4" w:rsidRPr="006616E2" w:rsidRDefault="002245C1" w:rsidP="004F0FDA">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sz w:val="20"/>
          <w:szCs w:val="20"/>
          <w:lang w:eastAsia="en-GB"/>
        </w:rPr>
        <w:t>This</w:t>
      </w:r>
      <w:r w:rsidR="00F109F5" w:rsidRPr="006616E2">
        <w:rPr>
          <w:rFonts w:ascii="Open Sans" w:eastAsia="Times New Roman" w:hAnsi="Open Sans" w:cs="Open Sans"/>
          <w:sz w:val="20"/>
          <w:szCs w:val="20"/>
          <w:lang w:eastAsia="en-GB"/>
        </w:rPr>
        <w:t xml:space="preserve"> arrangement should</w:t>
      </w:r>
      <w:r w:rsidRPr="006616E2">
        <w:rPr>
          <w:rFonts w:ascii="Open Sans" w:eastAsia="Times New Roman" w:hAnsi="Open Sans" w:cs="Open Sans"/>
          <w:sz w:val="20"/>
          <w:szCs w:val="20"/>
          <w:lang w:eastAsia="en-GB"/>
        </w:rPr>
        <w:t xml:space="preserve"> have a clear timetable for review </w:t>
      </w:r>
      <w:proofErr w:type="gramStart"/>
      <w:r w:rsidR="00F109F5" w:rsidRPr="006616E2">
        <w:rPr>
          <w:rFonts w:ascii="Open Sans" w:eastAsia="Times New Roman" w:hAnsi="Open Sans" w:cs="Open Sans"/>
          <w:sz w:val="20"/>
          <w:szCs w:val="20"/>
          <w:lang w:eastAsia="en-GB"/>
        </w:rPr>
        <w:t>in order</w:t>
      </w:r>
      <w:r w:rsidRPr="006616E2">
        <w:rPr>
          <w:rFonts w:ascii="Open Sans" w:eastAsia="Times New Roman" w:hAnsi="Open Sans" w:cs="Open Sans"/>
          <w:sz w:val="20"/>
          <w:szCs w:val="20"/>
          <w:lang w:eastAsia="en-GB"/>
        </w:rPr>
        <w:t xml:space="preserve"> to</w:t>
      </w:r>
      <w:proofErr w:type="gramEnd"/>
      <w:r w:rsidRPr="006616E2">
        <w:rPr>
          <w:rFonts w:ascii="Open Sans" w:eastAsia="Times New Roman" w:hAnsi="Open Sans" w:cs="Open Sans"/>
          <w:sz w:val="20"/>
          <w:szCs w:val="20"/>
          <w:lang w:eastAsia="en-GB"/>
        </w:rPr>
        <w:t xml:space="preserve"> determine when there is enough low carbon generation available to stop providing contracts to fossil generation at all, recognising that this will need to happen by the early 2030s if to remain aligned to the CCC carbon budgets</w:t>
      </w:r>
      <w:r w:rsidR="00F109F5" w:rsidRPr="006616E2">
        <w:rPr>
          <w:rFonts w:ascii="Open Sans" w:eastAsia="Times New Roman" w:hAnsi="Open Sans" w:cs="Open Sans"/>
          <w:sz w:val="20"/>
          <w:szCs w:val="20"/>
          <w:lang w:eastAsia="en-GB"/>
        </w:rPr>
        <w:t xml:space="preserve"> which require the net zero electricity grid by 2035</w:t>
      </w:r>
      <w:r w:rsidRPr="006616E2">
        <w:rPr>
          <w:rFonts w:ascii="Open Sans" w:eastAsia="Times New Roman" w:hAnsi="Open Sans" w:cs="Open Sans"/>
          <w:sz w:val="20"/>
          <w:szCs w:val="20"/>
          <w:lang w:eastAsia="en-GB"/>
        </w:rPr>
        <w:t xml:space="preserve">. </w:t>
      </w:r>
      <w:r w:rsidR="005B52A4" w:rsidRPr="006616E2">
        <w:rPr>
          <w:rFonts w:ascii="Open Sans" w:eastAsia="Times New Roman" w:hAnsi="Open Sans" w:cs="Open Sans"/>
          <w:sz w:val="20"/>
          <w:szCs w:val="20"/>
          <w:lang w:eastAsia="en-GB"/>
        </w:rPr>
        <w:t xml:space="preserve"> </w:t>
      </w:r>
    </w:p>
    <w:p w14:paraId="493D1446" w14:textId="4AB6466D"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br/>
        <w:t xml:space="preserve">Question 5 Would you expect these suggested changes to agreement lengths to affect your decision to participate in the Capacity Market, your bidding behaviour, or the costs of and access to finance? If so, how? Can you suggest any alternative approaches to ensuring agreement lengths offered in the Capacity Market are consistent with the delivery of net zero targets? </w:t>
      </w:r>
    </w:p>
    <w:p w14:paraId="0AB4A223" w14:textId="77777777" w:rsidR="00F109F5" w:rsidRPr="006616E2" w:rsidRDefault="00F109F5" w:rsidP="004F0FDA">
      <w:pPr>
        <w:spacing w:after="0" w:line="240" w:lineRule="auto"/>
        <w:rPr>
          <w:rFonts w:ascii="Open Sans" w:eastAsia="Times New Roman" w:hAnsi="Open Sans" w:cs="Open Sans"/>
          <w:b/>
          <w:bCs/>
          <w:sz w:val="20"/>
          <w:szCs w:val="20"/>
          <w:lang w:eastAsia="en-GB"/>
        </w:rPr>
      </w:pPr>
    </w:p>
    <w:p w14:paraId="2B22D3BB" w14:textId="7CEA903D" w:rsidR="000E6E42" w:rsidRPr="006616E2" w:rsidRDefault="000E6E42" w:rsidP="000E6E42">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Limiting access to multi-year agreements to low carbon capacity will encourage </w:t>
      </w:r>
      <w:r w:rsidR="002361E6" w:rsidRPr="006616E2">
        <w:rPr>
          <w:rFonts w:ascii="Open Sans" w:eastAsia="Times New Roman" w:hAnsi="Open Sans" w:cs="Open Sans"/>
          <w:sz w:val="20"/>
          <w:szCs w:val="20"/>
          <w:lang w:eastAsia="en-GB"/>
        </w:rPr>
        <w:t>more renewable and clean technology capacity to</w:t>
      </w:r>
      <w:r w:rsidRPr="006616E2">
        <w:rPr>
          <w:rFonts w:ascii="Open Sans" w:eastAsia="Times New Roman" w:hAnsi="Open Sans" w:cs="Open Sans"/>
          <w:sz w:val="20"/>
          <w:szCs w:val="20"/>
          <w:lang w:eastAsia="en-GB"/>
        </w:rPr>
        <w:t xml:space="preserve"> come </w:t>
      </w:r>
      <w:r w:rsidR="002361E6" w:rsidRPr="006616E2">
        <w:rPr>
          <w:rFonts w:ascii="Open Sans" w:eastAsia="Times New Roman" w:hAnsi="Open Sans" w:cs="Open Sans"/>
          <w:sz w:val="20"/>
          <w:szCs w:val="20"/>
          <w:lang w:eastAsia="en-GB"/>
        </w:rPr>
        <w:t>forward and</w:t>
      </w:r>
      <w:r w:rsidRPr="006616E2">
        <w:rPr>
          <w:rFonts w:ascii="Open Sans" w:eastAsia="Times New Roman" w:hAnsi="Open Sans" w:cs="Open Sans"/>
          <w:sz w:val="20"/>
          <w:szCs w:val="20"/>
          <w:lang w:eastAsia="en-GB"/>
        </w:rPr>
        <w:t xml:space="preserve"> should disincentivise fossil fuel new builds that are likely to become stranded assets as the grid decarbonises.  </w:t>
      </w:r>
    </w:p>
    <w:p w14:paraId="09C95C4A" w14:textId="77777777" w:rsidR="000E6E42" w:rsidRPr="006616E2" w:rsidRDefault="000E6E42" w:rsidP="000E6E42">
      <w:pPr>
        <w:spacing w:after="0" w:line="240" w:lineRule="auto"/>
        <w:rPr>
          <w:rFonts w:ascii="Open Sans" w:eastAsia="Times New Roman" w:hAnsi="Open Sans" w:cs="Open Sans"/>
          <w:sz w:val="20"/>
          <w:szCs w:val="20"/>
          <w:lang w:eastAsia="en-GB"/>
        </w:rPr>
      </w:pPr>
    </w:p>
    <w:p w14:paraId="4428E6D0" w14:textId="5E6BC79D" w:rsidR="000E6E42" w:rsidRPr="006616E2" w:rsidRDefault="000E6E42" w:rsidP="004F0FDA">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sz w:val="20"/>
          <w:szCs w:val="20"/>
          <w:lang w:eastAsia="en-GB"/>
        </w:rPr>
        <w:t xml:space="preserve">It should also increase access to finance if </w:t>
      </w:r>
      <w:r w:rsidR="002361E6" w:rsidRPr="006616E2">
        <w:rPr>
          <w:rFonts w:ascii="Open Sans" w:eastAsia="Times New Roman" w:hAnsi="Open Sans" w:cs="Open Sans"/>
          <w:sz w:val="20"/>
          <w:szCs w:val="20"/>
          <w:lang w:eastAsia="en-GB"/>
        </w:rPr>
        <w:t>delivery milestones and lead times</w:t>
      </w:r>
      <w:r w:rsidRPr="006616E2">
        <w:rPr>
          <w:rFonts w:ascii="Open Sans" w:eastAsia="Times New Roman" w:hAnsi="Open Sans" w:cs="Open Sans"/>
          <w:sz w:val="20"/>
          <w:szCs w:val="20"/>
          <w:lang w:eastAsia="en-GB"/>
        </w:rPr>
        <w:t xml:space="preserve"> are appropriately aligned with the build out of low carbon </w:t>
      </w:r>
      <w:r w:rsidR="002361E6" w:rsidRPr="006616E2">
        <w:rPr>
          <w:rFonts w:ascii="Open Sans" w:eastAsia="Times New Roman" w:hAnsi="Open Sans" w:cs="Open Sans"/>
          <w:sz w:val="20"/>
          <w:szCs w:val="20"/>
          <w:lang w:eastAsia="en-GB"/>
        </w:rPr>
        <w:t xml:space="preserve">capacity. </w:t>
      </w:r>
      <w:r w:rsidRPr="006616E2">
        <w:rPr>
          <w:rFonts w:ascii="Open Sans" w:eastAsia="Times New Roman" w:hAnsi="Open Sans" w:cs="Open Sans"/>
          <w:sz w:val="20"/>
          <w:szCs w:val="20"/>
          <w:lang w:eastAsia="en-GB"/>
        </w:rPr>
        <w:t xml:space="preserve">For example, </w:t>
      </w:r>
      <w:r w:rsidR="002361E6" w:rsidRPr="006616E2">
        <w:rPr>
          <w:rFonts w:ascii="Open Sans" w:eastAsia="Times New Roman" w:hAnsi="Open Sans" w:cs="Open Sans"/>
          <w:sz w:val="20"/>
          <w:szCs w:val="20"/>
          <w:lang w:eastAsia="en-GB"/>
        </w:rPr>
        <w:t xml:space="preserve">the biggest constraint on build times tends to be grid connections themselves, a factor that is out of the developers control and up to ESO or DNO. As such, allowable lead times and contract lengths should be suitably flexible around aspects that the developer </w:t>
      </w:r>
      <w:r w:rsidR="002826B0" w:rsidRPr="006616E2">
        <w:rPr>
          <w:rFonts w:ascii="Open Sans" w:eastAsia="Times New Roman" w:hAnsi="Open Sans" w:cs="Open Sans"/>
          <w:sz w:val="20"/>
          <w:szCs w:val="20"/>
          <w:lang w:eastAsia="en-GB"/>
        </w:rPr>
        <w:t>cannot</w:t>
      </w:r>
      <w:r w:rsidR="002361E6" w:rsidRPr="006616E2">
        <w:rPr>
          <w:rFonts w:ascii="Open Sans" w:eastAsia="Times New Roman" w:hAnsi="Open Sans" w:cs="Open Sans"/>
          <w:sz w:val="20"/>
          <w:szCs w:val="20"/>
          <w:lang w:eastAsia="en-GB"/>
        </w:rPr>
        <w:t xml:space="preserve"> influence. This would help to de-risk a project further, ensuring that it is only controllable risks that need to be managed, enabling further access to finance. </w:t>
      </w:r>
      <w:r w:rsidR="002361E6" w:rsidRPr="006616E2">
        <w:rPr>
          <w:rFonts w:ascii="Open Sans" w:eastAsia="Times New Roman" w:hAnsi="Open Sans" w:cs="Open Sans"/>
          <w:b/>
          <w:bCs/>
          <w:sz w:val="20"/>
          <w:szCs w:val="20"/>
          <w:lang w:eastAsia="en-GB"/>
        </w:rPr>
        <w:t xml:space="preserve"> </w:t>
      </w:r>
    </w:p>
    <w:p w14:paraId="522766F1" w14:textId="2E742666"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br/>
        <w:t xml:space="preserve">Question 6 Is it still appropriate to maintain the link between capital expenditure thresholds and multi-year agreements? If not, what other criteria could we consider using to assess eligibility for multi-year agreements (other than the new lower emissions limit discussed in section 2.3.2.1)? </w:t>
      </w:r>
    </w:p>
    <w:p w14:paraId="045EB408" w14:textId="77777777" w:rsidR="00D73D7A" w:rsidRDefault="00D73D7A" w:rsidP="00133F05">
      <w:pPr>
        <w:spacing w:after="0" w:line="240" w:lineRule="auto"/>
        <w:rPr>
          <w:rFonts w:ascii="Open Sans" w:eastAsia="Times New Roman" w:hAnsi="Open Sans" w:cs="Open Sans"/>
          <w:sz w:val="20"/>
          <w:szCs w:val="20"/>
          <w:lang w:eastAsia="en-GB"/>
        </w:rPr>
      </w:pPr>
    </w:p>
    <w:p w14:paraId="25013DF9" w14:textId="7B3DF4D5" w:rsidR="00D73D7A" w:rsidRDefault="002361E6"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Linkages between multi- year contracts and capital expenditure </w:t>
      </w:r>
      <w:r w:rsidR="00DC049C" w:rsidRPr="006616E2">
        <w:rPr>
          <w:rFonts w:ascii="Open Sans" w:eastAsia="Times New Roman" w:hAnsi="Open Sans" w:cs="Open Sans"/>
          <w:sz w:val="20"/>
          <w:szCs w:val="20"/>
          <w:lang w:eastAsia="en-GB"/>
        </w:rPr>
        <w:t>could be</w:t>
      </w:r>
      <w:r w:rsidRPr="006616E2">
        <w:rPr>
          <w:rFonts w:ascii="Open Sans" w:eastAsia="Times New Roman" w:hAnsi="Open Sans" w:cs="Open Sans"/>
          <w:sz w:val="20"/>
          <w:szCs w:val="20"/>
          <w:lang w:eastAsia="en-GB"/>
        </w:rPr>
        <w:t xml:space="preserve"> maintained with the additional caveat that the generation must also meet a low carbon threshold. High capital expenditure on fossil fuel capacity, would suggest a new build site which would not be aligned with keeping the UK on track with its Carbon Budgets. However, different types of low carbon capacity will also have different levels of capital expenditure</w:t>
      </w:r>
      <w:r w:rsidR="007D693B" w:rsidRPr="006616E2">
        <w:rPr>
          <w:rFonts w:ascii="Open Sans" w:eastAsia="Times New Roman" w:hAnsi="Open Sans" w:cs="Open Sans"/>
          <w:sz w:val="20"/>
          <w:szCs w:val="20"/>
          <w:lang w:eastAsia="en-GB"/>
        </w:rPr>
        <w:t xml:space="preserve">, with high expenditure sites likely to align with long build times, however the emission thresholds should be the primary criteria for </w:t>
      </w:r>
      <w:r w:rsidR="00D73D7A" w:rsidRPr="006616E2">
        <w:rPr>
          <w:rFonts w:ascii="Open Sans" w:eastAsia="Times New Roman" w:hAnsi="Open Sans" w:cs="Open Sans"/>
          <w:sz w:val="20"/>
          <w:szCs w:val="20"/>
          <w:lang w:eastAsia="en-GB"/>
        </w:rPr>
        <w:t>access</w:t>
      </w:r>
      <w:r w:rsidR="007D693B" w:rsidRPr="006616E2">
        <w:rPr>
          <w:rFonts w:ascii="Open Sans" w:eastAsia="Times New Roman" w:hAnsi="Open Sans" w:cs="Open Sans"/>
          <w:sz w:val="20"/>
          <w:szCs w:val="20"/>
          <w:lang w:eastAsia="en-GB"/>
        </w:rPr>
        <w:t xml:space="preserve"> to long multi-year contracts. </w:t>
      </w:r>
    </w:p>
    <w:p w14:paraId="12B72A9B" w14:textId="402D4D74"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lastRenderedPageBreak/>
        <w:br/>
        <w:t xml:space="preserve">Question 7 Should we revise the applicable capital expenditure thresholds? If so, what data could we base them on, and do we still need to have two different thresholds? Should low carbon DSR be able to access shorter multi-year agreements </w:t>
      </w:r>
      <w:proofErr w:type="gramStart"/>
      <w:r w:rsidRPr="006616E2">
        <w:rPr>
          <w:rFonts w:ascii="Open Sans" w:eastAsia="Times New Roman" w:hAnsi="Open Sans" w:cs="Open Sans"/>
          <w:b/>
          <w:bCs/>
          <w:sz w:val="20"/>
          <w:szCs w:val="20"/>
          <w:lang w:eastAsia="en-GB"/>
        </w:rPr>
        <w:t>on the basis of</w:t>
      </w:r>
      <w:proofErr w:type="gramEnd"/>
      <w:r w:rsidRPr="006616E2">
        <w:rPr>
          <w:rFonts w:ascii="Open Sans" w:eastAsia="Times New Roman" w:hAnsi="Open Sans" w:cs="Open Sans"/>
          <w:b/>
          <w:bCs/>
          <w:sz w:val="20"/>
          <w:szCs w:val="20"/>
          <w:lang w:eastAsia="en-GB"/>
        </w:rPr>
        <w:t xml:space="preserve"> emissions limits rather than capital expenditure thresholds? </w:t>
      </w:r>
    </w:p>
    <w:p w14:paraId="33A086A4" w14:textId="305A0AA2" w:rsidR="000003DE" w:rsidRPr="006616E2" w:rsidRDefault="000003DE" w:rsidP="00133F05">
      <w:pPr>
        <w:spacing w:after="0" w:line="240" w:lineRule="auto"/>
        <w:rPr>
          <w:rFonts w:ascii="Open Sans" w:eastAsia="Times New Roman" w:hAnsi="Open Sans" w:cs="Open Sans"/>
          <w:sz w:val="20"/>
          <w:szCs w:val="20"/>
          <w:lang w:eastAsia="en-GB"/>
        </w:rPr>
      </w:pPr>
    </w:p>
    <w:p w14:paraId="0956C684" w14:textId="2A317F46" w:rsidR="000003DE" w:rsidRPr="006616E2" w:rsidRDefault="000003DE"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We believe it would be beneficial to revisit capital expenditure thresholds and for them to be appropriate to </w:t>
      </w:r>
      <w:r w:rsidR="007D693B" w:rsidRPr="006616E2">
        <w:rPr>
          <w:rFonts w:ascii="Open Sans" w:eastAsia="Times New Roman" w:hAnsi="Open Sans" w:cs="Open Sans"/>
          <w:sz w:val="20"/>
          <w:szCs w:val="20"/>
          <w:lang w:eastAsia="en-GB"/>
        </w:rPr>
        <w:t xml:space="preserve">specific </w:t>
      </w:r>
      <w:r w:rsidRPr="006616E2">
        <w:rPr>
          <w:rFonts w:ascii="Open Sans" w:eastAsia="Times New Roman" w:hAnsi="Open Sans" w:cs="Open Sans"/>
          <w:sz w:val="20"/>
          <w:szCs w:val="20"/>
          <w:lang w:eastAsia="en-GB"/>
        </w:rPr>
        <w:t>technolog</w:t>
      </w:r>
      <w:r w:rsidR="007D693B" w:rsidRPr="006616E2">
        <w:rPr>
          <w:rFonts w:ascii="Open Sans" w:eastAsia="Times New Roman" w:hAnsi="Open Sans" w:cs="Open Sans"/>
          <w:sz w:val="20"/>
          <w:szCs w:val="20"/>
          <w:lang w:eastAsia="en-GB"/>
        </w:rPr>
        <w:t>ies</w:t>
      </w:r>
      <w:r w:rsidRPr="006616E2">
        <w:rPr>
          <w:rFonts w:ascii="Open Sans" w:eastAsia="Times New Roman" w:hAnsi="Open Sans" w:cs="Open Sans"/>
          <w:sz w:val="20"/>
          <w:szCs w:val="20"/>
          <w:lang w:eastAsia="en-GB"/>
        </w:rPr>
        <w:t xml:space="preserve">. </w:t>
      </w:r>
      <w:r w:rsidR="007D693B" w:rsidRPr="006616E2">
        <w:rPr>
          <w:rFonts w:ascii="Open Sans" w:eastAsia="Times New Roman" w:hAnsi="Open Sans" w:cs="Open Sans"/>
          <w:sz w:val="20"/>
          <w:szCs w:val="20"/>
          <w:lang w:eastAsia="en-GB"/>
        </w:rPr>
        <w:t xml:space="preserve">However, as mentioned, emissions limits should become the defining criteria for access to multi- year agreements. </w:t>
      </w:r>
      <w:r w:rsidRPr="006616E2">
        <w:rPr>
          <w:rFonts w:ascii="Open Sans" w:eastAsia="Times New Roman" w:hAnsi="Open Sans" w:cs="Open Sans"/>
          <w:sz w:val="20"/>
          <w:szCs w:val="20"/>
          <w:lang w:eastAsia="en-GB"/>
        </w:rPr>
        <w:t xml:space="preserve">As such it is appropriate that low carbon DSR </w:t>
      </w:r>
      <w:proofErr w:type="gramStart"/>
      <w:r w:rsidRPr="006616E2">
        <w:rPr>
          <w:rFonts w:ascii="Open Sans" w:eastAsia="Times New Roman" w:hAnsi="Open Sans" w:cs="Open Sans"/>
          <w:sz w:val="20"/>
          <w:szCs w:val="20"/>
          <w:lang w:eastAsia="en-GB"/>
        </w:rPr>
        <w:t>is able to</w:t>
      </w:r>
      <w:proofErr w:type="gramEnd"/>
      <w:r w:rsidRPr="006616E2">
        <w:rPr>
          <w:rFonts w:ascii="Open Sans" w:eastAsia="Times New Roman" w:hAnsi="Open Sans" w:cs="Open Sans"/>
          <w:sz w:val="20"/>
          <w:szCs w:val="20"/>
          <w:lang w:eastAsia="en-GB"/>
        </w:rPr>
        <w:t xml:space="preserve"> access multi-year </w:t>
      </w:r>
      <w:r w:rsidR="007D693B" w:rsidRPr="006616E2">
        <w:rPr>
          <w:rFonts w:ascii="Open Sans" w:eastAsia="Times New Roman" w:hAnsi="Open Sans" w:cs="Open Sans"/>
          <w:sz w:val="20"/>
          <w:szCs w:val="20"/>
          <w:lang w:eastAsia="en-GB"/>
        </w:rPr>
        <w:t xml:space="preserve">agreements on the basis of emission limits rather </w:t>
      </w:r>
      <w:proofErr w:type="spellStart"/>
      <w:r w:rsidR="007D693B" w:rsidRPr="006616E2">
        <w:rPr>
          <w:rFonts w:ascii="Open Sans" w:eastAsia="Times New Roman" w:hAnsi="Open Sans" w:cs="Open Sans"/>
          <w:sz w:val="20"/>
          <w:szCs w:val="20"/>
          <w:lang w:eastAsia="en-GB"/>
        </w:rPr>
        <w:t>then</w:t>
      </w:r>
      <w:proofErr w:type="spellEnd"/>
      <w:r w:rsidR="007D693B" w:rsidRPr="006616E2">
        <w:rPr>
          <w:rFonts w:ascii="Open Sans" w:eastAsia="Times New Roman" w:hAnsi="Open Sans" w:cs="Open Sans"/>
          <w:sz w:val="20"/>
          <w:szCs w:val="20"/>
          <w:lang w:eastAsia="en-GB"/>
        </w:rPr>
        <w:t xml:space="preserve"> expenditure. </w:t>
      </w:r>
    </w:p>
    <w:p w14:paraId="4FD4A165" w14:textId="2B4087D8" w:rsidR="007D693B" w:rsidRPr="006616E2" w:rsidRDefault="007D693B" w:rsidP="00133F05">
      <w:pPr>
        <w:spacing w:after="0" w:line="240" w:lineRule="auto"/>
        <w:rPr>
          <w:rFonts w:ascii="Open Sans" w:eastAsia="Times New Roman" w:hAnsi="Open Sans" w:cs="Open Sans"/>
          <w:sz w:val="20"/>
          <w:szCs w:val="20"/>
          <w:lang w:eastAsia="en-GB"/>
        </w:rPr>
      </w:pPr>
    </w:p>
    <w:p w14:paraId="65A82F60" w14:textId="61CF57AF" w:rsidR="007D693B" w:rsidRPr="006616E2" w:rsidRDefault="007D693B" w:rsidP="00D73D7A">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Through development of the Net Zero Innovation Portfolio competitions, BEIS will now be receiving a significant amount of data related to different technologies, their </w:t>
      </w:r>
      <w:proofErr w:type="gramStart"/>
      <w:r w:rsidRPr="006616E2">
        <w:rPr>
          <w:rFonts w:ascii="Open Sans" w:eastAsia="Times New Roman" w:hAnsi="Open Sans" w:cs="Open Sans"/>
          <w:sz w:val="20"/>
          <w:szCs w:val="20"/>
          <w:lang w:eastAsia="en-GB"/>
        </w:rPr>
        <w:t>costs</w:t>
      </w:r>
      <w:proofErr w:type="gramEnd"/>
      <w:r w:rsidRPr="006616E2">
        <w:rPr>
          <w:rFonts w:ascii="Open Sans" w:eastAsia="Times New Roman" w:hAnsi="Open Sans" w:cs="Open Sans"/>
          <w:sz w:val="20"/>
          <w:szCs w:val="20"/>
          <w:lang w:eastAsia="en-GB"/>
        </w:rPr>
        <w:t xml:space="preserve"> and their build out times. This data could form part of the reassessment of appropriate thresholds for different technologies. We would recommend BEIS commission </w:t>
      </w:r>
      <w:proofErr w:type="spellStart"/>
      <w:r w:rsidRPr="006616E2">
        <w:rPr>
          <w:rFonts w:ascii="Open Sans" w:eastAsia="Times New Roman" w:hAnsi="Open Sans" w:cs="Open Sans"/>
          <w:sz w:val="20"/>
          <w:szCs w:val="20"/>
          <w:lang w:eastAsia="en-GB"/>
        </w:rPr>
        <w:t>sanlysis</w:t>
      </w:r>
      <w:proofErr w:type="spellEnd"/>
      <w:r w:rsidRPr="006616E2">
        <w:rPr>
          <w:rFonts w:ascii="Open Sans" w:eastAsia="Times New Roman" w:hAnsi="Open Sans" w:cs="Open Sans"/>
          <w:sz w:val="20"/>
          <w:szCs w:val="20"/>
          <w:lang w:eastAsia="en-GB"/>
        </w:rPr>
        <w:t xml:space="preserve"> of costs based on competition submissions to develop indicative thresholds. These thresholds could then be further consulted on with industry to </w:t>
      </w:r>
      <w:r w:rsidR="00D73D7A">
        <w:rPr>
          <w:rFonts w:ascii="Open Sans" w:eastAsia="Times New Roman" w:hAnsi="Open Sans" w:cs="Open Sans"/>
          <w:sz w:val="20"/>
          <w:szCs w:val="20"/>
          <w:lang w:eastAsia="en-GB"/>
        </w:rPr>
        <w:t>check their</w:t>
      </w:r>
      <w:r w:rsidRPr="006616E2">
        <w:rPr>
          <w:rFonts w:ascii="Open Sans" w:eastAsia="Times New Roman" w:hAnsi="Open Sans" w:cs="Open Sans"/>
          <w:sz w:val="20"/>
          <w:szCs w:val="20"/>
          <w:lang w:eastAsia="en-GB"/>
        </w:rPr>
        <w:t xml:space="preserve"> accuracy</w:t>
      </w:r>
      <w:r w:rsidR="00D73D7A">
        <w:rPr>
          <w:rFonts w:ascii="Open Sans" w:eastAsia="Times New Roman" w:hAnsi="Open Sans" w:cs="Open Sans"/>
          <w:sz w:val="20"/>
          <w:szCs w:val="20"/>
          <w:lang w:eastAsia="en-GB"/>
        </w:rPr>
        <w:t xml:space="preserve"> and refine them against real-world examples. </w:t>
      </w:r>
    </w:p>
    <w:p w14:paraId="025E417F" w14:textId="2542D277"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br/>
        <w:t xml:space="preserve">Question 8 Should we review the </w:t>
      </w:r>
      <w:proofErr w:type="gramStart"/>
      <w:r w:rsidRPr="006616E2">
        <w:rPr>
          <w:rFonts w:ascii="Open Sans" w:eastAsia="Times New Roman" w:hAnsi="Open Sans" w:cs="Open Sans"/>
          <w:b/>
          <w:bCs/>
          <w:sz w:val="20"/>
          <w:szCs w:val="20"/>
          <w:lang w:eastAsia="en-GB"/>
        </w:rPr>
        <w:t>77 month</w:t>
      </w:r>
      <w:proofErr w:type="gramEnd"/>
      <w:r w:rsidRPr="006616E2">
        <w:rPr>
          <w:rFonts w:ascii="Open Sans" w:eastAsia="Times New Roman" w:hAnsi="Open Sans" w:cs="Open Sans"/>
          <w:b/>
          <w:bCs/>
          <w:sz w:val="20"/>
          <w:szCs w:val="20"/>
          <w:lang w:eastAsia="en-GB"/>
        </w:rPr>
        <w:t xml:space="preserve"> window for new builds? </w:t>
      </w:r>
      <w:r w:rsidRPr="006616E2">
        <w:rPr>
          <w:rFonts w:ascii="Open Sans" w:eastAsia="Times New Roman" w:hAnsi="Open Sans" w:cs="Open Sans"/>
          <w:b/>
          <w:bCs/>
          <w:sz w:val="20"/>
          <w:szCs w:val="20"/>
          <w:lang w:eastAsia="en-GB"/>
        </w:rPr>
        <w:br/>
      </w:r>
    </w:p>
    <w:p w14:paraId="3CDEE7DD" w14:textId="0E3AC2E2" w:rsidR="00BC06C7" w:rsidRPr="00D73D7A" w:rsidRDefault="00BC06C7" w:rsidP="004F0FDA">
      <w:pPr>
        <w:spacing w:after="0" w:line="240" w:lineRule="auto"/>
        <w:rPr>
          <w:rFonts w:ascii="Open Sans" w:eastAsia="Times New Roman" w:hAnsi="Open Sans" w:cs="Open Sans"/>
          <w:sz w:val="20"/>
          <w:szCs w:val="20"/>
          <w:lang w:eastAsia="en-GB"/>
        </w:rPr>
      </w:pPr>
      <w:r w:rsidRPr="00D73D7A">
        <w:rPr>
          <w:rFonts w:ascii="Open Sans" w:eastAsia="Times New Roman" w:hAnsi="Open Sans" w:cs="Open Sans"/>
          <w:sz w:val="20"/>
          <w:szCs w:val="20"/>
          <w:lang w:eastAsia="en-GB"/>
        </w:rPr>
        <w:t xml:space="preserve">Yes, factors out of the developer’s control should be accounted for, rather </w:t>
      </w:r>
      <w:proofErr w:type="spellStart"/>
      <w:r w:rsidRPr="00D73D7A">
        <w:rPr>
          <w:rFonts w:ascii="Open Sans" w:eastAsia="Times New Roman" w:hAnsi="Open Sans" w:cs="Open Sans"/>
          <w:sz w:val="20"/>
          <w:szCs w:val="20"/>
          <w:lang w:eastAsia="en-GB"/>
        </w:rPr>
        <w:t>then</w:t>
      </w:r>
      <w:proofErr w:type="spellEnd"/>
      <w:r w:rsidRPr="00D73D7A">
        <w:rPr>
          <w:rFonts w:ascii="Open Sans" w:eastAsia="Times New Roman" w:hAnsi="Open Sans" w:cs="Open Sans"/>
          <w:sz w:val="20"/>
          <w:szCs w:val="20"/>
          <w:lang w:eastAsia="en-GB"/>
        </w:rPr>
        <w:t xml:space="preserve"> stipulating </w:t>
      </w:r>
      <w:proofErr w:type="spellStart"/>
      <w:proofErr w:type="gramStart"/>
      <w:r w:rsidRPr="00D73D7A">
        <w:rPr>
          <w:rFonts w:ascii="Open Sans" w:eastAsia="Times New Roman" w:hAnsi="Open Sans" w:cs="Open Sans"/>
          <w:sz w:val="20"/>
          <w:szCs w:val="20"/>
          <w:lang w:eastAsia="en-GB"/>
        </w:rPr>
        <w:t>a</w:t>
      </w:r>
      <w:proofErr w:type="spellEnd"/>
      <w:proofErr w:type="gramEnd"/>
      <w:r w:rsidRPr="00D73D7A">
        <w:rPr>
          <w:rFonts w:ascii="Open Sans" w:eastAsia="Times New Roman" w:hAnsi="Open Sans" w:cs="Open Sans"/>
          <w:sz w:val="20"/>
          <w:szCs w:val="20"/>
          <w:lang w:eastAsia="en-GB"/>
        </w:rPr>
        <w:t xml:space="preserve"> </w:t>
      </w:r>
      <w:r w:rsidR="00532F55" w:rsidRPr="00D73D7A">
        <w:rPr>
          <w:rFonts w:ascii="Open Sans" w:eastAsia="Times New Roman" w:hAnsi="Open Sans" w:cs="Open Sans"/>
          <w:sz w:val="20"/>
          <w:szCs w:val="20"/>
          <w:lang w:eastAsia="en-GB"/>
        </w:rPr>
        <w:t>artificial 77 month window</w:t>
      </w:r>
      <w:r w:rsidRPr="00D73D7A">
        <w:rPr>
          <w:rFonts w:ascii="Open Sans" w:eastAsia="Times New Roman" w:hAnsi="Open Sans" w:cs="Open Sans"/>
          <w:sz w:val="20"/>
          <w:szCs w:val="20"/>
          <w:lang w:eastAsia="en-GB"/>
        </w:rPr>
        <w:t>. As mentioned, aspects like grid connection can be a significant limiting factor on lead times and could affect time frames for capital expenditure. It is appropriate that a more flexible milestone arrangement between auction result day and a start of a realistic delivery year align</w:t>
      </w:r>
      <w:r w:rsidR="00D73D7A" w:rsidRPr="00D73D7A">
        <w:rPr>
          <w:rFonts w:ascii="Open Sans" w:eastAsia="Times New Roman" w:hAnsi="Open Sans" w:cs="Open Sans"/>
          <w:sz w:val="20"/>
          <w:szCs w:val="20"/>
          <w:lang w:eastAsia="en-GB"/>
        </w:rPr>
        <w:t xml:space="preserve"> </w:t>
      </w:r>
      <w:r w:rsidRPr="00D73D7A">
        <w:rPr>
          <w:rFonts w:ascii="Open Sans" w:eastAsia="Times New Roman" w:hAnsi="Open Sans" w:cs="Open Sans"/>
          <w:sz w:val="20"/>
          <w:szCs w:val="20"/>
          <w:lang w:eastAsia="en-GB"/>
        </w:rPr>
        <w:t>with project realities</w:t>
      </w:r>
      <w:r w:rsidR="00D73D7A">
        <w:rPr>
          <w:rFonts w:ascii="Open Sans" w:eastAsia="Times New Roman" w:hAnsi="Open Sans" w:cs="Open Sans"/>
          <w:sz w:val="20"/>
          <w:szCs w:val="20"/>
          <w:lang w:eastAsia="en-GB"/>
        </w:rPr>
        <w:t xml:space="preserve"> and those aspects that are </w:t>
      </w:r>
      <w:proofErr w:type="gramStart"/>
      <w:r w:rsidR="00D73D7A">
        <w:rPr>
          <w:rFonts w:ascii="Open Sans" w:eastAsia="Times New Roman" w:hAnsi="Open Sans" w:cs="Open Sans"/>
          <w:sz w:val="20"/>
          <w:szCs w:val="20"/>
          <w:lang w:eastAsia="en-GB"/>
        </w:rPr>
        <w:t>actually within</w:t>
      </w:r>
      <w:proofErr w:type="gramEnd"/>
      <w:r w:rsidR="00D73D7A">
        <w:rPr>
          <w:rFonts w:ascii="Open Sans" w:eastAsia="Times New Roman" w:hAnsi="Open Sans" w:cs="Open Sans"/>
          <w:sz w:val="20"/>
          <w:szCs w:val="20"/>
          <w:lang w:eastAsia="en-GB"/>
        </w:rPr>
        <w:t xml:space="preserve"> the control of the developer. </w:t>
      </w:r>
    </w:p>
    <w:p w14:paraId="4D648B5A" w14:textId="77777777" w:rsidR="00D54C60" w:rsidRPr="006616E2" w:rsidRDefault="00D54C60" w:rsidP="00133F05">
      <w:pPr>
        <w:spacing w:after="0" w:line="240" w:lineRule="auto"/>
        <w:rPr>
          <w:rFonts w:ascii="Open Sans" w:eastAsia="Times New Roman" w:hAnsi="Open Sans" w:cs="Open Sans"/>
          <w:b/>
          <w:bCs/>
          <w:sz w:val="20"/>
          <w:szCs w:val="20"/>
          <w:lang w:eastAsia="en-GB"/>
        </w:rPr>
      </w:pPr>
    </w:p>
    <w:p w14:paraId="3D6D6D70" w14:textId="77777777" w:rsidR="0063550E"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9 What are the benefits of maintaining the Extended Years Criteria? </w:t>
      </w:r>
    </w:p>
    <w:p w14:paraId="31F2C01D" w14:textId="77777777" w:rsidR="0063550E" w:rsidRPr="006616E2" w:rsidRDefault="0063550E" w:rsidP="00133F05">
      <w:pPr>
        <w:spacing w:after="0" w:line="240" w:lineRule="auto"/>
        <w:rPr>
          <w:rFonts w:ascii="Open Sans" w:eastAsia="Times New Roman" w:hAnsi="Open Sans" w:cs="Open Sans"/>
          <w:b/>
          <w:bCs/>
          <w:sz w:val="20"/>
          <w:szCs w:val="20"/>
          <w:lang w:eastAsia="en-GB"/>
        </w:rPr>
      </w:pPr>
    </w:p>
    <w:p w14:paraId="48FC3128" w14:textId="60ABDDDF" w:rsidR="00133F05" w:rsidRPr="00D73D7A" w:rsidRDefault="00DA3DA7" w:rsidP="00D73D7A">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It should be possible for associated combustions installation and efficiency standards to be confirmed through other means, such as a sites Environmental Permit or stipulated efficiency requirements. This does not necessarily require the Extended Years Criteria to be in place. However, it is important that such standards are maintained through an identified process</w:t>
      </w:r>
      <w:r w:rsidR="00DC049C" w:rsidRPr="006616E2">
        <w:rPr>
          <w:rFonts w:ascii="Open Sans" w:eastAsia="Times New Roman" w:hAnsi="Open Sans" w:cs="Open Sans"/>
          <w:sz w:val="20"/>
          <w:szCs w:val="20"/>
          <w:lang w:eastAsia="en-GB"/>
        </w:rPr>
        <w:t xml:space="preserve"> and requirements</w:t>
      </w:r>
      <w:r w:rsidRPr="006616E2">
        <w:rPr>
          <w:rFonts w:ascii="Open Sans" w:eastAsia="Times New Roman" w:hAnsi="Open Sans" w:cs="Open Sans"/>
          <w:sz w:val="20"/>
          <w:szCs w:val="20"/>
          <w:lang w:eastAsia="en-GB"/>
        </w:rPr>
        <w:t xml:space="preserve">. </w:t>
      </w:r>
      <w:r w:rsidR="00133F05" w:rsidRPr="00D73D7A">
        <w:rPr>
          <w:rFonts w:ascii="Open Sans" w:eastAsia="Times New Roman" w:hAnsi="Open Sans" w:cs="Open Sans"/>
          <w:b/>
          <w:bCs/>
          <w:sz w:val="20"/>
          <w:szCs w:val="20"/>
          <w:lang w:eastAsia="en-GB"/>
        </w:rPr>
        <w:br/>
      </w:r>
    </w:p>
    <w:p w14:paraId="012157FF" w14:textId="77777777" w:rsidR="00D54C60"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10 What are your views on the introduction of a declared later delivery year as a way of addressing the challenges experienced by projects with long build times seeking to enter the Capacity Market? Would this affect your decision to participate in the Capacity Market, and if so, how? Are there other approaches we could take to removing barriers to participation for technologies and projects with long build times? </w:t>
      </w:r>
    </w:p>
    <w:p w14:paraId="7646E919" w14:textId="77777777" w:rsidR="00D54C60" w:rsidRPr="006616E2" w:rsidRDefault="00D54C60" w:rsidP="00133F05">
      <w:pPr>
        <w:spacing w:after="0" w:line="240" w:lineRule="auto"/>
        <w:rPr>
          <w:rFonts w:ascii="Open Sans" w:eastAsia="Times New Roman" w:hAnsi="Open Sans" w:cs="Open Sans"/>
          <w:b/>
          <w:bCs/>
          <w:sz w:val="20"/>
          <w:szCs w:val="20"/>
          <w:lang w:eastAsia="en-GB"/>
        </w:rPr>
      </w:pPr>
    </w:p>
    <w:p w14:paraId="144D0466" w14:textId="5D9A5EBC" w:rsidR="00133F05" w:rsidRPr="006616E2" w:rsidRDefault="00F56802" w:rsidP="00D73D7A">
      <w:pPr>
        <w:pStyle w:val="ListParagraph"/>
        <w:spacing w:after="0" w:line="240" w:lineRule="auto"/>
        <w:ind w:left="0"/>
        <w:rPr>
          <w:rFonts w:ascii="Open Sans" w:eastAsia="Times New Roman" w:hAnsi="Open Sans" w:cs="Open Sans"/>
          <w:b/>
          <w:bCs/>
          <w:sz w:val="20"/>
          <w:szCs w:val="20"/>
          <w:lang w:eastAsia="en-GB"/>
        </w:rPr>
      </w:pPr>
      <w:r w:rsidRPr="006616E2">
        <w:rPr>
          <w:rFonts w:ascii="Open Sans" w:eastAsia="Times New Roman" w:hAnsi="Open Sans" w:cs="Open Sans"/>
          <w:sz w:val="20"/>
          <w:szCs w:val="20"/>
          <w:lang w:eastAsia="en-GB"/>
        </w:rPr>
        <w:t xml:space="preserve">The introduction of </w:t>
      </w:r>
      <w:r w:rsidR="00571161" w:rsidRPr="006616E2">
        <w:rPr>
          <w:rFonts w:ascii="Open Sans" w:eastAsia="Times New Roman" w:hAnsi="Open Sans" w:cs="Open Sans"/>
          <w:sz w:val="20"/>
          <w:szCs w:val="20"/>
          <w:lang w:eastAsia="en-GB"/>
        </w:rPr>
        <w:t>declared</w:t>
      </w:r>
      <w:r w:rsidRPr="006616E2">
        <w:rPr>
          <w:rFonts w:ascii="Open Sans" w:eastAsia="Times New Roman" w:hAnsi="Open Sans" w:cs="Open Sans"/>
          <w:sz w:val="20"/>
          <w:szCs w:val="20"/>
          <w:lang w:eastAsia="en-GB"/>
        </w:rPr>
        <w:t xml:space="preserve"> later delivery years would be a </w:t>
      </w:r>
      <w:r w:rsidR="00571161" w:rsidRPr="006616E2">
        <w:rPr>
          <w:rFonts w:ascii="Open Sans" w:eastAsia="Times New Roman" w:hAnsi="Open Sans" w:cs="Open Sans"/>
          <w:sz w:val="20"/>
          <w:szCs w:val="20"/>
          <w:lang w:eastAsia="en-GB"/>
        </w:rPr>
        <w:t xml:space="preserve">very </w:t>
      </w:r>
      <w:r w:rsidRPr="006616E2">
        <w:rPr>
          <w:rFonts w:ascii="Open Sans" w:eastAsia="Times New Roman" w:hAnsi="Open Sans" w:cs="Open Sans"/>
          <w:sz w:val="20"/>
          <w:szCs w:val="20"/>
          <w:lang w:eastAsia="en-GB"/>
        </w:rPr>
        <w:t xml:space="preserve">welcome develop and encourage more innovative low carbon CMUs to enter the </w:t>
      </w:r>
      <w:r w:rsidR="00571161" w:rsidRPr="006616E2">
        <w:rPr>
          <w:rFonts w:ascii="Open Sans" w:eastAsia="Times New Roman" w:hAnsi="Open Sans" w:cs="Open Sans"/>
          <w:sz w:val="20"/>
          <w:szCs w:val="20"/>
          <w:lang w:eastAsia="en-GB"/>
        </w:rPr>
        <w:t>auction</w:t>
      </w:r>
      <w:r w:rsidRPr="006616E2">
        <w:rPr>
          <w:rFonts w:ascii="Open Sans" w:eastAsia="Times New Roman" w:hAnsi="Open Sans" w:cs="Open Sans"/>
          <w:sz w:val="20"/>
          <w:szCs w:val="20"/>
          <w:lang w:eastAsia="en-GB"/>
        </w:rPr>
        <w:t xml:space="preserve">, especially </w:t>
      </w:r>
      <w:r w:rsidR="00D73D7A" w:rsidRPr="006616E2">
        <w:rPr>
          <w:rFonts w:ascii="Open Sans" w:eastAsia="Times New Roman" w:hAnsi="Open Sans" w:cs="Open Sans"/>
          <w:sz w:val="20"/>
          <w:szCs w:val="20"/>
          <w:lang w:eastAsia="en-GB"/>
        </w:rPr>
        <w:t>regarding</w:t>
      </w:r>
      <w:r w:rsidRPr="006616E2">
        <w:rPr>
          <w:rFonts w:ascii="Open Sans" w:eastAsia="Times New Roman" w:hAnsi="Open Sans" w:cs="Open Sans"/>
          <w:sz w:val="20"/>
          <w:szCs w:val="20"/>
          <w:lang w:eastAsia="en-GB"/>
        </w:rPr>
        <w:t xml:space="preserve"> longer duration energy storage. However, we note again that one of biggest factors effecting lead times is the securing of </w:t>
      </w:r>
      <w:r w:rsidR="00571161" w:rsidRPr="006616E2">
        <w:rPr>
          <w:rFonts w:ascii="Open Sans" w:eastAsia="Times New Roman" w:hAnsi="Open Sans" w:cs="Open Sans"/>
          <w:sz w:val="20"/>
          <w:szCs w:val="20"/>
          <w:lang w:eastAsia="en-GB"/>
        </w:rPr>
        <w:t xml:space="preserve">gird connections, which are out of the developer’s control. This will likely remain an unknown even within applications of extended timeframes. This needs to be recognised within contract arrangements and be suitably flexible so that sites are not penalised for </w:t>
      </w:r>
      <w:r w:rsidR="00D73D7A">
        <w:rPr>
          <w:rFonts w:ascii="Open Sans" w:eastAsia="Times New Roman" w:hAnsi="Open Sans" w:cs="Open Sans"/>
          <w:sz w:val="20"/>
          <w:szCs w:val="20"/>
          <w:lang w:eastAsia="en-GB"/>
        </w:rPr>
        <w:t xml:space="preserve">such factors. </w:t>
      </w:r>
    </w:p>
    <w:p w14:paraId="67AA4779" w14:textId="77777777" w:rsidR="00D008FD"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lastRenderedPageBreak/>
        <w:t xml:space="preserve">Question 11 Do you agree with our suggested approach to determining and verifying eligibility for a declared later delivery year? Are there other approaches we could consider? </w:t>
      </w:r>
    </w:p>
    <w:p w14:paraId="2515B767" w14:textId="77777777" w:rsidR="00D008FD" w:rsidRPr="006616E2" w:rsidRDefault="00D008FD" w:rsidP="00133F05">
      <w:pPr>
        <w:spacing w:after="0" w:line="240" w:lineRule="auto"/>
        <w:rPr>
          <w:rFonts w:ascii="Open Sans" w:eastAsia="Times New Roman" w:hAnsi="Open Sans" w:cs="Open Sans"/>
          <w:b/>
          <w:bCs/>
          <w:sz w:val="20"/>
          <w:szCs w:val="20"/>
          <w:lang w:eastAsia="en-GB"/>
        </w:rPr>
      </w:pPr>
    </w:p>
    <w:p w14:paraId="067DC90B" w14:textId="47BFFE8D" w:rsidR="00133F05" w:rsidRPr="00D73D7A" w:rsidRDefault="00571161" w:rsidP="00D73D7A">
      <w:pPr>
        <w:spacing w:after="0" w:line="240" w:lineRule="auto"/>
        <w:rPr>
          <w:rFonts w:ascii="Open Sans" w:eastAsia="Times New Roman" w:hAnsi="Open Sans" w:cs="Open Sans"/>
          <w:b/>
          <w:bCs/>
          <w:sz w:val="20"/>
          <w:szCs w:val="20"/>
          <w:lang w:eastAsia="en-GB"/>
        </w:rPr>
      </w:pPr>
      <w:r w:rsidRPr="00D73D7A">
        <w:rPr>
          <w:rFonts w:ascii="Open Sans" w:eastAsia="Times New Roman" w:hAnsi="Open Sans" w:cs="Open Sans"/>
          <w:sz w:val="20"/>
          <w:szCs w:val="20"/>
          <w:lang w:eastAsia="en-GB"/>
        </w:rPr>
        <w:t xml:space="preserve">The REA agree with the need for </w:t>
      </w:r>
      <w:r w:rsidR="00A43E26" w:rsidRPr="00D73D7A">
        <w:rPr>
          <w:rFonts w:ascii="Open Sans" w:eastAsia="Times New Roman" w:hAnsi="Open Sans" w:cs="Open Sans"/>
          <w:sz w:val="20"/>
          <w:szCs w:val="20"/>
          <w:lang w:eastAsia="en-GB"/>
        </w:rPr>
        <w:t xml:space="preserve">robust requirements around verifying the need for later delivery years, however these requirements will need to be consulted on separately to ensure they are proportionate. We raise concern that the consultation refers to relying on delivery timeframes for “other comparable projects”, for many innovative storage projects this may not be appropriate given the nascent nature of the market. Furthermore, factors outside of the developer’s control may have the largest impact on delivery times. Consideration of how to demonstrate realistic delivery timeframes through independent technical anlysis and reports, should be considered sufficient for verifying later delivery years. </w:t>
      </w:r>
      <w:r w:rsidR="00133F05" w:rsidRPr="00D73D7A">
        <w:rPr>
          <w:rFonts w:ascii="Open Sans" w:eastAsia="Times New Roman" w:hAnsi="Open Sans" w:cs="Open Sans"/>
          <w:b/>
          <w:bCs/>
          <w:sz w:val="20"/>
          <w:szCs w:val="20"/>
          <w:lang w:eastAsia="en-GB"/>
        </w:rPr>
        <w:br/>
      </w:r>
    </w:p>
    <w:p w14:paraId="3F8BB14D" w14:textId="7F010A19"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12 How can we best mitigate any security of supply risks arising from this approach? Can you identify any additional risks and/or disbenefits related to the introduction of a declared later delivery year? </w:t>
      </w:r>
      <w:r w:rsidRPr="006616E2">
        <w:rPr>
          <w:rFonts w:ascii="Open Sans" w:eastAsia="Times New Roman" w:hAnsi="Open Sans" w:cs="Open Sans"/>
          <w:b/>
          <w:bCs/>
          <w:sz w:val="20"/>
          <w:szCs w:val="20"/>
          <w:lang w:eastAsia="en-GB"/>
        </w:rPr>
        <w:br/>
      </w:r>
    </w:p>
    <w:p w14:paraId="1461F8C2" w14:textId="68AA3561" w:rsidR="00723324" w:rsidRPr="00D73D7A" w:rsidRDefault="00394D45" w:rsidP="00D73D7A">
      <w:pPr>
        <w:spacing w:after="0" w:line="240" w:lineRule="auto"/>
        <w:rPr>
          <w:rFonts w:ascii="Open Sans" w:eastAsia="Times New Roman" w:hAnsi="Open Sans" w:cs="Open Sans"/>
          <w:sz w:val="20"/>
          <w:szCs w:val="20"/>
          <w:lang w:eastAsia="en-GB"/>
        </w:rPr>
      </w:pPr>
      <w:r w:rsidRPr="00D73D7A">
        <w:rPr>
          <w:rFonts w:ascii="Open Sans" w:eastAsia="Times New Roman" w:hAnsi="Open Sans" w:cs="Open Sans"/>
          <w:sz w:val="20"/>
          <w:szCs w:val="20"/>
          <w:lang w:eastAsia="en-GB"/>
        </w:rPr>
        <w:t xml:space="preserve">Regular auctions, which deliver a variety of both long term and shorter </w:t>
      </w:r>
      <w:proofErr w:type="gramStart"/>
      <w:r w:rsidRPr="00D73D7A">
        <w:rPr>
          <w:rFonts w:ascii="Open Sans" w:eastAsia="Times New Roman" w:hAnsi="Open Sans" w:cs="Open Sans"/>
          <w:sz w:val="20"/>
          <w:szCs w:val="20"/>
          <w:lang w:eastAsia="en-GB"/>
        </w:rPr>
        <w:t>contracts  will</w:t>
      </w:r>
      <w:proofErr w:type="gramEnd"/>
      <w:r w:rsidRPr="00D73D7A">
        <w:rPr>
          <w:rFonts w:ascii="Open Sans" w:eastAsia="Times New Roman" w:hAnsi="Open Sans" w:cs="Open Sans"/>
          <w:sz w:val="20"/>
          <w:szCs w:val="20"/>
          <w:lang w:eastAsia="en-GB"/>
        </w:rPr>
        <w:t xml:space="preserve"> help mitigate security of supply issues, providing both </w:t>
      </w:r>
      <w:r w:rsidR="00723324" w:rsidRPr="00D73D7A">
        <w:rPr>
          <w:rFonts w:ascii="Open Sans" w:eastAsia="Times New Roman" w:hAnsi="Open Sans" w:cs="Open Sans"/>
          <w:sz w:val="20"/>
          <w:szCs w:val="20"/>
          <w:lang w:eastAsia="en-GB"/>
        </w:rPr>
        <w:t xml:space="preserve">immediate </w:t>
      </w:r>
      <w:r w:rsidRPr="00D73D7A">
        <w:rPr>
          <w:rFonts w:ascii="Open Sans" w:eastAsia="Times New Roman" w:hAnsi="Open Sans" w:cs="Open Sans"/>
          <w:sz w:val="20"/>
          <w:szCs w:val="20"/>
          <w:lang w:eastAsia="en-GB"/>
        </w:rPr>
        <w:t>and longer terms CMU</w:t>
      </w:r>
      <w:r w:rsidR="00723324" w:rsidRPr="00D73D7A">
        <w:rPr>
          <w:rFonts w:ascii="Open Sans" w:eastAsia="Times New Roman" w:hAnsi="Open Sans" w:cs="Open Sans"/>
          <w:sz w:val="20"/>
          <w:szCs w:val="20"/>
          <w:lang w:eastAsia="en-GB"/>
        </w:rPr>
        <w:t xml:space="preserve">s to be developed. By </w:t>
      </w:r>
      <w:r w:rsidR="00D73D7A" w:rsidRPr="00D73D7A">
        <w:rPr>
          <w:rFonts w:ascii="Open Sans" w:eastAsia="Times New Roman" w:hAnsi="Open Sans" w:cs="Open Sans"/>
          <w:sz w:val="20"/>
          <w:szCs w:val="20"/>
          <w:lang w:eastAsia="en-GB"/>
        </w:rPr>
        <w:t>ring-fencing longer-term</w:t>
      </w:r>
      <w:r w:rsidR="00723324" w:rsidRPr="00D73D7A">
        <w:rPr>
          <w:rFonts w:ascii="Open Sans" w:eastAsia="Times New Roman" w:hAnsi="Open Sans" w:cs="Open Sans"/>
          <w:sz w:val="20"/>
          <w:szCs w:val="20"/>
          <w:lang w:eastAsia="en-GB"/>
        </w:rPr>
        <w:t xml:space="preserve"> </w:t>
      </w:r>
      <w:r w:rsidR="00D73D7A">
        <w:rPr>
          <w:rFonts w:ascii="Open Sans" w:eastAsia="Times New Roman" w:hAnsi="Open Sans" w:cs="Open Sans"/>
          <w:sz w:val="20"/>
          <w:szCs w:val="20"/>
          <w:lang w:eastAsia="en-GB"/>
        </w:rPr>
        <w:t>agreements</w:t>
      </w:r>
      <w:r w:rsidR="00723324" w:rsidRPr="00D73D7A">
        <w:rPr>
          <w:rFonts w:ascii="Open Sans" w:eastAsia="Times New Roman" w:hAnsi="Open Sans" w:cs="Open Sans"/>
          <w:sz w:val="20"/>
          <w:szCs w:val="20"/>
          <w:lang w:eastAsia="en-GB"/>
        </w:rPr>
        <w:t xml:space="preserve"> for new build low carbon CMUs, through </w:t>
      </w:r>
      <w:proofErr w:type="gramStart"/>
      <w:r w:rsidR="00723324" w:rsidRPr="00D73D7A">
        <w:rPr>
          <w:rFonts w:ascii="Open Sans" w:eastAsia="Times New Roman" w:hAnsi="Open Sans" w:cs="Open Sans"/>
          <w:sz w:val="20"/>
          <w:szCs w:val="20"/>
          <w:lang w:eastAsia="en-GB"/>
        </w:rPr>
        <w:t>a</w:t>
      </w:r>
      <w:proofErr w:type="gramEnd"/>
      <w:r w:rsidR="00723324" w:rsidRPr="00D73D7A">
        <w:rPr>
          <w:rFonts w:ascii="Open Sans" w:eastAsia="Times New Roman" w:hAnsi="Open Sans" w:cs="Open Sans"/>
          <w:sz w:val="20"/>
          <w:szCs w:val="20"/>
          <w:lang w:eastAsia="en-GB"/>
        </w:rPr>
        <w:t xml:space="preserve"> emissions </w:t>
      </w:r>
      <w:r w:rsidR="00D73D7A" w:rsidRPr="00D73D7A">
        <w:rPr>
          <w:rFonts w:ascii="Open Sans" w:eastAsia="Times New Roman" w:hAnsi="Open Sans" w:cs="Open Sans"/>
          <w:sz w:val="20"/>
          <w:szCs w:val="20"/>
          <w:lang w:eastAsia="en-GB"/>
        </w:rPr>
        <w:t>threshold, future</w:t>
      </w:r>
      <w:r w:rsidR="00723324" w:rsidRPr="00D73D7A">
        <w:rPr>
          <w:rFonts w:ascii="Open Sans" w:eastAsia="Times New Roman" w:hAnsi="Open Sans" w:cs="Open Sans"/>
          <w:sz w:val="20"/>
          <w:szCs w:val="20"/>
          <w:lang w:eastAsia="en-GB"/>
        </w:rPr>
        <w:t xml:space="preserve"> energy security is assured to be </w:t>
      </w:r>
      <w:r w:rsidR="00D73D7A" w:rsidRPr="00D73D7A">
        <w:rPr>
          <w:rFonts w:ascii="Open Sans" w:eastAsia="Times New Roman" w:hAnsi="Open Sans" w:cs="Open Sans"/>
          <w:sz w:val="20"/>
          <w:szCs w:val="20"/>
          <w:lang w:eastAsia="en-GB"/>
        </w:rPr>
        <w:t>in line</w:t>
      </w:r>
      <w:r w:rsidR="00723324" w:rsidRPr="00D73D7A">
        <w:rPr>
          <w:rFonts w:ascii="Open Sans" w:eastAsia="Times New Roman" w:hAnsi="Open Sans" w:cs="Open Sans"/>
          <w:sz w:val="20"/>
          <w:szCs w:val="20"/>
          <w:lang w:eastAsia="en-GB"/>
        </w:rPr>
        <w:t xml:space="preserve"> with net zero goals. At the same </w:t>
      </w:r>
      <w:r w:rsidR="00D73D7A" w:rsidRPr="00D73D7A">
        <w:rPr>
          <w:rFonts w:ascii="Open Sans" w:eastAsia="Times New Roman" w:hAnsi="Open Sans" w:cs="Open Sans"/>
          <w:sz w:val="20"/>
          <w:szCs w:val="20"/>
          <w:lang w:eastAsia="en-GB"/>
        </w:rPr>
        <w:t>time</w:t>
      </w:r>
      <w:r w:rsidR="00D73D7A">
        <w:rPr>
          <w:rFonts w:ascii="Open Sans" w:eastAsia="Times New Roman" w:hAnsi="Open Sans" w:cs="Open Sans"/>
          <w:sz w:val="20"/>
          <w:szCs w:val="20"/>
          <w:lang w:eastAsia="en-GB"/>
        </w:rPr>
        <w:t xml:space="preserve">, </w:t>
      </w:r>
      <w:r w:rsidR="00D73D7A" w:rsidRPr="00D73D7A">
        <w:rPr>
          <w:rFonts w:ascii="Open Sans" w:eastAsia="Times New Roman" w:hAnsi="Open Sans" w:cs="Open Sans"/>
          <w:sz w:val="20"/>
          <w:szCs w:val="20"/>
          <w:lang w:eastAsia="en-GB"/>
        </w:rPr>
        <w:t>shorter</w:t>
      </w:r>
      <w:r w:rsidR="00723324" w:rsidRPr="00D73D7A">
        <w:rPr>
          <w:rFonts w:ascii="Open Sans" w:eastAsia="Times New Roman" w:hAnsi="Open Sans" w:cs="Open Sans"/>
          <w:sz w:val="20"/>
          <w:szCs w:val="20"/>
          <w:lang w:eastAsia="en-GB"/>
        </w:rPr>
        <w:t xml:space="preserve"> term delivery can be focused on refurbishment of existing capacity also delivering energy security today. </w:t>
      </w:r>
    </w:p>
    <w:p w14:paraId="79F4DEFE" w14:textId="77777777" w:rsidR="0063550E" w:rsidRPr="006616E2" w:rsidRDefault="0063550E" w:rsidP="00133F05">
      <w:pPr>
        <w:spacing w:after="0" w:line="240" w:lineRule="auto"/>
        <w:rPr>
          <w:rFonts w:ascii="Open Sans" w:eastAsia="Times New Roman" w:hAnsi="Open Sans" w:cs="Open Sans"/>
          <w:b/>
          <w:bCs/>
          <w:sz w:val="20"/>
          <w:szCs w:val="20"/>
          <w:lang w:eastAsia="en-GB"/>
        </w:rPr>
      </w:pPr>
    </w:p>
    <w:p w14:paraId="60D761C6" w14:textId="5CF0BF69"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13 What are your views on the benefits and challenges of introducing an auction design splitting auctions between new build and refurbishing low carbon capacity and existing capacity? Would this affect your decision to participate in the Capacity Market or your bidding behaviour, and if so, how? </w:t>
      </w:r>
      <w:r w:rsidRPr="006616E2">
        <w:rPr>
          <w:rFonts w:ascii="Open Sans" w:eastAsia="Times New Roman" w:hAnsi="Open Sans" w:cs="Open Sans"/>
          <w:b/>
          <w:bCs/>
          <w:sz w:val="20"/>
          <w:szCs w:val="20"/>
          <w:lang w:eastAsia="en-GB"/>
        </w:rPr>
        <w:br/>
      </w:r>
    </w:p>
    <w:p w14:paraId="20114154" w14:textId="4D628C04" w:rsidR="00083E1A" w:rsidRPr="006616E2" w:rsidRDefault="00083E1A" w:rsidP="00D73D7A">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Sp</w:t>
      </w:r>
      <w:r w:rsidR="00E72AD7" w:rsidRPr="006616E2">
        <w:rPr>
          <w:rFonts w:ascii="Open Sans" w:eastAsia="Times New Roman" w:hAnsi="Open Sans" w:cs="Open Sans"/>
          <w:sz w:val="20"/>
          <w:szCs w:val="20"/>
          <w:lang w:eastAsia="en-GB"/>
        </w:rPr>
        <w:t>l</w:t>
      </w:r>
      <w:r w:rsidRPr="006616E2">
        <w:rPr>
          <w:rFonts w:ascii="Open Sans" w:eastAsia="Times New Roman" w:hAnsi="Open Sans" w:cs="Open Sans"/>
          <w:sz w:val="20"/>
          <w:szCs w:val="20"/>
          <w:lang w:eastAsia="en-GB"/>
        </w:rPr>
        <w:t xml:space="preserve">it auctions would be a welcome development where beneficial contract </w:t>
      </w:r>
      <w:r w:rsidR="00E72AD7" w:rsidRPr="006616E2">
        <w:rPr>
          <w:rFonts w:ascii="Open Sans" w:eastAsia="Times New Roman" w:hAnsi="Open Sans" w:cs="Open Sans"/>
          <w:sz w:val="20"/>
          <w:szCs w:val="20"/>
          <w:lang w:eastAsia="en-GB"/>
        </w:rPr>
        <w:t>characteristics</w:t>
      </w:r>
      <w:r w:rsidRPr="006616E2">
        <w:rPr>
          <w:rFonts w:ascii="Open Sans" w:eastAsia="Times New Roman" w:hAnsi="Open Sans" w:cs="Open Sans"/>
          <w:sz w:val="20"/>
          <w:szCs w:val="20"/>
          <w:lang w:eastAsia="en-GB"/>
        </w:rPr>
        <w:t xml:space="preserve"> are provided to the delivery of low carbon CMUs. </w:t>
      </w:r>
      <w:r w:rsidR="00E72AD7" w:rsidRPr="006616E2">
        <w:rPr>
          <w:rFonts w:ascii="Open Sans" w:eastAsia="Times New Roman" w:hAnsi="Open Sans" w:cs="Open Sans"/>
          <w:sz w:val="20"/>
          <w:szCs w:val="20"/>
          <w:lang w:eastAsia="en-GB"/>
        </w:rPr>
        <w:t xml:space="preserve">Ring-fencing longer-term contracts for new build low carbon CMUs, while still allowing refurbished sites to gain from shorter term contracts, creates a </w:t>
      </w:r>
      <w:r w:rsidR="00D73D7A" w:rsidRPr="006616E2">
        <w:rPr>
          <w:rFonts w:ascii="Open Sans" w:eastAsia="Times New Roman" w:hAnsi="Open Sans" w:cs="Open Sans"/>
          <w:sz w:val="20"/>
          <w:szCs w:val="20"/>
          <w:lang w:eastAsia="en-GB"/>
        </w:rPr>
        <w:t>mechanism</w:t>
      </w:r>
      <w:r w:rsidR="00E72AD7" w:rsidRPr="006616E2">
        <w:rPr>
          <w:rFonts w:ascii="Open Sans" w:eastAsia="Times New Roman" w:hAnsi="Open Sans" w:cs="Open Sans"/>
          <w:sz w:val="20"/>
          <w:szCs w:val="20"/>
          <w:lang w:eastAsia="en-GB"/>
        </w:rPr>
        <w:t xml:space="preserve"> that both delivers immediate energy security and developers low carbon capacity for the future. </w:t>
      </w:r>
    </w:p>
    <w:p w14:paraId="7959D292" w14:textId="77777777" w:rsidR="00E72AD7" w:rsidRPr="006616E2" w:rsidRDefault="00E72AD7" w:rsidP="00D73D7A">
      <w:pPr>
        <w:pStyle w:val="ListParagraph"/>
        <w:spacing w:after="0" w:line="240" w:lineRule="auto"/>
        <w:ind w:left="0"/>
        <w:rPr>
          <w:rFonts w:ascii="Open Sans" w:eastAsia="Times New Roman" w:hAnsi="Open Sans" w:cs="Open Sans"/>
          <w:sz w:val="20"/>
          <w:szCs w:val="20"/>
          <w:lang w:eastAsia="en-GB"/>
        </w:rPr>
      </w:pPr>
    </w:p>
    <w:p w14:paraId="1AEBF637" w14:textId="64CEC977" w:rsidR="00B64B66" w:rsidRPr="006616E2" w:rsidRDefault="00B64B66" w:rsidP="00D73D7A">
      <w:pPr>
        <w:pStyle w:val="ListParagraph"/>
        <w:spacing w:after="0" w:line="240" w:lineRule="auto"/>
        <w:ind w:left="0"/>
        <w:rPr>
          <w:rFonts w:ascii="Open Sans" w:eastAsia="Times New Roman" w:hAnsi="Open Sans" w:cs="Open Sans"/>
          <w:b/>
          <w:bCs/>
          <w:sz w:val="20"/>
          <w:szCs w:val="20"/>
          <w:lang w:eastAsia="en-GB"/>
        </w:rPr>
      </w:pPr>
      <w:r w:rsidRPr="006616E2">
        <w:rPr>
          <w:rFonts w:ascii="Open Sans" w:eastAsia="Times New Roman" w:hAnsi="Open Sans" w:cs="Open Sans"/>
          <w:sz w:val="20"/>
          <w:szCs w:val="20"/>
          <w:lang w:eastAsia="en-GB"/>
        </w:rPr>
        <w:t>A split auction</w:t>
      </w:r>
      <w:r w:rsidR="00150BD6" w:rsidRPr="006616E2">
        <w:rPr>
          <w:rFonts w:ascii="Open Sans" w:eastAsia="Times New Roman" w:hAnsi="Open Sans" w:cs="Open Sans"/>
          <w:sz w:val="20"/>
          <w:szCs w:val="20"/>
          <w:lang w:eastAsia="en-GB"/>
        </w:rPr>
        <w:t xml:space="preserve"> </w:t>
      </w:r>
      <w:r w:rsidR="00E72AD7" w:rsidRPr="006616E2">
        <w:rPr>
          <w:rFonts w:ascii="Open Sans" w:eastAsia="Times New Roman" w:hAnsi="Open Sans" w:cs="Open Sans"/>
          <w:sz w:val="20"/>
          <w:szCs w:val="20"/>
          <w:lang w:eastAsia="en-GB"/>
        </w:rPr>
        <w:t xml:space="preserve">could </w:t>
      </w:r>
      <w:r w:rsidRPr="006616E2">
        <w:rPr>
          <w:rFonts w:ascii="Open Sans" w:eastAsia="Times New Roman" w:hAnsi="Open Sans" w:cs="Open Sans"/>
          <w:sz w:val="20"/>
          <w:szCs w:val="20"/>
          <w:lang w:eastAsia="en-GB"/>
        </w:rPr>
        <w:t>be integrated with the carbon intensity thresholds and calculations raised in Q1 and 2. Low</w:t>
      </w:r>
      <w:r w:rsidR="00F41640" w:rsidRPr="006616E2">
        <w:rPr>
          <w:rFonts w:ascii="Open Sans" w:eastAsia="Times New Roman" w:hAnsi="Open Sans" w:cs="Open Sans"/>
          <w:sz w:val="20"/>
          <w:szCs w:val="20"/>
          <w:lang w:eastAsia="en-GB"/>
        </w:rPr>
        <w:t xml:space="preserve">est carbon intensity over the lifetime of the asset should be prioritised. </w:t>
      </w:r>
    </w:p>
    <w:p w14:paraId="20D9023F" w14:textId="77777777" w:rsidR="00B64B66" w:rsidRPr="006616E2" w:rsidRDefault="00B64B66" w:rsidP="00B64B66">
      <w:pPr>
        <w:pStyle w:val="ListParagraph"/>
        <w:spacing w:after="0" w:line="240" w:lineRule="auto"/>
        <w:rPr>
          <w:rFonts w:ascii="Open Sans" w:eastAsia="Times New Roman" w:hAnsi="Open Sans" w:cs="Open Sans"/>
          <w:b/>
          <w:bCs/>
          <w:sz w:val="20"/>
          <w:szCs w:val="20"/>
          <w:lang w:eastAsia="en-GB"/>
        </w:rPr>
      </w:pPr>
    </w:p>
    <w:p w14:paraId="30130F9D" w14:textId="77777777" w:rsidR="00F41640"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14 What are your views on the potential split auction designs considered in sections 2.5.2 and 2.5.3? Are there alternative designs we should consider? And what approach could we take to setting targets for a separate low carbon auction? </w:t>
      </w:r>
    </w:p>
    <w:p w14:paraId="5B061FB7" w14:textId="77777777" w:rsidR="00F41640" w:rsidRPr="006616E2" w:rsidRDefault="00F41640" w:rsidP="00D73D7A">
      <w:pPr>
        <w:spacing w:after="0" w:line="240" w:lineRule="auto"/>
        <w:rPr>
          <w:rFonts w:ascii="Open Sans" w:eastAsia="Times New Roman" w:hAnsi="Open Sans" w:cs="Open Sans"/>
          <w:b/>
          <w:bCs/>
          <w:sz w:val="20"/>
          <w:szCs w:val="20"/>
          <w:lang w:eastAsia="en-GB"/>
        </w:rPr>
      </w:pPr>
    </w:p>
    <w:p w14:paraId="2954BC76" w14:textId="16616566" w:rsidR="00133F05" w:rsidRPr="006616E2" w:rsidRDefault="00D73D7A" w:rsidP="00D73D7A">
      <w:pPr>
        <w:pStyle w:val="ListParagraph"/>
        <w:spacing w:after="0" w:line="240" w:lineRule="auto"/>
        <w:ind w:left="0"/>
        <w:rPr>
          <w:rFonts w:ascii="Open Sans" w:eastAsia="Times New Roman" w:hAnsi="Open Sans" w:cs="Open Sans"/>
          <w:b/>
          <w:bCs/>
          <w:sz w:val="20"/>
          <w:szCs w:val="20"/>
          <w:lang w:eastAsia="en-GB"/>
        </w:rPr>
      </w:pPr>
      <w:r>
        <w:rPr>
          <w:rFonts w:ascii="Open Sans" w:eastAsia="Times New Roman" w:hAnsi="Open Sans" w:cs="Open Sans"/>
          <w:sz w:val="20"/>
          <w:szCs w:val="20"/>
          <w:lang w:eastAsia="en-GB"/>
        </w:rPr>
        <w:t>T</w:t>
      </w:r>
      <w:r w:rsidR="00016ED0" w:rsidRPr="006616E2">
        <w:rPr>
          <w:rFonts w:ascii="Open Sans" w:eastAsia="Times New Roman" w:hAnsi="Open Sans" w:cs="Open Sans"/>
          <w:sz w:val="20"/>
          <w:szCs w:val="20"/>
          <w:lang w:eastAsia="en-GB"/>
        </w:rPr>
        <w:t>he REA support of low carbon auctions having priority</w:t>
      </w:r>
      <w:r w:rsidR="00150BD6" w:rsidRPr="006616E2">
        <w:rPr>
          <w:rFonts w:ascii="Open Sans" w:eastAsia="Times New Roman" w:hAnsi="Open Sans" w:cs="Open Sans"/>
          <w:sz w:val="20"/>
          <w:szCs w:val="20"/>
          <w:lang w:eastAsia="en-GB"/>
        </w:rPr>
        <w:t xml:space="preserve"> over higher </w:t>
      </w:r>
      <w:r w:rsidRPr="006616E2">
        <w:rPr>
          <w:rFonts w:ascii="Open Sans" w:eastAsia="Times New Roman" w:hAnsi="Open Sans" w:cs="Open Sans"/>
          <w:sz w:val="20"/>
          <w:szCs w:val="20"/>
          <w:lang w:eastAsia="en-GB"/>
        </w:rPr>
        <w:t>carbon-based</w:t>
      </w:r>
      <w:r w:rsidR="00150BD6" w:rsidRPr="006616E2">
        <w:rPr>
          <w:rFonts w:ascii="Open Sans" w:eastAsia="Times New Roman" w:hAnsi="Open Sans" w:cs="Open Sans"/>
          <w:sz w:val="20"/>
          <w:szCs w:val="20"/>
          <w:lang w:eastAsia="en-GB"/>
        </w:rPr>
        <w:t xml:space="preserve"> assets. </w:t>
      </w:r>
      <w:r>
        <w:rPr>
          <w:rFonts w:ascii="Open Sans" w:eastAsia="Times New Roman" w:hAnsi="Open Sans" w:cs="Open Sans"/>
          <w:sz w:val="20"/>
          <w:szCs w:val="20"/>
          <w:lang w:eastAsia="en-GB"/>
        </w:rPr>
        <w:t>Over</w:t>
      </w:r>
      <w:r w:rsidRPr="006616E2">
        <w:rPr>
          <w:rFonts w:ascii="Open Sans" w:eastAsia="Times New Roman" w:hAnsi="Open Sans" w:cs="Open Sans"/>
          <w:sz w:val="20"/>
          <w:szCs w:val="20"/>
          <w:lang w:eastAsia="en-GB"/>
        </w:rPr>
        <w:t>all,</w:t>
      </w:r>
      <w:r w:rsidR="00E72AD7" w:rsidRPr="006616E2">
        <w:rPr>
          <w:rFonts w:ascii="Open Sans" w:eastAsia="Times New Roman" w:hAnsi="Open Sans" w:cs="Open Sans"/>
          <w:sz w:val="20"/>
          <w:szCs w:val="20"/>
          <w:lang w:eastAsia="en-GB"/>
        </w:rPr>
        <w:t xml:space="preserve"> we support the design of multiple auctions, which would provide low carbon projects </w:t>
      </w:r>
      <w:proofErr w:type="gramStart"/>
      <w:r w:rsidR="00E72AD7" w:rsidRPr="006616E2">
        <w:rPr>
          <w:rFonts w:ascii="Open Sans" w:eastAsia="Times New Roman" w:hAnsi="Open Sans" w:cs="Open Sans"/>
          <w:sz w:val="20"/>
          <w:szCs w:val="20"/>
          <w:lang w:eastAsia="en-GB"/>
        </w:rPr>
        <w:t xml:space="preserve">a </w:t>
      </w:r>
      <w:r w:rsidR="00592D2E" w:rsidRPr="006616E2">
        <w:rPr>
          <w:rFonts w:ascii="Open Sans" w:eastAsia="Times New Roman" w:hAnsi="Open Sans" w:cs="Open Sans"/>
          <w:sz w:val="20"/>
          <w:szCs w:val="20"/>
          <w:lang w:eastAsia="en-GB"/>
        </w:rPr>
        <w:t>number of</w:t>
      </w:r>
      <w:proofErr w:type="gramEnd"/>
      <w:r w:rsidR="00592D2E" w:rsidRPr="006616E2">
        <w:rPr>
          <w:rFonts w:ascii="Open Sans" w:eastAsia="Times New Roman" w:hAnsi="Open Sans" w:cs="Open Sans"/>
          <w:sz w:val="20"/>
          <w:szCs w:val="20"/>
          <w:lang w:eastAsia="en-GB"/>
        </w:rPr>
        <w:t xml:space="preserve"> opportunities to secure contracts, as well as BEIS being able to design separate auctions to deliver specific desirable outcomes. While efficient</w:t>
      </w:r>
      <w:r>
        <w:rPr>
          <w:rFonts w:ascii="Open Sans" w:eastAsia="Times New Roman" w:hAnsi="Open Sans" w:cs="Open Sans"/>
          <w:sz w:val="20"/>
          <w:szCs w:val="20"/>
          <w:lang w:eastAsia="en-GB"/>
        </w:rPr>
        <w:t>,</w:t>
      </w:r>
      <w:r w:rsidR="00592D2E" w:rsidRPr="006616E2">
        <w:rPr>
          <w:rFonts w:ascii="Open Sans" w:eastAsia="Times New Roman" w:hAnsi="Open Sans" w:cs="Open Sans"/>
          <w:sz w:val="20"/>
          <w:szCs w:val="20"/>
          <w:lang w:eastAsia="en-GB"/>
        </w:rPr>
        <w:t xml:space="preserve"> we suggest that having multiple clearing prices within a single auction may create a more complicated mechanisms that is less able to send clear market </w:t>
      </w:r>
      <w:proofErr w:type="gramStart"/>
      <w:r w:rsidR="00592D2E" w:rsidRPr="006616E2">
        <w:rPr>
          <w:rFonts w:ascii="Open Sans" w:eastAsia="Times New Roman" w:hAnsi="Open Sans" w:cs="Open Sans"/>
          <w:sz w:val="20"/>
          <w:szCs w:val="20"/>
          <w:lang w:eastAsia="en-GB"/>
        </w:rPr>
        <w:t>signals, and</w:t>
      </w:r>
      <w:proofErr w:type="gramEnd"/>
      <w:r w:rsidR="00592D2E" w:rsidRPr="006616E2">
        <w:rPr>
          <w:rFonts w:ascii="Open Sans" w:eastAsia="Times New Roman" w:hAnsi="Open Sans" w:cs="Open Sans"/>
          <w:sz w:val="20"/>
          <w:szCs w:val="20"/>
          <w:lang w:eastAsia="en-GB"/>
        </w:rPr>
        <w:t xml:space="preserve"> could ultimately disadvantage smaller entrants in the market less able to compete.  </w:t>
      </w:r>
      <w:r w:rsidR="00133F05" w:rsidRPr="006616E2">
        <w:rPr>
          <w:rFonts w:ascii="Open Sans" w:eastAsia="Times New Roman" w:hAnsi="Open Sans" w:cs="Open Sans"/>
          <w:b/>
          <w:bCs/>
          <w:sz w:val="20"/>
          <w:szCs w:val="20"/>
          <w:lang w:eastAsia="en-GB"/>
        </w:rPr>
        <w:br/>
      </w:r>
    </w:p>
    <w:p w14:paraId="1EE0C6C7" w14:textId="77777777" w:rsidR="00DA0CAC"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lastRenderedPageBreak/>
        <w:t xml:space="preserve">Question 15 What are your views on expanding the scope of the Price Taker Threshold to potentially make it a price cap for Price Taker Capacity? Would this impact bidding behaviour? What changes to the Price Maker Memorandum might be necessary to ensure any changes to the Price Taker Threshold would be effective? </w:t>
      </w:r>
    </w:p>
    <w:p w14:paraId="365A0357" w14:textId="77777777" w:rsidR="00DA0CAC" w:rsidRPr="006616E2" w:rsidRDefault="00DA0CAC" w:rsidP="00133F05">
      <w:pPr>
        <w:spacing w:after="0" w:line="240" w:lineRule="auto"/>
        <w:rPr>
          <w:rFonts w:ascii="Open Sans" w:eastAsia="Times New Roman" w:hAnsi="Open Sans" w:cs="Open Sans"/>
          <w:b/>
          <w:bCs/>
          <w:sz w:val="20"/>
          <w:szCs w:val="20"/>
          <w:lang w:eastAsia="en-GB"/>
        </w:rPr>
      </w:pPr>
    </w:p>
    <w:p w14:paraId="51E1C9B9" w14:textId="55F25941" w:rsidR="00133F05" w:rsidRPr="006616E2" w:rsidRDefault="00D73D7A" w:rsidP="00D73D7A">
      <w:pPr>
        <w:pStyle w:val="ListParagraph"/>
        <w:spacing w:after="0" w:line="240" w:lineRule="auto"/>
        <w:ind w:left="0"/>
        <w:rPr>
          <w:rFonts w:ascii="Open Sans" w:eastAsia="Times New Roman" w:hAnsi="Open Sans" w:cs="Open Sans"/>
          <w:b/>
          <w:bCs/>
          <w:sz w:val="20"/>
          <w:szCs w:val="20"/>
          <w:lang w:eastAsia="en-GB"/>
        </w:rPr>
      </w:pPr>
      <w:r>
        <w:rPr>
          <w:rFonts w:ascii="Open Sans" w:eastAsia="Times New Roman" w:hAnsi="Open Sans" w:cs="Open Sans"/>
          <w:sz w:val="20"/>
          <w:szCs w:val="20"/>
          <w:lang w:eastAsia="en-GB"/>
        </w:rPr>
        <w:t xml:space="preserve">The REA </w:t>
      </w:r>
      <w:r w:rsidR="00592D2E" w:rsidRPr="006616E2">
        <w:rPr>
          <w:rFonts w:ascii="Open Sans" w:eastAsia="Times New Roman" w:hAnsi="Open Sans" w:cs="Open Sans"/>
          <w:sz w:val="20"/>
          <w:szCs w:val="20"/>
          <w:lang w:eastAsia="en-GB"/>
        </w:rPr>
        <w:t xml:space="preserve">generally support the idea of seeing low carbon capacity </w:t>
      </w:r>
      <w:r w:rsidRPr="006616E2">
        <w:rPr>
          <w:rFonts w:ascii="Open Sans" w:eastAsia="Times New Roman" w:hAnsi="Open Sans" w:cs="Open Sans"/>
          <w:sz w:val="20"/>
          <w:szCs w:val="20"/>
          <w:lang w:eastAsia="en-GB"/>
        </w:rPr>
        <w:t>compete</w:t>
      </w:r>
      <w:r w:rsidR="00592D2E" w:rsidRPr="006616E2">
        <w:rPr>
          <w:rFonts w:ascii="Open Sans" w:eastAsia="Times New Roman" w:hAnsi="Open Sans" w:cs="Open Sans"/>
          <w:sz w:val="20"/>
          <w:szCs w:val="20"/>
          <w:lang w:eastAsia="en-GB"/>
        </w:rPr>
        <w:t xml:space="preserve"> in a </w:t>
      </w:r>
      <w:r w:rsidR="00A56A78" w:rsidRPr="006616E2">
        <w:rPr>
          <w:rFonts w:ascii="Open Sans" w:eastAsia="Times New Roman" w:hAnsi="Open Sans" w:cs="Open Sans"/>
          <w:sz w:val="20"/>
          <w:szCs w:val="20"/>
          <w:lang w:eastAsia="en-GB"/>
        </w:rPr>
        <w:t>separate auction</w:t>
      </w:r>
      <w:r w:rsidR="00592D2E" w:rsidRPr="006616E2">
        <w:rPr>
          <w:rFonts w:ascii="Open Sans" w:eastAsia="Times New Roman" w:hAnsi="Open Sans" w:cs="Open Sans"/>
          <w:sz w:val="20"/>
          <w:szCs w:val="20"/>
          <w:lang w:eastAsia="en-GB"/>
        </w:rPr>
        <w:t xml:space="preserve">, or with an alternative clearing price, and a price cap only applied at the Price Taker Threshold to existing capacity in the primary T-4 auction. However, it would be good to see government commissioned modelling of the impact of this change, to see if it delivers the level of market signal desired and ensures that the only new build </w:t>
      </w:r>
      <w:r w:rsidR="00A56A78">
        <w:rPr>
          <w:rFonts w:ascii="Open Sans" w:eastAsia="Times New Roman" w:hAnsi="Open Sans" w:cs="Open Sans"/>
          <w:sz w:val="20"/>
          <w:szCs w:val="20"/>
          <w:lang w:eastAsia="en-GB"/>
        </w:rPr>
        <w:t>C</w:t>
      </w:r>
      <w:r w:rsidR="00592D2E" w:rsidRPr="006616E2">
        <w:rPr>
          <w:rFonts w:ascii="Open Sans" w:eastAsia="Times New Roman" w:hAnsi="Open Sans" w:cs="Open Sans"/>
          <w:sz w:val="20"/>
          <w:szCs w:val="20"/>
          <w:lang w:eastAsia="en-GB"/>
        </w:rPr>
        <w:t xml:space="preserve">MUs incentivised through the auction are low carbon.  </w:t>
      </w:r>
      <w:r w:rsidR="00133F05" w:rsidRPr="006616E2">
        <w:rPr>
          <w:rFonts w:ascii="Open Sans" w:eastAsia="Times New Roman" w:hAnsi="Open Sans" w:cs="Open Sans"/>
          <w:b/>
          <w:bCs/>
          <w:sz w:val="20"/>
          <w:szCs w:val="20"/>
          <w:lang w:eastAsia="en-GB"/>
        </w:rPr>
        <w:br/>
      </w:r>
    </w:p>
    <w:p w14:paraId="303B58EF" w14:textId="55D9B02F"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16 What are your views on the potential benefits or challenges of amending the Net Welfare Algorithm to calculate to next lowest bid, rather than by the round floor price? Would this have an impact on bidding behaviour? </w:t>
      </w:r>
      <w:r w:rsidRPr="006616E2">
        <w:rPr>
          <w:rFonts w:ascii="Open Sans" w:eastAsia="Times New Roman" w:hAnsi="Open Sans" w:cs="Open Sans"/>
          <w:b/>
          <w:bCs/>
          <w:sz w:val="20"/>
          <w:szCs w:val="20"/>
          <w:lang w:eastAsia="en-GB"/>
        </w:rPr>
        <w:br/>
      </w:r>
    </w:p>
    <w:p w14:paraId="1B48DA29" w14:textId="2F24C22C" w:rsidR="009C7582" w:rsidRPr="006616E2" w:rsidRDefault="009C7582"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At this stage it is difficult to determine how this would affect bidding behaviours. The removal of the confidence provided by the round price floor, could result in higher bids as participants price in greater risk. As such </w:t>
      </w:r>
      <w:r w:rsidR="00A56A78">
        <w:rPr>
          <w:rFonts w:ascii="Open Sans" w:eastAsia="Times New Roman" w:hAnsi="Open Sans" w:cs="Open Sans"/>
          <w:sz w:val="20"/>
          <w:szCs w:val="20"/>
          <w:lang w:eastAsia="en-GB"/>
        </w:rPr>
        <w:t>it is possible thus will</w:t>
      </w:r>
      <w:r w:rsidRPr="006616E2">
        <w:rPr>
          <w:rFonts w:ascii="Open Sans" w:eastAsia="Times New Roman" w:hAnsi="Open Sans" w:cs="Open Sans"/>
          <w:sz w:val="20"/>
          <w:szCs w:val="20"/>
          <w:lang w:eastAsia="en-GB"/>
        </w:rPr>
        <w:t xml:space="preserve"> not result in significantly cheaper clearing prices. Greater modelling of the impact of this change is needed before it is implemented. </w:t>
      </w:r>
    </w:p>
    <w:p w14:paraId="03B79A50" w14:textId="77777777" w:rsidR="009C7582" w:rsidRPr="006616E2" w:rsidRDefault="009C7582" w:rsidP="00133F05">
      <w:pPr>
        <w:spacing w:after="0" w:line="240" w:lineRule="auto"/>
        <w:rPr>
          <w:rFonts w:ascii="Open Sans" w:eastAsia="Times New Roman" w:hAnsi="Open Sans" w:cs="Open Sans"/>
          <w:b/>
          <w:bCs/>
          <w:sz w:val="20"/>
          <w:szCs w:val="20"/>
          <w:lang w:eastAsia="en-GB"/>
        </w:rPr>
      </w:pPr>
    </w:p>
    <w:p w14:paraId="32A457B4" w14:textId="606CBF50"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17 How might the changes to auction design considered in section 2.5 interact with other design possibilities explored in Chapter Two concerning agreement lengths (2.3) and projects with long build times (2.4)? </w:t>
      </w:r>
    </w:p>
    <w:p w14:paraId="46F44930" w14:textId="24A88A36" w:rsidR="009C7582" w:rsidRPr="006616E2" w:rsidRDefault="009C7582" w:rsidP="00133F05">
      <w:pPr>
        <w:spacing w:after="0" w:line="240" w:lineRule="auto"/>
        <w:rPr>
          <w:rFonts w:ascii="Open Sans" w:eastAsia="Times New Roman" w:hAnsi="Open Sans" w:cs="Open Sans"/>
          <w:b/>
          <w:bCs/>
          <w:sz w:val="20"/>
          <w:szCs w:val="20"/>
          <w:lang w:eastAsia="en-GB"/>
        </w:rPr>
      </w:pPr>
    </w:p>
    <w:p w14:paraId="70CAEFF0" w14:textId="0F97B96B" w:rsidR="009C7582" w:rsidRPr="006616E2" w:rsidRDefault="009C7582"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Ultimately emission thresholds should be considered primary criteria for </w:t>
      </w:r>
      <w:r w:rsidR="00BA1DB6" w:rsidRPr="006616E2">
        <w:rPr>
          <w:rFonts w:ascii="Open Sans" w:eastAsia="Times New Roman" w:hAnsi="Open Sans" w:cs="Open Sans"/>
          <w:sz w:val="20"/>
          <w:szCs w:val="20"/>
          <w:lang w:eastAsia="en-GB"/>
        </w:rPr>
        <w:t>determining</w:t>
      </w:r>
      <w:r w:rsidRPr="006616E2">
        <w:rPr>
          <w:rFonts w:ascii="Open Sans" w:eastAsia="Times New Roman" w:hAnsi="Open Sans" w:cs="Open Sans"/>
          <w:sz w:val="20"/>
          <w:szCs w:val="20"/>
          <w:lang w:eastAsia="en-GB"/>
        </w:rPr>
        <w:t xml:space="preserve"> </w:t>
      </w:r>
      <w:r w:rsidR="00BA1DB6" w:rsidRPr="006616E2">
        <w:rPr>
          <w:rFonts w:ascii="Open Sans" w:eastAsia="Times New Roman" w:hAnsi="Open Sans" w:cs="Open Sans"/>
          <w:sz w:val="20"/>
          <w:szCs w:val="20"/>
          <w:lang w:eastAsia="en-GB"/>
        </w:rPr>
        <w:t>beneficial</w:t>
      </w:r>
      <w:r w:rsidRPr="006616E2">
        <w:rPr>
          <w:rFonts w:ascii="Open Sans" w:eastAsia="Times New Roman" w:hAnsi="Open Sans" w:cs="Open Sans"/>
          <w:sz w:val="20"/>
          <w:szCs w:val="20"/>
          <w:lang w:eastAsia="en-GB"/>
        </w:rPr>
        <w:t xml:space="preserve"> </w:t>
      </w:r>
      <w:r w:rsidR="00BA1DB6" w:rsidRPr="006616E2">
        <w:rPr>
          <w:rFonts w:ascii="Open Sans" w:eastAsia="Times New Roman" w:hAnsi="Open Sans" w:cs="Open Sans"/>
          <w:sz w:val="20"/>
          <w:szCs w:val="20"/>
          <w:lang w:eastAsia="en-GB"/>
        </w:rPr>
        <w:t>contract</w:t>
      </w:r>
      <w:r w:rsidRPr="006616E2">
        <w:rPr>
          <w:rFonts w:ascii="Open Sans" w:eastAsia="Times New Roman" w:hAnsi="Open Sans" w:cs="Open Sans"/>
          <w:sz w:val="20"/>
          <w:szCs w:val="20"/>
          <w:lang w:eastAsia="en-GB"/>
        </w:rPr>
        <w:t xml:space="preserve"> arrangements, enabling </w:t>
      </w:r>
      <w:r w:rsidR="00BA1DB6" w:rsidRPr="006616E2">
        <w:rPr>
          <w:rFonts w:ascii="Open Sans" w:eastAsia="Times New Roman" w:hAnsi="Open Sans" w:cs="Open Sans"/>
          <w:sz w:val="20"/>
          <w:szCs w:val="20"/>
          <w:lang w:eastAsia="en-GB"/>
        </w:rPr>
        <w:t xml:space="preserve">new build </w:t>
      </w:r>
      <w:r w:rsidRPr="006616E2">
        <w:rPr>
          <w:rFonts w:ascii="Open Sans" w:eastAsia="Times New Roman" w:hAnsi="Open Sans" w:cs="Open Sans"/>
          <w:sz w:val="20"/>
          <w:szCs w:val="20"/>
          <w:lang w:eastAsia="en-GB"/>
        </w:rPr>
        <w:t>low carbon CMUs to</w:t>
      </w:r>
      <w:r w:rsidR="00BA1DB6" w:rsidRPr="006616E2">
        <w:rPr>
          <w:rFonts w:ascii="Open Sans" w:eastAsia="Times New Roman" w:hAnsi="Open Sans" w:cs="Open Sans"/>
          <w:sz w:val="20"/>
          <w:szCs w:val="20"/>
          <w:lang w:eastAsia="en-GB"/>
        </w:rPr>
        <w:t xml:space="preserve"> be brought to market. </w:t>
      </w:r>
    </w:p>
    <w:p w14:paraId="76277FF9" w14:textId="4269B5A9" w:rsidR="00BA1DB6" w:rsidRPr="00A56A78" w:rsidRDefault="00133F05" w:rsidP="00133F05">
      <w:pPr>
        <w:spacing w:after="0" w:line="240" w:lineRule="auto"/>
        <w:rPr>
          <w:rFonts w:ascii="Open Sans" w:eastAsia="Times New Roman" w:hAnsi="Open Sans" w:cs="Open Sans"/>
          <w:b/>
          <w:bCs/>
          <w:sz w:val="20"/>
          <w:szCs w:val="20"/>
          <w:u w:val="single"/>
          <w:lang w:eastAsia="en-GB"/>
        </w:rPr>
      </w:pPr>
      <w:r w:rsidRPr="006616E2">
        <w:rPr>
          <w:rFonts w:ascii="Open Sans" w:eastAsia="Times New Roman" w:hAnsi="Open Sans" w:cs="Open Sans"/>
          <w:b/>
          <w:bCs/>
          <w:sz w:val="20"/>
          <w:szCs w:val="20"/>
          <w:lang w:eastAsia="en-GB"/>
        </w:rPr>
        <w:br/>
      </w:r>
      <w:r w:rsidR="00BA1DB6" w:rsidRPr="00A56A78">
        <w:rPr>
          <w:rFonts w:ascii="Open Sans" w:eastAsia="Times New Roman" w:hAnsi="Open Sans" w:cs="Open Sans"/>
          <w:b/>
          <w:bCs/>
          <w:sz w:val="20"/>
          <w:szCs w:val="20"/>
          <w:u w:val="single"/>
          <w:lang w:eastAsia="en-GB"/>
        </w:rPr>
        <w:t>Short Term Considerations: Improving Delivery Assurance</w:t>
      </w:r>
    </w:p>
    <w:p w14:paraId="2149E0A2" w14:textId="77777777" w:rsidR="00BA1DB6" w:rsidRPr="00A56A78" w:rsidRDefault="00BA1DB6" w:rsidP="00133F05">
      <w:pPr>
        <w:spacing w:after="0" w:line="240" w:lineRule="auto"/>
        <w:rPr>
          <w:rFonts w:ascii="Open Sans" w:eastAsia="Times New Roman" w:hAnsi="Open Sans" w:cs="Open Sans"/>
          <w:sz w:val="20"/>
          <w:szCs w:val="20"/>
          <w:lang w:eastAsia="en-GB"/>
        </w:rPr>
      </w:pPr>
    </w:p>
    <w:p w14:paraId="5E929656" w14:textId="1CE47BD1" w:rsidR="00BA1DB6" w:rsidRPr="00A56A78" w:rsidRDefault="00BA1DB6" w:rsidP="00133F05">
      <w:pPr>
        <w:spacing w:after="0" w:line="240" w:lineRule="auto"/>
        <w:rPr>
          <w:rFonts w:ascii="Open Sans" w:eastAsia="Times New Roman" w:hAnsi="Open Sans" w:cs="Open Sans"/>
          <w:i/>
          <w:iCs/>
          <w:sz w:val="20"/>
          <w:szCs w:val="20"/>
          <w:lang w:eastAsia="en-GB"/>
        </w:rPr>
      </w:pPr>
      <w:r w:rsidRPr="00A56A78">
        <w:rPr>
          <w:rFonts w:ascii="Open Sans" w:eastAsia="Times New Roman" w:hAnsi="Open Sans" w:cs="Open Sans"/>
          <w:i/>
          <w:iCs/>
          <w:sz w:val="20"/>
          <w:szCs w:val="20"/>
          <w:highlight w:val="yellow"/>
          <w:lang w:eastAsia="en-GB"/>
        </w:rPr>
        <w:t xml:space="preserve">Note to members: Given that questions 18 - 25 largely relates to existing capacity, and not the prioritisation of low carbon generation </w:t>
      </w:r>
      <w:proofErr w:type="gramStart"/>
      <w:r w:rsidRPr="00A56A78">
        <w:rPr>
          <w:rFonts w:ascii="Open Sans" w:eastAsia="Times New Roman" w:hAnsi="Open Sans" w:cs="Open Sans"/>
          <w:i/>
          <w:iCs/>
          <w:sz w:val="20"/>
          <w:szCs w:val="20"/>
          <w:highlight w:val="yellow"/>
          <w:lang w:eastAsia="en-GB"/>
        </w:rPr>
        <w:t>within  the</w:t>
      </w:r>
      <w:proofErr w:type="gramEnd"/>
      <w:r w:rsidRPr="00A56A78">
        <w:rPr>
          <w:rFonts w:ascii="Open Sans" w:eastAsia="Times New Roman" w:hAnsi="Open Sans" w:cs="Open Sans"/>
          <w:i/>
          <w:iCs/>
          <w:sz w:val="20"/>
          <w:szCs w:val="20"/>
          <w:highlight w:val="yellow"/>
          <w:lang w:eastAsia="en-GB"/>
        </w:rPr>
        <w:t xml:space="preserve"> CM, the REA do not currently intend to provide direct responses to these questions, however further member feedback is welcome and can be built into our response.</w:t>
      </w:r>
      <w:r w:rsidRPr="00A56A78">
        <w:rPr>
          <w:rFonts w:ascii="Open Sans" w:eastAsia="Times New Roman" w:hAnsi="Open Sans" w:cs="Open Sans"/>
          <w:i/>
          <w:iCs/>
          <w:sz w:val="20"/>
          <w:szCs w:val="20"/>
          <w:lang w:eastAsia="en-GB"/>
        </w:rPr>
        <w:t xml:space="preserve"> </w:t>
      </w:r>
    </w:p>
    <w:p w14:paraId="2BBA4A5E" w14:textId="77777777" w:rsidR="00BA1DB6" w:rsidRPr="006616E2" w:rsidRDefault="00BA1DB6" w:rsidP="00133F05">
      <w:pPr>
        <w:spacing w:after="0" w:line="240" w:lineRule="auto"/>
        <w:rPr>
          <w:rFonts w:ascii="Open Sans" w:eastAsia="Times New Roman" w:hAnsi="Open Sans" w:cs="Open Sans"/>
          <w:b/>
          <w:bCs/>
          <w:sz w:val="20"/>
          <w:szCs w:val="20"/>
          <w:lang w:eastAsia="en-GB"/>
        </w:rPr>
      </w:pPr>
    </w:p>
    <w:p w14:paraId="7FE2E39D" w14:textId="389E4B44" w:rsidR="00BA1DB6"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18 What are your views on changing the figure used in calculating the penalty rate (for example, from 1/24 to 1/8 or 1/4)? Should the penalty rate be linked to the Value of Lost Load rather than the auction clearing price? Please provide supporting reasons/evidence. </w:t>
      </w:r>
    </w:p>
    <w:p w14:paraId="5E01967D" w14:textId="11A64CFA" w:rsidR="00BA1DB6" w:rsidRPr="006616E2" w:rsidRDefault="00133F05" w:rsidP="00BA1DB6">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19 What are you views on the changes we consider in relation to the annual and monthly penalty caps? </w:t>
      </w:r>
      <w:r w:rsidRPr="006616E2">
        <w:rPr>
          <w:rFonts w:ascii="Open Sans" w:eastAsia="Times New Roman" w:hAnsi="Open Sans" w:cs="Open Sans"/>
          <w:b/>
          <w:bCs/>
          <w:sz w:val="20"/>
          <w:szCs w:val="20"/>
          <w:lang w:eastAsia="en-GB"/>
        </w:rPr>
        <w:br/>
      </w:r>
    </w:p>
    <w:p w14:paraId="581BFA85" w14:textId="77777777" w:rsidR="00BA1DB6" w:rsidRPr="006616E2" w:rsidRDefault="00133F05" w:rsidP="00133F05">
      <w:pPr>
        <w:spacing w:after="0" w:line="240" w:lineRule="auto"/>
        <w:rPr>
          <w:rFonts w:ascii="Open Sans" w:eastAsia="Times New Roman" w:hAnsi="Open Sans" w:cs="Open Sans"/>
          <w:i/>
          <w:iCs/>
          <w:sz w:val="20"/>
          <w:szCs w:val="20"/>
          <w:highlight w:val="yellow"/>
          <w:lang w:eastAsia="en-GB"/>
        </w:rPr>
      </w:pPr>
      <w:r w:rsidRPr="006616E2">
        <w:rPr>
          <w:rFonts w:ascii="Open Sans" w:eastAsia="Times New Roman" w:hAnsi="Open Sans" w:cs="Open Sans"/>
          <w:b/>
          <w:bCs/>
          <w:sz w:val="20"/>
          <w:szCs w:val="20"/>
          <w:lang w:eastAsia="en-GB"/>
        </w:rPr>
        <w:t xml:space="preserve">Question 20 What are you views on the options we consider for improving the coordination of capacity during a stress event? </w:t>
      </w:r>
      <w:r w:rsidRPr="006616E2">
        <w:rPr>
          <w:rFonts w:ascii="Open Sans" w:eastAsia="Times New Roman" w:hAnsi="Open Sans" w:cs="Open Sans"/>
          <w:b/>
          <w:bCs/>
          <w:sz w:val="20"/>
          <w:szCs w:val="20"/>
          <w:lang w:eastAsia="en-GB"/>
        </w:rPr>
        <w:br/>
      </w:r>
    </w:p>
    <w:p w14:paraId="3C253BB7" w14:textId="77777777"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21 Do you agree with the idea of introducing an additional Satisfactory Performance Day for CMUs that fail to deliver in a stress event? </w:t>
      </w:r>
      <w:r w:rsidRPr="006616E2">
        <w:rPr>
          <w:rFonts w:ascii="Open Sans" w:eastAsia="Times New Roman" w:hAnsi="Open Sans" w:cs="Open Sans"/>
          <w:b/>
          <w:bCs/>
          <w:sz w:val="20"/>
          <w:szCs w:val="20"/>
          <w:lang w:eastAsia="en-GB"/>
        </w:rPr>
        <w:br/>
      </w:r>
    </w:p>
    <w:p w14:paraId="78E17EAE" w14:textId="7ED047E9"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22 What are your views on the options we set out regarding the recovery of unpaid penalties? </w:t>
      </w:r>
    </w:p>
    <w:p w14:paraId="2A27B483" w14:textId="77777777"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lastRenderedPageBreak/>
        <w:br/>
        <w:t xml:space="preserve">Question 23 Would you expect any of these changes to the penalty regime to affect your decision to participate in the Capacity Market, your bidding behaviour, or the costs of and access to finance, and, if so, how? </w:t>
      </w:r>
      <w:r w:rsidRPr="006616E2">
        <w:rPr>
          <w:rFonts w:ascii="Open Sans" w:eastAsia="Times New Roman" w:hAnsi="Open Sans" w:cs="Open Sans"/>
          <w:b/>
          <w:bCs/>
          <w:sz w:val="20"/>
          <w:szCs w:val="20"/>
          <w:lang w:eastAsia="en-GB"/>
        </w:rPr>
        <w:br/>
      </w:r>
    </w:p>
    <w:p w14:paraId="5A5784FC" w14:textId="77777777" w:rsidR="005B20CD"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24 What are you views on the benefits and challenges of the alternative model for a penalty regime set out in section 3.1.5? Are there other models we should consider? </w:t>
      </w:r>
    </w:p>
    <w:p w14:paraId="085324FE" w14:textId="77777777" w:rsidR="005B20CD" w:rsidRPr="006616E2" w:rsidRDefault="005B20CD" w:rsidP="00133F05">
      <w:pPr>
        <w:spacing w:after="0" w:line="240" w:lineRule="auto"/>
        <w:rPr>
          <w:rFonts w:ascii="Open Sans" w:eastAsia="Times New Roman" w:hAnsi="Open Sans" w:cs="Open Sans"/>
          <w:b/>
          <w:bCs/>
          <w:sz w:val="20"/>
          <w:szCs w:val="20"/>
          <w:lang w:eastAsia="en-GB"/>
        </w:rPr>
      </w:pPr>
    </w:p>
    <w:p w14:paraId="7AC36122" w14:textId="397A8AEE" w:rsidR="00133F05" w:rsidRPr="006616E2" w:rsidRDefault="005B20CD"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REA are supportive of any revised penalty regime having appropriate tolerance thresholds applied so that non-delivery of capacity within pre-determined range of an obligation would not result in a loss of payments being triggered. Equally, factors out of the CMUs operator control should also be considered when applying penalties, with no </w:t>
      </w:r>
      <w:r w:rsidR="00A56A78">
        <w:rPr>
          <w:rFonts w:ascii="Open Sans" w:eastAsia="Times New Roman" w:hAnsi="Open Sans" w:cs="Open Sans"/>
          <w:sz w:val="20"/>
          <w:szCs w:val="20"/>
          <w:lang w:eastAsia="en-GB"/>
        </w:rPr>
        <w:t>(</w:t>
      </w:r>
      <w:r w:rsidRPr="006616E2">
        <w:rPr>
          <w:rFonts w:ascii="Open Sans" w:eastAsia="Times New Roman" w:hAnsi="Open Sans" w:cs="Open Sans"/>
          <w:sz w:val="20"/>
          <w:szCs w:val="20"/>
          <w:lang w:eastAsia="en-GB"/>
        </w:rPr>
        <w:t>or reduced</w:t>
      </w:r>
      <w:r w:rsidR="00A56A78">
        <w:rPr>
          <w:rFonts w:ascii="Open Sans" w:eastAsia="Times New Roman" w:hAnsi="Open Sans" w:cs="Open Sans"/>
          <w:sz w:val="20"/>
          <w:szCs w:val="20"/>
          <w:lang w:eastAsia="en-GB"/>
        </w:rPr>
        <w:t>)</w:t>
      </w:r>
      <w:r w:rsidRPr="006616E2">
        <w:rPr>
          <w:rFonts w:ascii="Open Sans" w:eastAsia="Times New Roman" w:hAnsi="Open Sans" w:cs="Open Sans"/>
          <w:sz w:val="20"/>
          <w:szCs w:val="20"/>
          <w:lang w:eastAsia="en-GB"/>
        </w:rPr>
        <w:t xml:space="preserve"> penalties being applied if the CMU is subject to a constraint (such as on the gird) that they had no ability to correct and stops the delivery of their capacity. </w:t>
      </w:r>
      <w:r w:rsidR="00133F05" w:rsidRPr="006616E2">
        <w:rPr>
          <w:rFonts w:ascii="Open Sans" w:eastAsia="Times New Roman" w:hAnsi="Open Sans" w:cs="Open Sans"/>
          <w:sz w:val="20"/>
          <w:szCs w:val="20"/>
          <w:lang w:eastAsia="en-GB"/>
        </w:rPr>
        <w:br/>
      </w:r>
    </w:p>
    <w:p w14:paraId="4D813418" w14:textId="36B2A08A"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Question 25 What are your views on appropriate testing arrangements for wind and solar CMUs, distribution connected CMUs, and co-located CMUs?</w:t>
      </w:r>
    </w:p>
    <w:p w14:paraId="7DC58E1E" w14:textId="1EEA19C0" w:rsidR="009862D5" w:rsidRPr="006616E2" w:rsidRDefault="009862D5" w:rsidP="00133F05">
      <w:pPr>
        <w:spacing w:after="0" w:line="240" w:lineRule="auto"/>
        <w:rPr>
          <w:rFonts w:ascii="Open Sans" w:eastAsia="Times New Roman" w:hAnsi="Open Sans" w:cs="Open Sans"/>
          <w:b/>
          <w:bCs/>
          <w:sz w:val="20"/>
          <w:szCs w:val="20"/>
          <w:lang w:eastAsia="en-GB"/>
        </w:rPr>
      </w:pPr>
    </w:p>
    <w:p w14:paraId="15EA902D" w14:textId="1F0833AB" w:rsidR="009862D5" w:rsidRPr="00A56A78" w:rsidRDefault="009862D5" w:rsidP="00A56A78">
      <w:pPr>
        <w:spacing w:after="0" w:line="240" w:lineRule="auto"/>
        <w:rPr>
          <w:rFonts w:ascii="Open Sans" w:eastAsia="Times New Roman" w:hAnsi="Open Sans" w:cs="Open Sans"/>
          <w:b/>
          <w:bCs/>
          <w:sz w:val="20"/>
          <w:szCs w:val="20"/>
          <w:lang w:eastAsia="en-GB"/>
        </w:rPr>
      </w:pPr>
      <w:r w:rsidRPr="00A56A78">
        <w:rPr>
          <w:rFonts w:ascii="Open Sans" w:eastAsia="Times New Roman" w:hAnsi="Open Sans" w:cs="Open Sans"/>
          <w:sz w:val="20"/>
          <w:szCs w:val="20"/>
          <w:lang w:eastAsia="en-GB"/>
        </w:rPr>
        <w:t>A separate threshold for measuring wind and solar CMUs is welcomed as this reduces a barrier for entry for these assets. The REA would welcome</w:t>
      </w:r>
      <w:r w:rsidR="00A56A78">
        <w:rPr>
          <w:rFonts w:ascii="Open Sans" w:eastAsia="Times New Roman" w:hAnsi="Open Sans" w:cs="Open Sans"/>
          <w:sz w:val="20"/>
          <w:szCs w:val="20"/>
          <w:lang w:eastAsia="en-GB"/>
        </w:rPr>
        <w:t xml:space="preserve"> intentions for </w:t>
      </w:r>
      <w:r w:rsidR="00A56A78" w:rsidRPr="00A56A78">
        <w:rPr>
          <w:rFonts w:ascii="Open Sans" w:eastAsia="Times New Roman" w:hAnsi="Open Sans" w:cs="Open Sans"/>
          <w:sz w:val="20"/>
          <w:szCs w:val="20"/>
          <w:lang w:eastAsia="en-GB"/>
        </w:rPr>
        <w:t>industry</w:t>
      </w:r>
      <w:r w:rsidRPr="00A56A78">
        <w:rPr>
          <w:rFonts w:ascii="Open Sans" w:eastAsia="Times New Roman" w:hAnsi="Open Sans" w:cs="Open Sans"/>
          <w:sz w:val="20"/>
          <w:szCs w:val="20"/>
          <w:lang w:eastAsia="en-GB"/>
        </w:rPr>
        <w:t xml:space="preserve"> involvement with the setting of a threshold value, as this is likely to vary depending on a range of factors, some of which may be site</w:t>
      </w:r>
      <w:r w:rsidR="00D76328" w:rsidRPr="00A56A78">
        <w:rPr>
          <w:rFonts w:ascii="Open Sans" w:eastAsia="Times New Roman" w:hAnsi="Open Sans" w:cs="Open Sans"/>
          <w:sz w:val="20"/>
          <w:szCs w:val="20"/>
          <w:lang w:eastAsia="en-GB"/>
        </w:rPr>
        <w:t>-</w:t>
      </w:r>
      <w:r w:rsidRPr="00A56A78">
        <w:rPr>
          <w:rFonts w:ascii="Open Sans" w:eastAsia="Times New Roman" w:hAnsi="Open Sans" w:cs="Open Sans"/>
          <w:sz w:val="20"/>
          <w:szCs w:val="20"/>
          <w:lang w:eastAsia="en-GB"/>
        </w:rPr>
        <w:t xml:space="preserve">specific. Hence careful consideration will be needed to ensure the threshold is </w:t>
      </w:r>
      <w:r w:rsidR="00D76328" w:rsidRPr="00A56A78">
        <w:rPr>
          <w:rFonts w:ascii="Open Sans" w:eastAsia="Times New Roman" w:hAnsi="Open Sans" w:cs="Open Sans"/>
          <w:sz w:val="20"/>
          <w:szCs w:val="20"/>
          <w:lang w:eastAsia="en-GB"/>
        </w:rPr>
        <w:t>e</w:t>
      </w:r>
      <w:r w:rsidRPr="00A56A78">
        <w:rPr>
          <w:rFonts w:ascii="Open Sans" w:eastAsia="Times New Roman" w:hAnsi="Open Sans" w:cs="Open Sans"/>
          <w:sz w:val="20"/>
          <w:szCs w:val="20"/>
          <w:lang w:eastAsia="en-GB"/>
        </w:rPr>
        <w:t xml:space="preserve">ffective. </w:t>
      </w:r>
    </w:p>
    <w:p w14:paraId="7F0B9BFF" w14:textId="77777777" w:rsidR="00133F05" w:rsidRPr="006616E2" w:rsidRDefault="00133F05" w:rsidP="00133F05">
      <w:pPr>
        <w:spacing w:after="0" w:line="240" w:lineRule="auto"/>
        <w:rPr>
          <w:rFonts w:ascii="Open Sans" w:eastAsia="Times New Roman" w:hAnsi="Open Sans" w:cs="Open Sans"/>
          <w:b/>
          <w:bCs/>
          <w:sz w:val="20"/>
          <w:szCs w:val="20"/>
          <w:lang w:eastAsia="en-GB"/>
        </w:rPr>
      </w:pPr>
    </w:p>
    <w:p w14:paraId="6A17E88C" w14:textId="77777777" w:rsidR="00345DDD"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26 Which is your preferred option of those proposed in section 3.2.5 relating to the timing of the connection capacity test? Are there alternative approaches we could consider? </w:t>
      </w:r>
    </w:p>
    <w:p w14:paraId="0A04AD87" w14:textId="77777777" w:rsidR="00345DDD" w:rsidRPr="006616E2" w:rsidRDefault="00345DDD" w:rsidP="00133F05">
      <w:pPr>
        <w:spacing w:after="0" w:line="240" w:lineRule="auto"/>
        <w:rPr>
          <w:rFonts w:ascii="Open Sans" w:eastAsia="Times New Roman" w:hAnsi="Open Sans" w:cs="Open Sans"/>
          <w:b/>
          <w:bCs/>
          <w:sz w:val="20"/>
          <w:szCs w:val="20"/>
          <w:lang w:eastAsia="en-GB"/>
        </w:rPr>
      </w:pPr>
    </w:p>
    <w:p w14:paraId="4DA248D3" w14:textId="11E1250D" w:rsidR="00345DDD" w:rsidRPr="006616E2" w:rsidRDefault="00345DDD" w:rsidP="00133F05">
      <w:pPr>
        <w:spacing w:after="0" w:line="240" w:lineRule="auto"/>
        <w:rPr>
          <w:rFonts w:ascii="Open Sans" w:eastAsia="Times New Roman" w:hAnsi="Open Sans" w:cs="Open Sans"/>
          <w:i/>
          <w:iCs/>
          <w:sz w:val="20"/>
          <w:szCs w:val="20"/>
          <w:highlight w:val="yellow"/>
          <w:lang w:eastAsia="en-GB"/>
        </w:rPr>
      </w:pPr>
      <w:r w:rsidRPr="006616E2">
        <w:rPr>
          <w:rFonts w:ascii="Open Sans" w:eastAsia="Times New Roman" w:hAnsi="Open Sans" w:cs="Open Sans"/>
          <w:i/>
          <w:iCs/>
          <w:sz w:val="20"/>
          <w:szCs w:val="20"/>
          <w:highlight w:val="yellow"/>
          <w:lang w:eastAsia="en-GB"/>
        </w:rPr>
        <w:t>The REA currently does not have a stated preference for when the proposed connection capacity test should take place. The options provided are:</w:t>
      </w:r>
    </w:p>
    <w:p w14:paraId="129251F4" w14:textId="05572B48" w:rsidR="00345DDD" w:rsidRPr="006616E2" w:rsidRDefault="00345DDD" w:rsidP="00133F05">
      <w:pPr>
        <w:spacing w:after="0" w:line="240" w:lineRule="auto"/>
        <w:rPr>
          <w:rFonts w:ascii="Open Sans" w:eastAsia="Times New Roman" w:hAnsi="Open Sans" w:cs="Open Sans"/>
          <w:i/>
          <w:iCs/>
          <w:sz w:val="20"/>
          <w:szCs w:val="20"/>
          <w:highlight w:val="yellow"/>
          <w:lang w:eastAsia="en-GB"/>
        </w:rPr>
      </w:pPr>
    </w:p>
    <w:p w14:paraId="09C7B05B" w14:textId="77777777" w:rsidR="00345DDD" w:rsidRPr="006616E2" w:rsidRDefault="00345DDD" w:rsidP="00345DDD">
      <w:pPr>
        <w:spacing w:after="0" w:line="240" w:lineRule="auto"/>
        <w:rPr>
          <w:rFonts w:ascii="Open Sans" w:eastAsia="Times New Roman" w:hAnsi="Open Sans" w:cs="Open Sans"/>
          <w:i/>
          <w:iCs/>
          <w:sz w:val="20"/>
          <w:szCs w:val="20"/>
          <w:highlight w:val="yellow"/>
          <w:lang w:eastAsia="en-GB"/>
        </w:rPr>
      </w:pPr>
      <w:r w:rsidRPr="006616E2">
        <w:rPr>
          <w:rFonts w:ascii="Open Sans" w:eastAsia="Times New Roman" w:hAnsi="Open Sans" w:cs="Open Sans"/>
          <w:i/>
          <w:iCs/>
          <w:sz w:val="20"/>
          <w:szCs w:val="20"/>
          <w:highlight w:val="yellow"/>
          <w:lang w:eastAsia="en-GB"/>
        </w:rPr>
        <w:t xml:space="preserve">• For existing generation CMUs that secure agreements in a T-4 auction, the test should be completed in the </w:t>
      </w:r>
      <w:proofErr w:type="gramStart"/>
      <w:r w:rsidRPr="006616E2">
        <w:rPr>
          <w:rFonts w:ascii="Open Sans" w:eastAsia="Times New Roman" w:hAnsi="Open Sans" w:cs="Open Sans"/>
          <w:i/>
          <w:iCs/>
          <w:sz w:val="20"/>
          <w:szCs w:val="20"/>
          <w:highlight w:val="yellow"/>
          <w:lang w:eastAsia="en-GB"/>
        </w:rPr>
        <w:t>12 month</w:t>
      </w:r>
      <w:proofErr w:type="gramEnd"/>
      <w:r w:rsidRPr="006616E2">
        <w:rPr>
          <w:rFonts w:ascii="Open Sans" w:eastAsia="Times New Roman" w:hAnsi="Open Sans" w:cs="Open Sans"/>
          <w:i/>
          <w:iCs/>
          <w:sz w:val="20"/>
          <w:szCs w:val="20"/>
          <w:highlight w:val="yellow"/>
          <w:lang w:eastAsia="en-GB"/>
        </w:rPr>
        <w:t xml:space="preserve"> period before: (</w:t>
      </w:r>
      <w:proofErr w:type="spellStart"/>
      <w:r w:rsidRPr="006616E2">
        <w:rPr>
          <w:rFonts w:ascii="Open Sans" w:eastAsia="Times New Roman" w:hAnsi="Open Sans" w:cs="Open Sans"/>
          <w:i/>
          <w:iCs/>
          <w:sz w:val="20"/>
          <w:szCs w:val="20"/>
          <w:highlight w:val="yellow"/>
          <w:lang w:eastAsia="en-GB"/>
        </w:rPr>
        <w:t>i</w:t>
      </w:r>
      <w:proofErr w:type="spellEnd"/>
      <w:r w:rsidRPr="006616E2">
        <w:rPr>
          <w:rFonts w:ascii="Open Sans" w:eastAsia="Times New Roman" w:hAnsi="Open Sans" w:cs="Open Sans"/>
          <w:i/>
          <w:iCs/>
          <w:sz w:val="20"/>
          <w:szCs w:val="20"/>
          <w:highlight w:val="yellow"/>
          <w:lang w:eastAsia="en-GB"/>
        </w:rPr>
        <w:t>) February prior to the T-1 targets being set;(ii) the T-1 targets are finalised in October; or (iii) one month before the start of the delivery year.</w:t>
      </w:r>
    </w:p>
    <w:p w14:paraId="7C242E89" w14:textId="450AD723" w:rsidR="00345DDD" w:rsidRPr="006616E2" w:rsidRDefault="00345DDD" w:rsidP="00345DDD">
      <w:pPr>
        <w:spacing w:after="0" w:line="240" w:lineRule="auto"/>
        <w:rPr>
          <w:rFonts w:ascii="Open Sans" w:eastAsia="Times New Roman" w:hAnsi="Open Sans" w:cs="Open Sans"/>
          <w:i/>
          <w:iCs/>
          <w:sz w:val="20"/>
          <w:szCs w:val="20"/>
          <w:highlight w:val="yellow"/>
          <w:lang w:eastAsia="en-GB"/>
        </w:rPr>
      </w:pPr>
      <w:r w:rsidRPr="006616E2">
        <w:rPr>
          <w:rFonts w:ascii="Open Sans" w:eastAsia="Times New Roman" w:hAnsi="Open Sans" w:cs="Open Sans"/>
          <w:i/>
          <w:iCs/>
          <w:sz w:val="20"/>
          <w:szCs w:val="20"/>
          <w:highlight w:val="yellow"/>
          <w:lang w:eastAsia="en-GB"/>
        </w:rPr>
        <w:t xml:space="preserve">• For existing generation CMUs that wish to participate in a T-1 auction, the test should be completed in the </w:t>
      </w:r>
      <w:proofErr w:type="gramStart"/>
      <w:r w:rsidRPr="006616E2">
        <w:rPr>
          <w:rFonts w:ascii="Open Sans" w:eastAsia="Times New Roman" w:hAnsi="Open Sans" w:cs="Open Sans"/>
          <w:i/>
          <w:iCs/>
          <w:sz w:val="20"/>
          <w:szCs w:val="20"/>
          <w:highlight w:val="yellow"/>
          <w:lang w:eastAsia="en-GB"/>
        </w:rPr>
        <w:t>12 month</w:t>
      </w:r>
      <w:proofErr w:type="gramEnd"/>
      <w:r w:rsidRPr="006616E2">
        <w:rPr>
          <w:rFonts w:ascii="Open Sans" w:eastAsia="Times New Roman" w:hAnsi="Open Sans" w:cs="Open Sans"/>
          <w:i/>
          <w:iCs/>
          <w:sz w:val="20"/>
          <w:szCs w:val="20"/>
          <w:highlight w:val="yellow"/>
          <w:lang w:eastAsia="en-GB"/>
        </w:rPr>
        <w:t xml:space="preserve"> period before either: (</w:t>
      </w:r>
      <w:proofErr w:type="spellStart"/>
      <w:r w:rsidRPr="006616E2">
        <w:rPr>
          <w:rFonts w:ascii="Open Sans" w:eastAsia="Times New Roman" w:hAnsi="Open Sans" w:cs="Open Sans"/>
          <w:i/>
          <w:iCs/>
          <w:sz w:val="20"/>
          <w:szCs w:val="20"/>
          <w:highlight w:val="yellow"/>
          <w:lang w:eastAsia="en-GB"/>
        </w:rPr>
        <w:t>i</w:t>
      </w:r>
      <w:proofErr w:type="spellEnd"/>
      <w:r w:rsidRPr="006616E2">
        <w:rPr>
          <w:rFonts w:ascii="Open Sans" w:eastAsia="Times New Roman" w:hAnsi="Open Sans" w:cs="Open Sans"/>
          <w:i/>
          <w:iCs/>
          <w:sz w:val="20"/>
          <w:szCs w:val="20"/>
          <w:highlight w:val="yellow"/>
          <w:lang w:eastAsia="en-GB"/>
        </w:rPr>
        <w:t>) the February ahead of prequalification for the auction; or (ii) one month before the start of the delivery year.</w:t>
      </w:r>
    </w:p>
    <w:p w14:paraId="4BEC2E9C" w14:textId="3EC4E8CB" w:rsidR="00345DDD" w:rsidRPr="006616E2" w:rsidRDefault="00345DDD" w:rsidP="00345DDD">
      <w:pPr>
        <w:spacing w:after="0" w:line="240" w:lineRule="auto"/>
        <w:rPr>
          <w:rFonts w:ascii="Open Sans" w:eastAsia="Times New Roman" w:hAnsi="Open Sans" w:cs="Open Sans"/>
          <w:i/>
          <w:iCs/>
          <w:sz w:val="20"/>
          <w:szCs w:val="20"/>
          <w:highlight w:val="yellow"/>
          <w:lang w:eastAsia="en-GB"/>
        </w:rPr>
      </w:pPr>
    </w:p>
    <w:p w14:paraId="23239096" w14:textId="081F1BDD" w:rsidR="00345DDD" w:rsidRPr="006616E2" w:rsidRDefault="00345DDD" w:rsidP="00345DDD">
      <w:pPr>
        <w:spacing w:after="0" w:line="240" w:lineRule="auto"/>
        <w:rPr>
          <w:rFonts w:ascii="Open Sans" w:eastAsia="Times New Roman" w:hAnsi="Open Sans" w:cs="Open Sans"/>
          <w:i/>
          <w:iCs/>
          <w:sz w:val="20"/>
          <w:szCs w:val="20"/>
          <w:lang w:eastAsia="en-GB"/>
        </w:rPr>
      </w:pPr>
      <w:r w:rsidRPr="006616E2">
        <w:rPr>
          <w:rFonts w:ascii="Open Sans" w:eastAsia="Times New Roman" w:hAnsi="Open Sans" w:cs="Open Sans"/>
          <w:i/>
          <w:iCs/>
          <w:sz w:val="20"/>
          <w:szCs w:val="20"/>
          <w:highlight w:val="yellow"/>
          <w:lang w:eastAsia="en-GB"/>
        </w:rPr>
        <w:t xml:space="preserve">Member </w:t>
      </w:r>
      <w:r w:rsidR="00A56A78">
        <w:rPr>
          <w:rFonts w:ascii="Open Sans" w:eastAsia="Times New Roman" w:hAnsi="Open Sans" w:cs="Open Sans"/>
          <w:i/>
          <w:iCs/>
          <w:sz w:val="20"/>
          <w:szCs w:val="20"/>
          <w:highlight w:val="yellow"/>
          <w:lang w:eastAsia="en-GB"/>
        </w:rPr>
        <w:t>f</w:t>
      </w:r>
      <w:r w:rsidRPr="006616E2">
        <w:rPr>
          <w:rFonts w:ascii="Open Sans" w:eastAsia="Times New Roman" w:hAnsi="Open Sans" w:cs="Open Sans"/>
          <w:i/>
          <w:iCs/>
          <w:sz w:val="20"/>
          <w:szCs w:val="20"/>
          <w:highlight w:val="yellow"/>
          <w:lang w:eastAsia="en-GB"/>
        </w:rPr>
        <w:t>eedback welcome on the above proposals.</w:t>
      </w:r>
    </w:p>
    <w:p w14:paraId="31EC10D0" w14:textId="18B2D953" w:rsidR="00133F05" w:rsidRPr="006616E2" w:rsidRDefault="00133F05" w:rsidP="00133F05">
      <w:pPr>
        <w:spacing w:after="0" w:line="240" w:lineRule="auto"/>
        <w:rPr>
          <w:rFonts w:ascii="Open Sans" w:eastAsia="Times New Roman" w:hAnsi="Open Sans" w:cs="Open Sans"/>
          <w:b/>
          <w:bCs/>
          <w:sz w:val="20"/>
          <w:szCs w:val="20"/>
          <w:lang w:eastAsia="en-GB"/>
        </w:rPr>
      </w:pPr>
    </w:p>
    <w:p w14:paraId="4B246B45" w14:textId="3B74BBCE" w:rsidR="00133F05" w:rsidRPr="006616E2" w:rsidRDefault="00133F05"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b/>
          <w:bCs/>
          <w:sz w:val="20"/>
          <w:szCs w:val="20"/>
          <w:lang w:eastAsia="en-GB"/>
        </w:rPr>
        <w:t xml:space="preserve">Question 27 Would it be beneficial for us to enable a third party (such as the Delivery Body) to re-auction capacity obligations in respect of CMUs that have been terminated during the delivery year, or between a capacity auction and the start of the relevant delivery year? If so, what are your views on the principles for such an arrangement (set out in section 3.3.2), and do you have any commercial considerations and/or concerns about the use of a third-party facilitator? </w:t>
      </w:r>
      <w:r w:rsidRPr="006616E2">
        <w:rPr>
          <w:rFonts w:ascii="Open Sans" w:eastAsia="Times New Roman" w:hAnsi="Open Sans" w:cs="Open Sans"/>
          <w:b/>
          <w:bCs/>
          <w:sz w:val="20"/>
          <w:szCs w:val="20"/>
          <w:lang w:eastAsia="en-GB"/>
        </w:rPr>
        <w:br/>
      </w:r>
    </w:p>
    <w:p w14:paraId="08559698" w14:textId="473E0756" w:rsidR="00C20815" w:rsidRPr="006616E2" w:rsidRDefault="00C20815"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The REA support the development of a third party being able to re-auction capacity obligations in respect of the CMUs that have been terminated during the delivery year. In terms of principles</w:t>
      </w:r>
      <w:r w:rsidR="00BA6A3E" w:rsidRPr="006616E2">
        <w:rPr>
          <w:rFonts w:ascii="Open Sans" w:eastAsia="Times New Roman" w:hAnsi="Open Sans" w:cs="Open Sans"/>
          <w:sz w:val="20"/>
          <w:szCs w:val="20"/>
          <w:lang w:eastAsia="en-GB"/>
        </w:rPr>
        <w:t>,</w:t>
      </w:r>
      <w:r w:rsidRPr="006616E2">
        <w:rPr>
          <w:rFonts w:ascii="Open Sans" w:eastAsia="Times New Roman" w:hAnsi="Open Sans" w:cs="Open Sans"/>
          <w:sz w:val="20"/>
          <w:szCs w:val="20"/>
          <w:lang w:eastAsia="en-GB"/>
        </w:rPr>
        <w:t xml:space="preserve"> we believe that the emission threshold should </w:t>
      </w:r>
      <w:r w:rsidR="00BA6A3E" w:rsidRPr="006616E2">
        <w:rPr>
          <w:rFonts w:ascii="Open Sans" w:eastAsia="Times New Roman" w:hAnsi="Open Sans" w:cs="Open Sans"/>
          <w:sz w:val="20"/>
          <w:szCs w:val="20"/>
          <w:lang w:eastAsia="en-GB"/>
        </w:rPr>
        <w:t xml:space="preserve">play a more significant role, with preference </w:t>
      </w:r>
      <w:r w:rsidR="00BA6A3E" w:rsidRPr="006616E2">
        <w:rPr>
          <w:rFonts w:ascii="Open Sans" w:eastAsia="Times New Roman" w:hAnsi="Open Sans" w:cs="Open Sans"/>
          <w:sz w:val="20"/>
          <w:szCs w:val="20"/>
          <w:lang w:eastAsia="en-GB"/>
        </w:rPr>
        <w:lastRenderedPageBreak/>
        <w:t xml:space="preserve">always being given to low carbon capacity, rather </w:t>
      </w:r>
      <w:r w:rsidR="00A56A78" w:rsidRPr="006616E2">
        <w:rPr>
          <w:rFonts w:ascii="Open Sans" w:eastAsia="Times New Roman" w:hAnsi="Open Sans" w:cs="Open Sans"/>
          <w:sz w:val="20"/>
          <w:szCs w:val="20"/>
          <w:lang w:eastAsia="en-GB"/>
        </w:rPr>
        <w:t>than</w:t>
      </w:r>
      <w:r w:rsidR="00BA6A3E" w:rsidRPr="006616E2">
        <w:rPr>
          <w:rFonts w:ascii="Open Sans" w:eastAsia="Times New Roman" w:hAnsi="Open Sans" w:cs="Open Sans"/>
          <w:sz w:val="20"/>
          <w:szCs w:val="20"/>
          <w:lang w:eastAsia="en-GB"/>
        </w:rPr>
        <w:t xml:space="preserve"> just being a determining factor when two transferees submit the same priced bid for the same proposition of capacity. </w:t>
      </w:r>
    </w:p>
    <w:p w14:paraId="623C9DA2" w14:textId="77777777" w:rsidR="00C20815" w:rsidRPr="006616E2" w:rsidRDefault="00C20815" w:rsidP="00133F05">
      <w:pPr>
        <w:spacing w:after="0" w:line="240" w:lineRule="auto"/>
        <w:rPr>
          <w:rFonts w:ascii="Open Sans" w:eastAsia="Times New Roman" w:hAnsi="Open Sans" w:cs="Open Sans"/>
          <w:b/>
          <w:bCs/>
          <w:sz w:val="20"/>
          <w:szCs w:val="20"/>
          <w:lang w:eastAsia="en-GB"/>
        </w:rPr>
      </w:pPr>
    </w:p>
    <w:p w14:paraId="2510E127" w14:textId="52B5868A"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28 In your view, do the current de-rating methodologies remain appropriate and reflect a CMU’s risk of no-delivery? If not, what alternative methodology could be applied and why? Please submit any evidence in support of your view. </w:t>
      </w:r>
      <w:r w:rsidRPr="006616E2">
        <w:rPr>
          <w:rFonts w:ascii="Open Sans" w:eastAsia="Times New Roman" w:hAnsi="Open Sans" w:cs="Open Sans"/>
          <w:b/>
          <w:bCs/>
          <w:sz w:val="20"/>
          <w:szCs w:val="20"/>
          <w:lang w:eastAsia="en-GB"/>
        </w:rPr>
        <w:br/>
      </w:r>
    </w:p>
    <w:p w14:paraId="6BFCFF66" w14:textId="77777777" w:rsidR="00BA6A3E" w:rsidRPr="006616E2" w:rsidRDefault="00BA6A3E"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REA support de-rating factors being reviewed, especially given the fact that renewable and clean technologies continue to evolve and new technologies brought to market, meaning that historic performance and data is a poor indication of future performance. </w:t>
      </w:r>
    </w:p>
    <w:p w14:paraId="7665DC66" w14:textId="77777777" w:rsidR="00BA6A3E" w:rsidRPr="006616E2" w:rsidRDefault="00BA6A3E" w:rsidP="00133F05">
      <w:pPr>
        <w:spacing w:after="0" w:line="240" w:lineRule="auto"/>
        <w:rPr>
          <w:rFonts w:ascii="Open Sans" w:eastAsia="Times New Roman" w:hAnsi="Open Sans" w:cs="Open Sans"/>
          <w:sz w:val="20"/>
          <w:szCs w:val="20"/>
          <w:lang w:eastAsia="en-GB"/>
        </w:rPr>
      </w:pPr>
    </w:p>
    <w:p w14:paraId="18F74F13" w14:textId="1DBE65F3" w:rsidR="00BA6A3E" w:rsidRPr="006616E2" w:rsidRDefault="00BA6A3E" w:rsidP="00133F05">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However, within the time limitation of this broad cal</w:t>
      </w:r>
      <w:r w:rsidR="00A56A78">
        <w:rPr>
          <w:rFonts w:ascii="Open Sans" w:eastAsia="Times New Roman" w:hAnsi="Open Sans" w:cs="Open Sans"/>
          <w:sz w:val="20"/>
          <w:szCs w:val="20"/>
          <w:lang w:eastAsia="en-GB"/>
        </w:rPr>
        <w:t>l</w:t>
      </w:r>
      <w:r w:rsidRPr="006616E2">
        <w:rPr>
          <w:rFonts w:ascii="Open Sans" w:eastAsia="Times New Roman" w:hAnsi="Open Sans" w:cs="Open Sans"/>
          <w:sz w:val="20"/>
          <w:szCs w:val="20"/>
          <w:lang w:eastAsia="en-GB"/>
        </w:rPr>
        <w:t xml:space="preserve"> for </w:t>
      </w:r>
      <w:r w:rsidR="00A56A78" w:rsidRPr="006616E2">
        <w:rPr>
          <w:rFonts w:ascii="Open Sans" w:eastAsia="Times New Roman" w:hAnsi="Open Sans" w:cs="Open Sans"/>
          <w:sz w:val="20"/>
          <w:szCs w:val="20"/>
          <w:lang w:eastAsia="en-GB"/>
        </w:rPr>
        <w:t>evidence</w:t>
      </w:r>
      <w:r w:rsidR="00A56A78">
        <w:rPr>
          <w:rFonts w:ascii="Open Sans" w:eastAsia="Times New Roman" w:hAnsi="Open Sans" w:cs="Open Sans"/>
          <w:sz w:val="20"/>
          <w:szCs w:val="20"/>
          <w:lang w:eastAsia="en-GB"/>
        </w:rPr>
        <w:t xml:space="preserve">, </w:t>
      </w:r>
      <w:r w:rsidRPr="006616E2">
        <w:rPr>
          <w:rFonts w:ascii="Open Sans" w:eastAsia="Times New Roman" w:hAnsi="Open Sans" w:cs="Open Sans"/>
          <w:sz w:val="20"/>
          <w:szCs w:val="20"/>
          <w:lang w:eastAsia="en-GB"/>
        </w:rPr>
        <w:t xml:space="preserve">it has not </w:t>
      </w:r>
      <w:r w:rsidR="00A56A78" w:rsidRPr="006616E2">
        <w:rPr>
          <w:rFonts w:ascii="Open Sans" w:eastAsia="Times New Roman" w:hAnsi="Open Sans" w:cs="Open Sans"/>
          <w:sz w:val="20"/>
          <w:szCs w:val="20"/>
          <w:lang w:eastAsia="en-GB"/>
        </w:rPr>
        <w:t>been</w:t>
      </w:r>
      <w:r w:rsidRPr="006616E2">
        <w:rPr>
          <w:rFonts w:ascii="Open Sans" w:eastAsia="Times New Roman" w:hAnsi="Open Sans" w:cs="Open Sans"/>
          <w:sz w:val="20"/>
          <w:szCs w:val="20"/>
          <w:lang w:eastAsia="en-GB"/>
        </w:rPr>
        <w:t xml:space="preserve"> possible </w:t>
      </w:r>
      <w:r w:rsidR="00A85F84" w:rsidRPr="006616E2">
        <w:rPr>
          <w:rFonts w:ascii="Open Sans" w:eastAsia="Times New Roman" w:hAnsi="Open Sans" w:cs="Open Sans"/>
          <w:sz w:val="20"/>
          <w:szCs w:val="20"/>
          <w:lang w:eastAsia="en-GB"/>
        </w:rPr>
        <w:t>for us to</w:t>
      </w:r>
      <w:r w:rsidRPr="006616E2">
        <w:rPr>
          <w:rFonts w:ascii="Open Sans" w:eastAsia="Times New Roman" w:hAnsi="Open Sans" w:cs="Open Sans"/>
          <w:sz w:val="20"/>
          <w:szCs w:val="20"/>
          <w:lang w:eastAsia="en-GB"/>
        </w:rPr>
        <w:t xml:space="preserve"> fully review all possible alternative approaches to get a firm </w:t>
      </w:r>
      <w:r w:rsidR="00A85F84" w:rsidRPr="006616E2">
        <w:rPr>
          <w:rFonts w:ascii="Open Sans" w:eastAsia="Times New Roman" w:hAnsi="Open Sans" w:cs="Open Sans"/>
          <w:sz w:val="20"/>
          <w:szCs w:val="20"/>
          <w:lang w:eastAsia="en-GB"/>
        </w:rPr>
        <w:t xml:space="preserve">position </w:t>
      </w:r>
      <w:r w:rsidRPr="006616E2">
        <w:rPr>
          <w:rFonts w:ascii="Open Sans" w:eastAsia="Times New Roman" w:hAnsi="Open Sans" w:cs="Open Sans"/>
          <w:sz w:val="20"/>
          <w:szCs w:val="20"/>
          <w:lang w:eastAsia="en-GB"/>
        </w:rPr>
        <w:t xml:space="preserve">on a way forward. We would welcome the </w:t>
      </w:r>
      <w:r w:rsidR="00A85F84" w:rsidRPr="006616E2">
        <w:rPr>
          <w:rFonts w:ascii="Open Sans" w:eastAsia="Times New Roman" w:hAnsi="Open Sans" w:cs="Open Sans"/>
          <w:sz w:val="20"/>
          <w:szCs w:val="20"/>
          <w:lang w:eastAsia="en-GB"/>
        </w:rPr>
        <w:t>opportunity</w:t>
      </w:r>
      <w:r w:rsidRPr="006616E2">
        <w:rPr>
          <w:rFonts w:ascii="Open Sans" w:eastAsia="Times New Roman" w:hAnsi="Open Sans" w:cs="Open Sans"/>
          <w:sz w:val="20"/>
          <w:szCs w:val="20"/>
          <w:lang w:eastAsia="en-GB"/>
        </w:rPr>
        <w:t xml:space="preserve"> to see this issue properly consulted on with members, via the NGESO, so that the issues can be explored</w:t>
      </w:r>
      <w:r w:rsidR="00A85F84" w:rsidRPr="006616E2">
        <w:rPr>
          <w:rFonts w:ascii="Open Sans" w:eastAsia="Times New Roman" w:hAnsi="Open Sans" w:cs="Open Sans"/>
          <w:sz w:val="20"/>
          <w:szCs w:val="20"/>
          <w:lang w:eastAsia="en-GB"/>
        </w:rPr>
        <w:t xml:space="preserve"> in detail</w:t>
      </w:r>
      <w:r w:rsidRPr="006616E2">
        <w:rPr>
          <w:rFonts w:ascii="Open Sans" w:eastAsia="Times New Roman" w:hAnsi="Open Sans" w:cs="Open Sans"/>
          <w:sz w:val="20"/>
          <w:szCs w:val="20"/>
          <w:lang w:eastAsia="en-GB"/>
        </w:rPr>
        <w:t xml:space="preserve"> with industry</w:t>
      </w:r>
      <w:r w:rsidR="00A56A78">
        <w:rPr>
          <w:rFonts w:ascii="Open Sans" w:eastAsia="Times New Roman" w:hAnsi="Open Sans" w:cs="Open Sans"/>
          <w:sz w:val="20"/>
          <w:szCs w:val="20"/>
          <w:lang w:eastAsia="en-GB"/>
        </w:rPr>
        <w:t xml:space="preserve"> to find the most appropriate methodology. </w:t>
      </w:r>
    </w:p>
    <w:p w14:paraId="3094ACCA" w14:textId="77777777" w:rsidR="00BA6A3E" w:rsidRPr="006616E2" w:rsidRDefault="00BA6A3E" w:rsidP="00133F05">
      <w:pPr>
        <w:spacing w:after="0" w:line="240" w:lineRule="auto"/>
        <w:rPr>
          <w:rFonts w:ascii="Open Sans" w:eastAsia="Times New Roman" w:hAnsi="Open Sans" w:cs="Open Sans"/>
          <w:b/>
          <w:bCs/>
          <w:sz w:val="20"/>
          <w:szCs w:val="20"/>
          <w:lang w:eastAsia="en-GB"/>
        </w:rPr>
      </w:pPr>
    </w:p>
    <w:p w14:paraId="4EABC0CF" w14:textId="73C7809E" w:rsidR="00A85F84" w:rsidRPr="006616E2" w:rsidRDefault="00A85F84" w:rsidP="00133F05">
      <w:pPr>
        <w:spacing w:after="0" w:line="240" w:lineRule="auto"/>
        <w:rPr>
          <w:rFonts w:ascii="Open Sans" w:eastAsia="Times New Roman" w:hAnsi="Open Sans" w:cs="Open Sans"/>
          <w:b/>
          <w:bCs/>
          <w:sz w:val="20"/>
          <w:szCs w:val="20"/>
          <w:u w:val="single"/>
          <w:lang w:eastAsia="en-GB"/>
        </w:rPr>
      </w:pPr>
      <w:r w:rsidRPr="006616E2">
        <w:rPr>
          <w:rFonts w:ascii="Open Sans" w:eastAsia="Times New Roman" w:hAnsi="Open Sans" w:cs="Open Sans"/>
          <w:b/>
          <w:bCs/>
          <w:sz w:val="20"/>
          <w:szCs w:val="20"/>
          <w:u w:val="single"/>
          <w:lang w:eastAsia="en-GB"/>
        </w:rPr>
        <w:t>Long Term Considerations: Capacity Market Ten-year Review and Future Market Design</w:t>
      </w:r>
    </w:p>
    <w:p w14:paraId="4D0B8751" w14:textId="77777777" w:rsidR="00A85F84" w:rsidRPr="006616E2" w:rsidRDefault="00A85F84" w:rsidP="00133F05">
      <w:pPr>
        <w:spacing w:after="0" w:line="240" w:lineRule="auto"/>
        <w:rPr>
          <w:rFonts w:ascii="Open Sans" w:eastAsia="Times New Roman" w:hAnsi="Open Sans" w:cs="Open Sans"/>
          <w:b/>
          <w:bCs/>
          <w:sz w:val="20"/>
          <w:szCs w:val="20"/>
          <w:lang w:eastAsia="en-GB"/>
        </w:rPr>
      </w:pPr>
    </w:p>
    <w:p w14:paraId="7B9E943E" w14:textId="2E109406"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Question 29 Do you have initial views based on your experience on the Capacity Market’s performance since its implementation that we should consider?</w:t>
      </w:r>
    </w:p>
    <w:p w14:paraId="0231E6DF" w14:textId="4F72982E" w:rsidR="0065680E" w:rsidRPr="006616E2" w:rsidRDefault="0065680E" w:rsidP="00133F05">
      <w:pPr>
        <w:spacing w:after="0" w:line="240" w:lineRule="auto"/>
        <w:rPr>
          <w:rFonts w:ascii="Open Sans" w:eastAsia="Times New Roman" w:hAnsi="Open Sans" w:cs="Open Sans"/>
          <w:b/>
          <w:bCs/>
          <w:sz w:val="20"/>
          <w:szCs w:val="20"/>
          <w:lang w:eastAsia="en-GB"/>
        </w:rPr>
      </w:pPr>
    </w:p>
    <w:p w14:paraId="4DD21C7C" w14:textId="1D153325" w:rsidR="00B01330" w:rsidRPr="006616E2" w:rsidRDefault="00A85F84" w:rsidP="00A85F84">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Many of the most prominent issues concerning the capacity market have already been examined as part of this call for evidence, and we especially welcome moves to make the capacity market better </w:t>
      </w:r>
      <w:r w:rsidR="00B01330" w:rsidRPr="006616E2">
        <w:rPr>
          <w:rFonts w:ascii="Open Sans" w:eastAsia="Times New Roman" w:hAnsi="Open Sans" w:cs="Open Sans"/>
          <w:sz w:val="20"/>
          <w:szCs w:val="20"/>
          <w:lang w:eastAsia="en-GB"/>
        </w:rPr>
        <w:t>aligned</w:t>
      </w:r>
      <w:r w:rsidRPr="006616E2">
        <w:rPr>
          <w:rFonts w:ascii="Open Sans" w:eastAsia="Times New Roman" w:hAnsi="Open Sans" w:cs="Open Sans"/>
          <w:sz w:val="20"/>
          <w:szCs w:val="20"/>
          <w:lang w:eastAsia="en-GB"/>
        </w:rPr>
        <w:t xml:space="preserve"> with the UK’s carbon budgets and decarbonisation agenda.</w:t>
      </w:r>
      <w:r w:rsidR="00B01330" w:rsidRPr="006616E2">
        <w:rPr>
          <w:rFonts w:ascii="Open Sans" w:eastAsia="Times New Roman" w:hAnsi="Open Sans" w:cs="Open Sans"/>
          <w:sz w:val="20"/>
          <w:szCs w:val="20"/>
          <w:lang w:eastAsia="en-GB"/>
        </w:rPr>
        <w:t xml:space="preserve"> Low carbon CMUs should be </w:t>
      </w:r>
      <w:r w:rsidR="004F0FDA" w:rsidRPr="006616E2">
        <w:rPr>
          <w:rFonts w:ascii="Open Sans" w:eastAsia="Times New Roman" w:hAnsi="Open Sans" w:cs="Open Sans"/>
          <w:sz w:val="20"/>
          <w:szCs w:val="20"/>
          <w:lang w:eastAsia="en-GB"/>
        </w:rPr>
        <w:t>prioritised</w:t>
      </w:r>
      <w:r w:rsidR="00B01330" w:rsidRPr="006616E2">
        <w:rPr>
          <w:rFonts w:ascii="Open Sans" w:eastAsia="Times New Roman" w:hAnsi="Open Sans" w:cs="Open Sans"/>
          <w:sz w:val="20"/>
          <w:szCs w:val="20"/>
          <w:lang w:eastAsia="en-GB"/>
        </w:rPr>
        <w:t xml:space="preserve"> in futuer auctions. </w:t>
      </w:r>
    </w:p>
    <w:p w14:paraId="3DF3583B" w14:textId="77777777" w:rsidR="00B01330" w:rsidRPr="006616E2" w:rsidRDefault="00B01330" w:rsidP="00A85F84">
      <w:pPr>
        <w:spacing w:after="0" w:line="240" w:lineRule="auto"/>
        <w:rPr>
          <w:rFonts w:ascii="Open Sans" w:eastAsia="Times New Roman" w:hAnsi="Open Sans" w:cs="Open Sans"/>
          <w:sz w:val="20"/>
          <w:szCs w:val="20"/>
          <w:lang w:eastAsia="en-GB"/>
        </w:rPr>
      </w:pPr>
    </w:p>
    <w:p w14:paraId="17F25998" w14:textId="3B8CA0A8" w:rsidR="00A85F84" w:rsidRPr="006616E2" w:rsidRDefault="00A85F84" w:rsidP="00A85F84">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Further specific concerns include:</w:t>
      </w:r>
    </w:p>
    <w:p w14:paraId="61B203A0" w14:textId="05420A37" w:rsidR="00A85F84" w:rsidRPr="006616E2" w:rsidRDefault="00A85F84" w:rsidP="00A85F84">
      <w:pPr>
        <w:spacing w:after="0" w:line="240" w:lineRule="auto"/>
        <w:rPr>
          <w:rFonts w:ascii="Open Sans" w:eastAsia="Times New Roman" w:hAnsi="Open Sans" w:cs="Open Sans"/>
          <w:sz w:val="20"/>
          <w:szCs w:val="20"/>
          <w:lang w:eastAsia="en-GB"/>
        </w:rPr>
      </w:pPr>
    </w:p>
    <w:p w14:paraId="4B3A5308" w14:textId="0B68C283" w:rsidR="00A85F84" w:rsidRPr="006616E2" w:rsidRDefault="00A85F84" w:rsidP="00A85F84">
      <w:pPr>
        <w:pStyle w:val="ListParagraph"/>
        <w:numPr>
          <w:ilvl w:val="0"/>
          <w:numId w:val="4"/>
        </w:num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As currently designed, the CM does not incentivise flexibility or consider other system needs that longer-duration storage can address (</w:t>
      </w:r>
      <w:proofErr w:type="gramStart"/>
      <w:r w:rsidRPr="006616E2">
        <w:rPr>
          <w:rFonts w:ascii="Open Sans" w:eastAsia="Times New Roman" w:hAnsi="Open Sans" w:cs="Open Sans"/>
          <w:sz w:val="20"/>
          <w:szCs w:val="20"/>
          <w:lang w:eastAsia="en-GB"/>
        </w:rPr>
        <w:t>e.g.</w:t>
      </w:r>
      <w:proofErr w:type="gramEnd"/>
      <w:r w:rsidRPr="006616E2">
        <w:rPr>
          <w:rFonts w:ascii="Open Sans" w:eastAsia="Times New Roman" w:hAnsi="Open Sans" w:cs="Open Sans"/>
          <w:sz w:val="20"/>
          <w:szCs w:val="20"/>
          <w:lang w:eastAsia="en-GB"/>
        </w:rPr>
        <w:t xml:space="preserve"> ancillary services). This should be examined so </w:t>
      </w:r>
      <w:r w:rsidR="00B01330" w:rsidRPr="006616E2">
        <w:rPr>
          <w:rFonts w:ascii="Open Sans" w:eastAsia="Times New Roman" w:hAnsi="Open Sans" w:cs="Open Sans"/>
          <w:sz w:val="20"/>
          <w:szCs w:val="20"/>
          <w:lang w:eastAsia="en-GB"/>
        </w:rPr>
        <w:t>that sufficient</w:t>
      </w:r>
      <w:r w:rsidRPr="006616E2">
        <w:rPr>
          <w:rFonts w:ascii="Open Sans" w:eastAsia="Times New Roman" w:hAnsi="Open Sans" w:cs="Open Sans"/>
          <w:sz w:val="20"/>
          <w:szCs w:val="20"/>
          <w:lang w:eastAsia="en-GB"/>
        </w:rPr>
        <w:t xml:space="preserve"> revenue</w:t>
      </w:r>
      <w:r w:rsidR="00B01330" w:rsidRPr="006616E2">
        <w:rPr>
          <w:rFonts w:ascii="Open Sans" w:eastAsia="Times New Roman" w:hAnsi="Open Sans" w:cs="Open Sans"/>
          <w:sz w:val="20"/>
          <w:szCs w:val="20"/>
          <w:lang w:eastAsia="en-GB"/>
        </w:rPr>
        <w:t xml:space="preserve">s are delivered in order that </w:t>
      </w:r>
      <w:r w:rsidRPr="006616E2">
        <w:rPr>
          <w:rFonts w:ascii="Open Sans" w:eastAsia="Times New Roman" w:hAnsi="Open Sans" w:cs="Open Sans"/>
          <w:sz w:val="20"/>
          <w:szCs w:val="20"/>
          <w:lang w:eastAsia="en-GB"/>
        </w:rPr>
        <w:t>capital-intensive longer-duration energy storage projects</w:t>
      </w:r>
      <w:r w:rsidR="00B01330" w:rsidRPr="006616E2">
        <w:rPr>
          <w:rFonts w:ascii="Open Sans" w:eastAsia="Times New Roman" w:hAnsi="Open Sans" w:cs="Open Sans"/>
          <w:sz w:val="20"/>
          <w:szCs w:val="20"/>
          <w:lang w:eastAsia="en-GB"/>
        </w:rPr>
        <w:t xml:space="preserve"> can be made bankable for investors. </w:t>
      </w:r>
    </w:p>
    <w:p w14:paraId="518E8179" w14:textId="4034C04E" w:rsidR="00A85F84" w:rsidRPr="006616E2" w:rsidRDefault="00B01330" w:rsidP="00A85F84">
      <w:pPr>
        <w:pStyle w:val="ListParagraph"/>
        <w:numPr>
          <w:ilvl w:val="0"/>
          <w:numId w:val="4"/>
        </w:num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current CM design does not encourage </w:t>
      </w:r>
      <w:r w:rsidR="00A85F84" w:rsidRPr="006616E2">
        <w:rPr>
          <w:rFonts w:ascii="Open Sans" w:eastAsia="Times New Roman" w:hAnsi="Open Sans" w:cs="Open Sans"/>
          <w:sz w:val="20"/>
          <w:szCs w:val="20"/>
          <w:lang w:eastAsia="en-GB"/>
        </w:rPr>
        <w:t>the co-location of renewables with energy storage. This should be promoted through the CM mechanism as an effective way to deliver low carbon CMUs</w:t>
      </w:r>
      <w:r w:rsidRPr="006616E2">
        <w:rPr>
          <w:rFonts w:ascii="Open Sans" w:eastAsia="Times New Roman" w:hAnsi="Open Sans" w:cs="Open Sans"/>
          <w:sz w:val="20"/>
          <w:szCs w:val="20"/>
          <w:lang w:eastAsia="en-GB"/>
        </w:rPr>
        <w:t>.</w:t>
      </w:r>
    </w:p>
    <w:p w14:paraId="24976552" w14:textId="0868FC12" w:rsidR="00B01330" w:rsidRPr="006616E2" w:rsidRDefault="00B01330" w:rsidP="00B01330">
      <w:pPr>
        <w:pStyle w:val="ListParagraph"/>
        <w:numPr>
          <w:ilvl w:val="0"/>
          <w:numId w:val="4"/>
        </w:num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As recognised within the consultation</w:t>
      </w:r>
      <w:r w:rsidR="00CD35C8">
        <w:rPr>
          <w:rFonts w:ascii="Open Sans" w:eastAsia="Times New Roman" w:hAnsi="Open Sans" w:cs="Open Sans"/>
          <w:sz w:val="20"/>
          <w:szCs w:val="20"/>
          <w:lang w:eastAsia="en-GB"/>
        </w:rPr>
        <w:t>,</w:t>
      </w:r>
      <w:r w:rsidRPr="006616E2">
        <w:rPr>
          <w:rFonts w:ascii="Open Sans" w:eastAsia="Times New Roman" w:hAnsi="Open Sans" w:cs="Open Sans"/>
          <w:sz w:val="20"/>
          <w:szCs w:val="20"/>
          <w:lang w:eastAsia="en-GB"/>
        </w:rPr>
        <w:t xml:space="preserve"> the current CM isn’t suitable for new build technologies with construction time more than four years (T-4), such as Pumped Hydro. This needs to be reviewed through more flexible contract arrangements.</w:t>
      </w:r>
    </w:p>
    <w:p w14:paraId="080079B1" w14:textId="33750ECA" w:rsidR="00B01330" w:rsidRPr="006616E2" w:rsidRDefault="00B01330" w:rsidP="00B01330">
      <w:pPr>
        <w:pStyle w:val="ListParagraph"/>
        <w:numPr>
          <w:ilvl w:val="0"/>
          <w:numId w:val="4"/>
        </w:num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Current arrangements do not make suitable allowances for lead time constraints that are outside </w:t>
      </w:r>
      <w:r w:rsidR="00CD35C8">
        <w:rPr>
          <w:rFonts w:ascii="Open Sans" w:eastAsia="Times New Roman" w:hAnsi="Open Sans" w:cs="Open Sans"/>
          <w:sz w:val="20"/>
          <w:szCs w:val="20"/>
          <w:lang w:eastAsia="en-GB"/>
        </w:rPr>
        <w:t>of</w:t>
      </w:r>
      <w:r w:rsidRPr="006616E2">
        <w:rPr>
          <w:rFonts w:ascii="Open Sans" w:eastAsia="Times New Roman" w:hAnsi="Open Sans" w:cs="Open Sans"/>
          <w:sz w:val="20"/>
          <w:szCs w:val="20"/>
          <w:lang w:eastAsia="en-GB"/>
        </w:rPr>
        <w:t xml:space="preserve"> the developer’s control, in particular securing grid connections which can take many years through no fault of the developer. </w:t>
      </w:r>
    </w:p>
    <w:p w14:paraId="32366FEA" w14:textId="77777777" w:rsidR="00AB4288" w:rsidRPr="006616E2" w:rsidRDefault="00AB4288" w:rsidP="00133F05">
      <w:pPr>
        <w:spacing w:after="0" w:line="240" w:lineRule="auto"/>
        <w:rPr>
          <w:rFonts w:ascii="Open Sans" w:eastAsia="Times New Roman" w:hAnsi="Open Sans" w:cs="Open Sans"/>
          <w:b/>
          <w:bCs/>
          <w:sz w:val="20"/>
          <w:szCs w:val="20"/>
          <w:lang w:eastAsia="en-GB"/>
        </w:rPr>
      </w:pPr>
    </w:p>
    <w:p w14:paraId="64DC9E0A" w14:textId="6D702737"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30 What are your initial views on the Capacity Market as a continuing mechanism to address system adequacy? Is there a need for continued market intervention by the government to address electricity security? And should the Capacity Market (or alternative electricity security mechanism) also address wider system services such as flexibility and stability? </w:t>
      </w:r>
    </w:p>
    <w:p w14:paraId="029D6690" w14:textId="6B746645" w:rsidR="00AB4288" w:rsidRPr="006616E2" w:rsidRDefault="00AB4288" w:rsidP="00133F05">
      <w:pPr>
        <w:spacing w:after="0" w:line="240" w:lineRule="auto"/>
        <w:rPr>
          <w:rFonts w:ascii="Open Sans" w:eastAsia="Times New Roman" w:hAnsi="Open Sans" w:cs="Open Sans"/>
          <w:b/>
          <w:bCs/>
          <w:sz w:val="20"/>
          <w:szCs w:val="20"/>
          <w:lang w:eastAsia="en-GB"/>
        </w:rPr>
      </w:pPr>
    </w:p>
    <w:p w14:paraId="6B845B9A" w14:textId="532B50B9" w:rsidR="00AB4288" w:rsidRPr="006616E2" w:rsidRDefault="00B01330" w:rsidP="004F0FDA">
      <w:pPr>
        <w:spacing w:after="0" w:line="240" w:lineRule="auto"/>
        <w:rPr>
          <w:rFonts w:ascii="Open Sans" w:eastAsia="Times New Roman" w:hAnsi="Open Sans" w:cs="Open Sans"/>
          <w:sz w:val="20"/>
          <w:szCs w:val="20"/>
          <w:lang w:eastAsia="en-GB"/>
        </w:rPr>
      </w:pPr>
      <w:r w:rsidRPr="006616E2">
        <w:rPr>
          <w:rFonts w:ascii="Open Sans" w:eastAsia="Times New Roman" w:hAnsi="Open Sans" w:cs="Open Sans"/>
          <w:sz w:val="20"/>
          <w:szCs w:val="20"/>
          <w:lang w:eastAsia="en-GB"/>
        </w:rPr>
        <w:t xml:space="preserve">The REA see an enduring role for the CM in helping to address energy security, however such efforts must also be aligned to the UK’s carbon budgets and net zero ambitions. </w:t>
      </w:r>
      <w:r w:rsidR="008332B2" w:rsidRPr="006616E2">
        <w:rPr>
          <w:rFonts w:ascii="Open Sans" w:eastAsia="Times New Roman" w:hAnsi="Open Sans" w:cs="Open Sans"/>
          <w:sz w:val="20"/>
          <w:szCs w:val="20"/>
          <w:lang w:eastAsia="en-GB"/>
        </w:rPr>
        <w:t>We</w:t>
      </w:r>
      <w:r w:rsidRPr="006616E2">
        <w:rPr>
          <w:rFonts w:ascii="Open Sans" w:eastAsia="Times New Roman" w:hAnsi="Open Sans" w:cs="Open Sans"/>
          <w:sz w:val="20"/>
          <w:szCs w:val="20"/>
          <w:lang w:eastAsia="en-GB"/>
        </w:rPr>
        <w:t xml:space="preserve"> note that</w:t>
      </w:r>
      <w:r w:rsidR="00CD35C8">
        <w:rPr>
          <w:rFonts w:ascii="Open Sans" w:eastAsia="Times New Roman" w:hAnsi="Open Sans" w:cs="Open Sans"/>
          <w:sz w:val="20"/>
          <w:szCs w:val="20"/>
          <w:lang w:eastAsia="en-GB"/>
        </w:rPr>
        <w:t xml:space="preserve"> </w:t>
      </w:r>
      <w:r w:rsidR="00CD35C8">
        <w:rPr>
          <w:rFonts w:ascii="Open Sans" w:eastAsia="Times New Roman" w:hAnsi="Open Sans" w:cs="Open Sans"/>
          <w:sz w:val="20"/>
          <w:szCs w:val="20"/>
          <w:lang w:eastAsia="en-GB"/>
        </w:rPr>
        <w:lastRenderedPageBreak/>
        <w:t>t</w:t>
      </w:r>
      <w:r w:rsidR="00AB4288" w:rsidRPr="006616E2">
        <w:rPr>
          <w:rFonts w:ascii="Open Sans" w:eastAsia="Times New Roman" w:hAnsi="Open Sans" w:cs="Open Sans"/>
          <w:sz w:val="20"/>
          <w:szCs w:val="20"/>
          <w:lang w:eastAsia="en-GB"/>
        </w:rPr>
        <w:t xml:space="preserve">he capacity market </w:t>
      </w:r>
      <w:r w:rsidR="008332B2">
        <w:rPr>
          <w:rFonts w:ascii="Open Sans" w:eastAsia="Times New Roman" w:hAnsi="Open Sans" w:cs="Open Sans"/>
          <w:sz w:val="20"/>
          <w:szCs w:val="20"/>
          <w:lang w:eastAsia="en-GB"/>
        </w:rPr>
        <w:t>does also need to recognise</w:t>
      </w:r>
      <w:r w:rsidR="008332B2" w:rsidRPr="006616E2">
        <w:rPr>
          <w:rFonts w:ascii="Open Sans" w:eastAsia="Times New Roman" w:hAnsi="Open Sans" w:cs="Open Sans"/>
          <w:sz w:val="20"/>
          <w:szCs w:val="20"/>
          <w:lang w:eastAsia="en-GB"/>
        </w:rPr>
        <w:t xml:space="preserve"> a</w:t>
      </w:r>
      <w:r w:rsidR="00AB4288" w:rsidRPr="006616E2">
        <w:rPr>
          <w:rFonts w:ascii="Open Sans" w:eastAsia="Times New Roman" w:hAnsi="Open Sans" w:cs="Open Sans"/>
          <w:sz w:val="20"/>
          <w:szCs w:val="20"/>
          <w:lang w:eastAsia="en-GB"/>
        </w:rPr>
        <w:t xml:space="preserve"> wide range of </w:t>
      </w:r>
      <w:r w:rsidRPr="006616E2">
        <w:rPr>
          <w:rFonts w:ascii="Open Sans" w:eastAsia="Times New Roman" w:hAnsi="Open Sans" w:cs="Open Sans"/>
          <w:sz w:val="20"/>
          <w:szCs w:val="20"/>
          <w:lang w:eastAsia="en-GB"/>
        </w:rPr>
        <w:t xml:space="preserve">flexibility </w:t>
      </w:r>
      <w:r w:rsidR="00AB4288" w:rsidRPr="006616E2">
        <w:rPr>
          <w:rFonts w:ascii="Open Sans" w:eastAsia="Times New Roman" w:hAnsi="Open Sans" w:cs="Open Sans"/>
          <w:sz w:val="20"/>
          <w:szCs w:val="20"/>
          <w:lang w:eastAsia="en-GB"/>
        </w:rPr>
        <w:t xml:space="preserve">services </w:t>
      </w:r>
      <w:r w:rsidR="00D76328" w:rsidRPr="006616E2">
        <w:rPr>
          <w:rFonts w:ascii="Open Sans" w:eastAsia="Times New Roman" w:hAnsi="Open Sans" w:cs="Open Sans"/>
          <w:sz w:val="20"/>
          <w:szCs w:val="20"/>
          <w:lang w:eastAsia="en-GB"/>
        </w:rPr>
        <w:t>that</w:t>
      </w:r>
      <w:r w:rsidR="00AB4288" w:rsidRPr="006616E2">
        <w:rPr>
          <w:rFonts w:ascii="Open Sans" w:eastAsia="Times New Roman" w:hAnsi="Open Sans" w:cs="Open Sans"/>
          <w:sz w:val="20"/>
          <w:szCs w:val="20"/>
          <w:lang w:eastAsia="en-GB"/>
        </w:rPr>
        <w:t xml:space="preserve"> can be offered by renewable </w:t>
      </w:r>
      <w:r w:rsidR="008332B2">
        <w:rPr>
          <w:rFonts w:ascii="Open Sans" w:eastAsia="Times New Roman" w:hAnsi="Open Sans" w:cs="Open Sans"/>
          <w:sz w:val="20"/>
          <w:szCs w:val="20"/>
          <w:lang w:eastAsia="en-GB"/>
        </w:rPr>
        <w:t xml:space="preserve">and clean energy </w:t>
      </w:r>
      <w:r w:rsidR="00AB4288" w:rsidRPr="006616E2">
        <w:rPr>
          <w:rFonts w:ascii="Open Sans" w:eastAsia="Times New Roman" w:hAnsi="Open Sans" w:cs="Open Sans"/>
          <w:sz w:val="20"/>
          <w:szCs w:val="20"/>
          <w:lang w:eastAsia="en-GB"/>
        </w:rPr>
        <w:t xml:space="preserve">technologies. The larger role for flexibility, including </w:t>
      </w:r>
      <w:r w:rsidR="008E1EE5" w:rsidRPr="006616E2">
        <w:rPr>
          <w:rFonts w:ascii="Open Sans" w:eastAsia="Times New Roman" w:hAnsi="Open Sans" w:cs="Open Sans"/>
          <w:sz w:val="20"/>
          <w:szCs w:val="20"/>
          <w:lang w:eastAsia="en-GB"/>
        </w:rPr>
        <w:t>distributed storage</w:t>
      </w:r>
      <w:r w:rsidR="00150BD6" w:rsidRPr="006616E2">
        <w:rPr>
          <w:rFonts w:ascii="Open Sans" w:eastAsia="Times New Roman" w:hAnsi="Open Sans" w:cs="Open Sans"/>
          <w:sz w:val="20"/>
          <w:szCs w:val="20"/>
          <w:lang w:eastAsia="en-GB"/>
        </w:rPr>
        <w:t xml:space="preserve"> needs central coordination in order that demand is </w:t>
      </w:r>
      <w:r w:rsidR="008332B2" w:rsidRPr="006616E2">
        <w:rPr>
          <w:rFonts w:ascii="Open Sans" w:eastAsia="Times New Roman" w:hAnsi="Open Sans" w:cs="Open Sans"/>
          <w:sz w:val="20"/>
          <w:szCs w:val="20"/>
          <w:lang w:eastAsia="en-GB"/>
        </w:rPr>
        <w:t>met,</w:t>
      </w:r>
      <w:r w:rsidR="00150BD6" w:rsidRPr="006616E2">
        <w:rPr>
          <w:rFonts w:ascii="Open Sans" w:eastAsia="Times New Roman" w:hAnsi="Open Sans" w:cs="Open Sans"/>
          <w:sz w:val="20"/>
          <w:szCs w:val="20"/>
          <w:lang w:eastAsia="en-GB"/>
        </w:rPr>
        <w:t xml:space="preserve"> and consumer interests are the priority.</w:t>
      </w:r>
    </w:p>
    <w:p w14:paraId="087CC7B0" w14:textId="77777777" w:rsidR="00133F05" w:rsidRPr="006616E2" w:rsidRDefault="00133F05" w:rsidP="00133F05">
      <w:pPr>
        <w:spacing w:after="0" w:line="240" w:lineRule="auto"/>
        <w:rPr>
          <w:rFonts w:ascii="Open Sans" w:eastAsia="Times New Roman" w:hAnsi="Open Sans" w:cs="Open Sans"/>
          <w:b/>
          <w:bCs/>
          <w:sz w:val="20"/>
          <w:szCs w:val="20"/>
          <w:lang w:eastAsia="en-GB"/>
        </w:rPr>
      </w:pPr>
    </w:p>
    <w:p w14:paraId="58D04344" w14:textId="0FCC5D3C"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31 Are </w:t>
      </w:r>
      <w:proofErr w:type="gramStart"/>
      <w:r w:rsidRPr="006616E2">
        <w:rPr>
          <w:rFonts w:ascii="Open Sans" w:eastAsia="Times New Roman" w:hAnsi="Open Sans" w:cs="Open Sans"/>
          <w:b/>
          <w:bCs/>
          <w:sz w:val="20"/>
          <w:szCs w:val="20"/>
          <w:lang w:eastAsia="en-GB"/>
        </w:rPr>
        <w:t>there</w:t>
      </w:r>
      <w:proofErr w:type="gramEnd"/>
      <w:r w:rsidRPr="006616E2">
        <w:rPr>
          <w:rFonts w:ascii="Open Sans" w:eastAsia="Times New Roman" w:hAnsi="Open Sans" w:cs="Open Sans"/>
          <w:b/>
          <w:bCs/>
          <w:sz w:val="20"/>
          <w:szCs w:val="20"/>
          <w:lang w:eastAsia="en-GB"/>
        </w:rPr>
        <w:t xml:space="preserve"> alternatives to the Capacity Market that may meet our current or future electricity security needs better, that we should consider? Please provide evidence to support your views. </w:t>
      </w:r>
    </w:p>
    <w:p w14:paraId="2E2173E8" w14:textId="54684C18" w:rsidR="00AB4288" w:rsidRPr="006616E2" w:rsidRDefault="00AB4288" w:rsidP="00133F05">
      <w:pPr>
        <w:spacing w:after="0" w:line="240" w:lineRule="auto"/>
        <w:rPr>
          <w:rFonts w:ascii="Open Sans" w:eastAsia="Times New Roman" w:hAnsi="Open Sans" w:cs="Open Sans"/>
          <w:b/>
          <w:bCs/>
          <w:sz w:val="20"/>
          <w:szCs w:val="20"/>
          <w:lang w:eastAsia="en-GB"/>
        </w:rPr>
      </w:pPr>
    </w:p>
    <w:p w14:paraId="43DC12FC" w14:textId="39E297B2" w:rsidR="008332B2" w:rsidRPr="00F25F79" w:rsidRDefault="008332B2" w:rsidP="008332B2">
      <w:pPr>
        <w:rPr>
          <w:rFonts w:ascii="Open Sans" w:hAnsi="Open Sans" w:cs="Open Sans"/>
        </w:rPr>
      </w:pPr>
      <w:r w:rsidRPr="00F25F79">
        <w:rPr>
          <w:rFonts w:ascii="Open Sans" w:hAnsi="Open Sans" w:cs="Open Sans"/>
        </w:rPr>
        <w:t xml:space="preserve">All the identified reforms </w:t>
      </w:r>
      <w:r>
        <w:rPr>
          <w:rFonts w:ascii="Open Sans" w:hAnsi="Open Sans" w:cs="Open Sans"/>
        </w:rPr>
        <w:t xml:space="preserve">to the CM </w:t>
      </w:r>
      <w:r w:rsidRPr="00F25F79">
        <w:rPr>
          <w:rFonts w:ascii="Open Sans" w:hAnsi="Open Sans" w:cs="Open Sans"/>
        </w:rPr>
        <w:t xml:space="preserve">will be beneficial, but none will provide a route to market strong enough by themselves to deliver </w:t>
      </w:r>
      <w:r>
        <w:rPr>
          <w:rFonts w:ascii="Open Sans" w:hAnsi="Open Sans" w:cs="Open Sans"/>
        </w:rPr>
        <w:t xml:space="preserve">longer duration energy storage </w:t>
      </w:r>
      <w:r w:rsidRPr="00F25F79">
        <w:rPr>
          <w:rFonts w:ascii="Open Sans" w:hAnsi="Open Sans" w:cs="Open Sans"/>
        </w:rPr>
        <w:t xml:space="preserve">projects and make them financeable, as they do not ultimately resolve the market-wide issue of revenue certainty. </w:t>
      </w:r>
      <w:r w:rsidR="0067617F">
        <w:rPr>
          <w:rFonts w:ascii="Open Sans" w:hAnsi="Open Sans" w:cs="Open Sans"/>
        </w:rPr>
        <w:t>T</w:t>
      </w:r>
      <w:r w:rsidRPr="00F25F79">
        <w:rPr>
          <w:rFonts w:ascii="Open Sans" w:hAnsi="Open Sans" w:cs="Open Sans"/>
        </w:rPr>
        <w:t>he capacity market is a small</w:t>
      </w:r>
      <w:r w:rsidR="0067617F">
        <w:rPr>
          <w:rFonts w:ascii="Open Sans" w:hAnsi="Open Sans" w:cs="Open Sans"/>
        </w:rPr>
        <w:t xml:space="preserve">, but important, </w:t>
      </w:r>
      <w:r w:rsidR="0067617F" w:rsidRPr="00F25F79">
        <w:rPr>
          <w:rFonts w:ascii="Open Sans" w:hAnsi="Open Sans" w:cs="Open Sans"/>
        </w:rPr>
        <w:t>component</w:t>
      </w:r>
      <w:r w:rsidRPr="00F25F79">
        <w:rPr>
          <w:rFonts w:ascii="Open Sans" w:hAnsi="Open Sans" w:cs="Open Sans"/>
        </w:rPr>
        <w:t xml:space="preserve"> of the potential revenue stack required for a bankable project, meaning that reforms to address wholesale market revenues and ancillary services are still needed. </w:t>
      </w:r>
    </w:p>
    <w:p w14:paraId="5DF7E049" w14:textId="40AD7274" w:rsidR="00133F05" w:rsidRPr="008332B2" w:rsidRDefault="008332B2" w:rsidP="0067617F">
      <w:pPr>
        <w:rPr>
          <w:rFonts w:ascii="Open Sans" w:eastAsia="Times New Roman" w:hAnsi="Open Sans" w:cs="Open Sans"/>
          <w:sz w:val="20"/>
          <w:szCs w:val="20"/>
          <w:lang w:eastAsia="en-GB"/>
        </w:rPr>
      </w:pPr>
      <w:r w:rsidRPr="00F25F79">
        <w:rPr>
          <w:rFonts w:ascii="Open Sans" w:hAnsi="Open Sans" w:cs="Open Sans"/>
        </w:rPr>
        <w:t xml:space="preserve">As such introduction of a dedicated support mechanism for </w:t>
      </w:r>
      <w:r w:rsidR="0067617F">
        <w:rPr>
          <w:rFonts w:ascii="Open Sans" w:hAnsi="Open Sans" w:cs="Open Sans"/>
        </w:rPr>
        <w:t>longer duration energy storage</w:t>
      </w:r>
      <w:r w:rsidRPr="00F25F79">
        <w:rPr>
          <w:rFonts w:ascii="Open Sans" w:hAnsi="Open Sans" w:cs="Open Sans"/>
        </w:rPr>
        <w:t xml:space="preserve"> is required in addition to the reforms identified within the call for evidence. </w:t>
      </w:r>
      <w:r w:rsidR="0067617F">
        <w:rPr>
          <w:rFonts w:ascii="Open Sans" w:hAnsi="Open Sans" w:cs="Open Sans"/>
        </w:rPr>
        <w:t xml:space="preserve">The REA support the development of </w:t>
      </w:r>
      <w:proofErr w:type="gramStart"/>
      <w:r w:rsidR="0067617F">
        <w:rPr>
          <w:rFonts w:ascii="Open Sans" w:hAnsi="Open Sans" w:cs="Open Sans"/>
        </w:rPr>
        <w:t>a</w:t>
      </w:r>
      <w:proofErr w:type="gramEnd"/>
      <w:r w:rsidR="0067617F">
        <w:rPr>
          <w:rFonts w:ascii="Open Sans" w:hAnsi="Open Sans" w:cs="Open Sans"/>
        </w:rPr>
        <w:t xml:space="preserve"> income floor to see such projects delivered. </w:t>
      </w:r>
    </w:p>
    <w:p w14:paraId="603B99CE" w14:textId="77777777" w:rsidR="008332B2" w:rsidRPr="006616E2" w:rsidRDefault="008332B2" w:rsidP="00133F05">
      <w:pPr>
        <w:spacing w:after="0" w:line="240" w:lineRule="auto"/>
        <w:rPr>
          <w:rFonts w:ascii="Open Sans" w:eastAsia="Times New Roman" w:hAnsi="Open Sans" w:cs="Open Sans"/>
          <w:b/>
          <w:bCs/>
          <w:sz w:val="20"/>
          <w:szCs w:val="20"/>
          <w:lang w:eastAsia="en-GB"/>
        </w:rPr>
      </w:pPr>
    </w:p>
    <w:p w14:paraId="405651B1" w14:textId="71C8D8F6"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t xml:space="preserve">Question 32 Should we continue to enable cross-border participation in the Capacity Market? If not, why not? In the absence of cross-border participation, how should target capacity calculations be altered to reflect the contribution of cross-border flows to security of supply? </w:t>
      </w:r>
    </w:p>
    <w:p w14:paraId="0C94CBA1" w14:textId="435492D0" w:rsidR="00BC4DB5" w:rsidRPr="006616E2" w:rsidRDefault="00BC4DB5" w:rsidP="00133F05">
      <w:pPr>
        <w:spacing w:after="0" w:line="240" w:lineRule="auto"/>
        <w:rPr>
          <w:rFonts w:ascii="Open Sans" w:eastAsia="Times New Roman" w:hAnsi="Open Sans" w:cs="Open Sans"/>
          <w:b/>
          <w:bCs/>
          <w:sz w:val="20"/>
          <w:szCs w:val="20"/>
          <w:lang w:eastAsia="en-GB"/>
        </w:rPr>
      </w:pPr>
    </w:p>
    <w:p w14:paraId="54D9CB99" w14:textId="0FE2E9DF" w:rsidR="00FF2DAA" w:rsidRPr="008332B2" w:rsidRDefault="0067617F" w:rsidP="008332B2">
      <w:pPr>
        <w:spacing w:after="0" w:line="240" w:lineRule="auto"/>
        <w:rPr>
          <w:rFonts w:ascii="Open Sans" w:eastAsia="Times New Roman" w:hAnsi="Open Sans" w:cs="Open Sans"/>
          <w:i/>
          <w:iCs/>
          <w:sz w:val="20"/>
          <w:szCs w:val="20"/>
          <w:lang w:eastAsia="en-GB"/>
        </w:rPr>
      </w:pPr>
      <w:r>
        <w:rPr>
          <w:rFonts w:ascii="Open Sans" w:eastAsia="Times New Roman" w:hAnsi="Open Sans" w:cs="Open Sans"/>
          <w:i/>
          <w:iCs/>
          <w:sz w:val="20"/>
          <w:szCs w:val="20"/>
          <w:lang w:eastAsia="en-GB"/>
        </w:rPr>
        <w:t>Question 32 and 33 are answered together</w:t>
      </w:r>
    </w:p>
    <w:p w14:paraId="7A4D36FC" w14:textId="48400D24" w:rsidR="00133F05" w:rsidRPr="006616E2" w:rsidRDefault="00133F05" w:rsidP="00133F05">
      <w:pPr>
        <w:spacing w:after="0" w:line="240" w:lineRule="auto"/>
        <w:rPr>
          <w:rFonts w:ascii="Open Sans" w:eastAsia="Times New Roman" w:hAnsi="Open Sans" w:cs="Open Sans"/>
          <w:b/>
          <w:bCs/>
          <w:sz w:val="20"/>
          <w:szCs w:val="20"/>
          <w:lang w:eastAsia="en-GB"/>
        </w:rPr>
      </w:pPr>
      <w:r w:rsidRPr="006616E2">
        <w:rPr>
          <w:rFonts w:ascii="Open Sans" w:eastAsia="Times New Roman" w:hAnsi="Open Sans" w:cs="Open Sans"/>
          <w:b/>
          <w:bCs/>
          <w:sz w:val="20"/>
          <w:szCs w:val="20"/>
          <w:lang w:eastAsia="en-GB"/>
        </w:rPr>
        <w:br/>
        <w:t>Question 33 If the CM continues to enable cross-border participation, what should be the preferred approach to cross-border flows – enabling direct participation of foreign generation, or continue with the existing indirect cross-border participation model (via interconnectors)? Please provide evidence to support your views</w:t>
      </w:r>
    </w:p>
    <w:p w14:paraId="67F0FDE1" w14:textId="75F78EB6" w:rsidR="00E74C17" w:rsidRPr="006616E2" w:rsidRDefault="00E74C17" w:rsidP="0067617F">
      <w:pPr>
        <w:pStyle w:val="ListParagraph"/>
        <w:spacing w:after="0" w:line="240" w:lineRule="auto"/>
        <w:rPr>
          <w:rFonts w:ascii="Open Sans" w:hAnsi="Open Sans" w:cs="Open Sans"/>
          <w:b/>
          <w:bCs/>
          <w:sz w:val="20"/>
          <w:szCs w:val="20"/>
        </w:rPr>
      </w:pPr>
    </w:p>
    <w:p w14:paraId="571365BF" w14:textId="1FD7216E" w:rsidR="00AA0DBB" w:rsidRPr="0067617F" w:rsidRDefault="00AA0DBB" w:rsidP="00FF2DAA">
      <w:pPr>
        <w:spacing w:after="0" w:line="240" w:lineRule="auto"/>
        <w:rPr>
          <w:rFonts w:ascii="Open Sans" w:hAnsi="Open Sans" w:cs="Open Sans"/>
          <w:sz w:val="20"/>
          <w:szCs w:val="20"/>
        </w:rPr>
      </w:pPr>
      <w:r w:rsidRPr="0067617F">
        <w:rPr>
          <w:rFonts w:ascii="Open Sans" w:hAnsi="Open Sans" w:cs="Open Sans"/>
          <w:sz w:val="20"/>
          <w:szCs w:val="20"/>
        </w:rPr>
        <w:t>While the REA recognises the role of enabling cross-border participation via interconnectors, we reiterate that the focus of the CM should be on developing domestic low carbon capacity, especially storage. Since the departure of the UK from the EU, the importance of domestic capacity has become yet more stark. Our change in relationship with Europe means that the UK has become a</w:t>
      </w:r>
      <w:r w:rsidR="0067617F" w:rsidRPr="0067617F">
        <w:rPr>
          <w:rFonts w:ascii="Open Sans" w:hAnsi="Open Sans" w:cs="Open Sans"/>
          <w:sz w:val="20"/>
          <w:szCs w:val="20"/>
        </w:rPr>
        <w:t>n</w:t>
      </w:r>
      <w:r w:rsidRPr="0067617F">
        <w:rPr>
          <w:rFonts w:ascii="Open Sans" w:hAnsi="Open Sans" w:cs="Open Sans"/>
          <w:sz w:val="20"/>
          <w:szCs w:val="20"/>
        </w:rPr>
        <w:t xml:space="preserve"> export market for EU</w:t>
      </w:r>
      <w:r w:rsidR="0067617F" w:rsidRPr="0067617F">
        <w:rPr>
          <w:rFonts w:ascii="Open Sans" w:hAnsi="Open Sans" w:cs="Open Sans"/>
          <w:sz w:val="20"/>
          <w:szCs w:val="20"/>
        </w:rPr>
        <w:t xml:space="preserve"> power generation, a</w:t>
      </w:r>
      <w:r w:rsidRPr="0067617F">
        <w:rPr>
          <w:rFonts w:ascii="Open Sans" w:hAnsi="Open Sans" w:cs="Open Sans"/>
          <w:sz w:val="20"/>
          <w:szCs w:val="20"/>
        </w:rPr>
        <w:t xml:space="preserve">s opposed to just contributing to </w:t>
      </w:r>
      <w:r w:rsidR="0067617F" w:rsidRPr="0067617F">
        <w:rPr>
          <w:rFonts w:ascii="Open Sans" w:hAnsi="Open Sans" w:cs="Open Sans"/>
          <w:sz w:val="20"/>
          <w:szCs w:val="20"/>
        </w:rPr>
        <w:t xml:space="preserve">domestic </w:t>
      </w:r>
      <w:r w:rsidRPr="0067617F">
        <w:rPr>
          <w:rFonts w:ascii="Open Sans" w:hAnsi="Open Sans" w:cs="Open Sans"/>
          <w:sz w:val="20"/>
          <w:szCs w:val="20"/>
        </w:rPr>
        <w:t xml:space="preserve">EU market demand. Many </w:t>
      </w:r>
      <w:r w:rsidR="0067617F" w:rsidRPr="0067617F">
        <w:rPr>
          <w:rFonts w:ascii="Open Sans" w:hAnsi="Open Sans" w:cs="Open Sans"/>
          <w:sz w:val="20"/>
          <w:szCs w:val="20"/>
        </w:rPr>
        <w:t>EU</w:t>
      </w:r>
      <w:r w:rsidRPr="0067617F">
        <w:rPr>
          <w:rFonts w:ascii="Open Sans" w:hAnsi="Open Sans" w:cs="Open Sans"/>
          <w:sz w:val="20"/>
          <w:szCs w:val="20"/>
        </w:rPr>
        <w:t xml:space="preserve"> markets can expect to</w:t>
      </w:r>
      <w:r w:rsidR="0067617F" w:rsidRPr="0067617F">
        <w:rPr>
          <w:rFonts w:ascii="Open Sans" w:hAnsi="Open Sans" w:cs="Open Sans"/>
          <w:sz w:val="20"/>
          <w:szCs w:val="20"/>
        </w:rPr>
        <w:t xml:space="preserve"> also</w:t>
      </w:r>
      <w:r w:rsidRPr="0067617F">
        <w:rPr>
          <w:rFonts w:ascii="Open Sans" w:hAnsi="Open Sans" w:cs="Open Sans"/>
          <w:sz w:val="20"/>
          <w:szCs w:val="20"/>
        </w:rPr>
        <w:t xml:space="preserve"> be dependent on </w:t>
      </w:r>
      <w:r w:rsidR="0067617F" w:rsidRPr="0067617F">
        <w:rPr>
          <w:rFonts w:ascii="Open Sans" w:hAnsi="Open Sans" w:cs="Open Sans"/>
          <w:sz w:val="20"/>
          <w:szCs w:val="20"/>
        </w:rPr>
        <w:t>cross boarder trading</w:t>
      </w:r>
      <w:r w:rsidRPr="0067617F">
        <w:rPr>
          <w:rFonts w:ascii="Open Sans" w:hAnsi="Open Sans" w:cs="Open Sans"/>
          <w:sz w:val="20"/>
          <w:szCs w:val="20"/>
        </w:rPr>
        <w:t xml:space="preserve"> in moments of grid stress and will likely take priority for energy supply</w:t>
      </w:r>
      <w:r w:rsidR="0067617F" w:rsidRPr="0067617F">
        <w:rPr>
          <w:rFonts w:ascii="Open Sans" w:hAnsi="Open Sans" w:cs="Open Sans"/>
          <w:sz w:val="20"/>
          <w:szCs w:val="20"/>
        </w:rPr>
        <w:t xml:space="preserve"> over UK demand</w:t>
      </w:r>
      <w:r w:rsidRPr="0067617F">
        <w:rPr>
          <w:rFonts w:ascii="Open Sans" w:hAnsi="Open Sans" w:cs="Open Sans"/>
          <w:sz w:val="20"/>
          <w:szCs w:val="20"/>
        </w:rPr>
        <w:t xml:space="preserve">.  </w:t>
      </w:r>
      <w:r w:rsidR="0067617F" w:rsidRPr="0067617F">
        <w:rPr>
          <w:rFonts w:ascii="Open Sans" w:hAnsi="Open Sans" w:cs="Open Sans"/>
          <w:sz w:val="20"/>
          <w:szCs w:val="20"/>
        </w:rPr>
        <w:t>W</w:t>
      </w:r>
      <w:r w:rsidR="0067617F" w:rsidRPr="0067617F">
        <w:rPr>
          <w:rFonts w:ascii="Open Sans" w:hAnsi="Open Sans" w:cs="Open Sans"/>
          <w:sz w:val="20"/>
          <w:szCs w:val="20"/>
        </w:rPr>
        <w:t xml:space="preserve">hile </w:t>
      </w:r>
      <w:r w:rsidR="0067617F" w:rsidRPr="0067617F">
        <w:rPr>
          <w:rFonts w:ascii="Open Sans" w:hAnsi="Open Sans" w:cs="Open Sans"/>
          <w:sz w:val="20"/>
          <w:szCs w:val="20"/>
        </w:rPr>
        <w:t xml:space="preserve">continuing to value the role </w:t>
      </w:r>
      <w:r w:rsidR="0067617F" w:rsidRPr="0067617F">
        <w:rPr>
          <w:rFonts w:ascii="Open Sans" w:hAnsi="Open Sans" w:cs="Open Sans"/>
          <w:sz w:val="20"/>
          <w:szCs w:val="20"/>
        </w:rPr>
        <w:t xml:space="preserve">interconnectors </w:t>
      </w:r>
      <w:r w:rsidR="0067617F" w:rsidRPr="0067617F">
        <w:rPr>
          <w:rFonts w:ascii="Open Sans" w:hAnsi="Open Sans" w:cs="Open Sans"/>
          <w:sz w:val="20"/>
          <w:szCs w:val="20"/>
        </w:rPr>
        <w:t>can</w:t>
      </w:r>
      <w:r w:rsidR="0067617F" w:rsidRPr="0067617F">
        <w:rPr>
          <w:rFonts w:ascii="Open Sans" w:hAnsi="Open Sans" w:cs="Open Sans"/>
          <w:sz w:val="20"/>
          <w:szCs w:val="20"/>
        </w:rPr>
        <w:t xml:space="preserve"> play</w:t>
      </w:r>
      <w:r w:rsidR="0067617F" w:rsidRPr="0067617F">
        <w:rPr>
          <w:rFonts w:ascii="Open Sans" w:hAnsi="Open Sans" w:cs="Open Sans"/>
          <w:sz w:val="20"/>
          <w:szCs w:val="20"/>
        </w:rPr>
        <w:t>, it</w:t>
      </w:r>
      <w:r w:rsidRPr="0067617F">
        <w:rPr>
          <w:rFonts w:ascii="Open Sans" w:hAnsi="Open Sans" w:cs="Open Sans"/>
          <w:sz w:val="20"/>
          <w:szCs w:val="20"/>
        </w:rPr>
        <w:t xml:space="preserve"> remains important that domestic UK energy policy is not overly reliant on</w:t>
      </w:r>
      <w:r w:rsidR="0067617F" w:rsidRPr="0067617F">
        <w:rPr>
          <w:rFonts w:ascii="Open Sans" w:hAnsi="Open Sans" w:cs="Open Sans"/>
          <w:sz w:val="20"/>
          <w:szCs w:val="20"/>
        </w:rPr>
        <w:t xml:space="preserve"> them for energy security, by ensuring </w:t>
      </w:r>
      <w:r w:rsidRPr="0067617F">
        <w:rPr>
          <w:rFonts w:ascii="Open Sans" w:hAnsi="Open Sans" w:cs="Open Sans"/>
          <w:sz w:val="20"/>
          <w:szCs w:val="20"/>
        </w:rPr>
        <w:t>a high level of low carbon domestic CMUs</w:t>
      </w:r>
      <w:r w:rsidR="0067617F" w:rsidRPr="0067617F">
        <w:rPr>
          <w:rFonts w:ascii="Open Sans" w:hAnsi="Open Sans" w:cs="Open Sans"/>
          <w:sz w:val="20"/>
          <w:szCs w:val="20"/>
        </w:rPr>
        <w:t xml:space="preserve">. </w:t>
      </w:r>
    </w:p>
    <w:p w14:paraId="1A6EBAC9" w14:textId="77777777" w:rsidR="00AA0DBB" w:rsidRPr="006616E2" w:rsidRDefault="00AA0DBB" w:rsidP="00FF2DAA">
      <w:pPr>
        <w:spacing w:after="0" w:line="240" w:lineRule="auto"/>
        <w:rPr>
          <w:rFonts w:ascii="Open Sans" w:hAnsi="Open Sans" w:cs="Open Sans"/>
          <w:sz w:val="20"/>
          <w:szCs w:val="20"/>
          <w:highlight w:val="yellow"/>
        </w:rPr>
      </w:pPr>
    </w:p>
    <w:p w14:paraId="1ECB0364" w14:textId="77777777" w:rsidR="00AA0DBB" w:rsidRPr="0067617F" w:rsidRDefault="00AA0DBB" w:rsidP="00FF2DAA">
      <w:pPr>
        <w:spacing w:after="0" w:line="240" w:lineRule="auto"/>
        <w:rPr>
          <w:rFonts w:ascii="Open Sans" w:hAnsi="Open Sans" w:cs="Open Sans"/>
          <w:sz w:val="20"/>
          <w:szCs w:val="20"/>
        </w:rPr>
      </w:pPr>
    </w:p>
    <w:p w14:paraId="4060E397" w14:textId="0A5E1598" w:rsidR="00FF2DAA" w:rsidRPr="0067617F" w:rsidRDefault="00AA0DBB" w:rsidP="004F0FDA">
      <w:pPr>
        <w:spacing w:after="0" w:line="240" w:lineRule="auto"/>
        <w:rPr>
          <w:rFonts w:ascii="Open Sans" w:hAnsi="Open Sans" w:cs="Open Sans"/>
          <w:b/>
          <w:bCs/>
          <w:sz w:val="20"/>
          <w:szCs w:val="20"/>
        </w:rPr>
      </w:pPr>
      <w:r w:rsidRPr="0067617F">
        <w:rPr>
          <w:rFonts w:ascii="Open Sans" w:hAnsi="Open Sans" w:cs="Open Sans"/>
          <w:b/>
          <w:bCs/>
          <w:sz w:val="20"/>
          <w:szCs w:val="20"/>
        </w:rPr>
        <w:t xml:space="preserve">October 2021 </w:t>
      </w:r>
    </w:p>
    <w:sectPr w:rsidR="00FF2DAA" w:rsidRPr="006761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59B2" w14:textId="77777777" w:rsidR="0062676F" w:rsidRDefault="0062676F" w:rsidP="002223A7">
      <w:pPr>
        <w:spacing w:after="0" w:line="240" w:lineRule="auto"/>
      </w:pPr>
      <w:r>
        <w:separator/>
      </w:r>
    </w:p>
  </w:endnote>
  <w:endnote w:type="continuationSeparator" w:id="0">
    <w:p w14:paraId="1082F2B1" w14:textId="77777777" w:rsidR="0062676F" w:rsidRDefault="0062676F" w:rsidP="0022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1440" w14:textId="77777777" w:rsidR="0062676F" w:rsidRDefault="0062676F" w:rsidP="002223A7">
      <w:pPr>
        <w:spacing w:after="0" w:line="240" w:lineRule="auto"/>
      </w:pPr>
      <w:r>
        <w:separator/>
      </w:r>
    </w:p>
  </w:footnote>
  <w:footnote w:type="continuationSeparator" w:id="0">
    <w:p w14:paraId="01641CE2" w14:textId="77777777" w:rsidR="0062676F" w:rsidRDefault="0062676F" w:rsidP="0022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99EE" w14:textId="7B6E38B8" w:rsidR="002223A7" w:rsidRDefault="00B0105D">
    <w:pPr>
      <w:pStyle w:val="Header"/>
    </w:pPr>
    <w:r w:rsidRPr="00983E6D">
      <w:rPr>
        <w:i/>
        <w:iCs/>
        <w:noProof/>
      </w:rPr>
      <w:drawing>
        <wp:anchor distT="0" distB="0" distL="114300" distR="114300" simplePos="0" relativeHeight="251657216" behindDoc="0" locked="0" layoutInCell="1" allowOverlap="1" wp14:anchorId="424D510F" wp14:editId="4D537E21">
          <wp:simplePos x="0" y="0"/>
          <wp:positionH relativeFrom="column">
            <wp:posOffset>5286375</wp:posOffset>
          </wp:positionH>
          <wp:positionV relativeFrom="paragraph">
            <wp:posOffset>-210185</wp:posOffset>
          </wp:positionV>
          <wp:extent cx="943708" cy="491018"/>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708" cy="491018"/>
                  </a:xfrm>
                  <a:prstGeom prst="rect">
                    <a:avLst/>
                  </a:prstGeom>
                </pic:spPr>
              </pic:pic>
            </a:graphicData>
          </a:graphic>
          <wp14:sizeRelH relativeFrom="page">
            <wp14:pctWidth>0</wp14:pctWidth>
          </wp14:sizeRelH>
          <wp14:sizeRelV relativeFrom="page">
            <wp14:pctHeight>0</wp14:pctHeight>
          </wp14:sizeRelV>
        </wp:anchor>
      </w:drawing>
    </w:r>
    <w:sdt>
      <w:sdtPr>
        <w:id w:val="-1465271478"/>
        <w:docPartObj>
          <w:docPartGallery w:val="Watermarks"/>
          <w:docPartUnique/>
        </w:docPartObj>
      </w:sdtPr>
      <w:sdtEndPr/>
      <w:sdtContent>
        <w:r w:rsidR="00507BD7">
          <w:rPr>
            <w:noProof/>
          </w:rPr>
          <w:pict w14:anchorId="6BFBD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23A7">
      <w:t>DRAFT V</w:t>
    </w:r>
    <w:r w:rsidR="00507BD7">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F15B5"/>
    <w:multiLevelType w:val="hybridMultilevel"/>
    <w:tmpl w:val="D996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05E98"/>
    <w:multiLevelType w:val="hybridMultilevel"/>
    <w:tmpl w:val="CACE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F644E"/>
    <w:multiLevelType w:val="hybridMultilevel"/>
    <w:tmpl w:val="6C7C4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63214B"/>
    <w:multiLevelType w:val="hybridMultilevel"/>
    <w:tmpl w:val="007043B8"/>
    <w:lvl w:ilvl="0" w:tplc="F282173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tjQ0NDY2tzAwsTRU0lEKTi0uzszPAykwqgUAChl8xywAAAA="/>
  </w:docVars>
  <w:rsids>
    <w:rsidRoot w:val="00BD5E21"/>
    <w:rsid w:val="000003DE"/>
    <w:rsid w:val="00016ED0"/>
    <w:rsid w:val="00083E1A"/>
    <w:rsid w:val="00095DE2"/>
    <w:rsid w:val="000A3C19"/>
    <w:rsid w:val="000E674F"/>
    <w:rsid w:val="000E6E42"/>
    <w:rsid w:val="00117B62"/>
    <w:rsid w:val="001240AD"/>
    <w:rsid w:val="00133F05"/>
    <w:rsid w:val="00150BD6"/>
    <w:rsid w:val="001E3195"/>
    <w:rsid w:val="00200A13"/>
    <w:rsid w:val="002223A7"/>
    <w:rsid w:val="00222C0E"/>
    <w:rsid w:val="002245C1"/>
    <w:rsid w:val="002361E6"/>
    <w:rsid w:val="002826B0"/>
    <w:rsid w:val="002C42AD"/>
    <w:rsid w:val="00340A26"/>
    <w:rsid w:val="00345DDD"/>
    <w:rsid w:val="00360CDC"/>
    <w:rsid w:val="00382BE2"/>
    <w:rsid w:val="00394D45"/>
    <w:rsid w:val="004514C2"/>
    <w:rsid w:val="00487B16"/>
    <w:rsid w:val="004A124F"/>
    <w:rsid w:val="004E150B"/>
    <w:rsid w:val="004F0FDA"/>
    <w:rsid w:val="005071FE"/>
    <w:rsid w:val="00507BD7"/>
    <w:rsid w:val="00511F22"/>
    <w:rsid w:val="00532F55"/>
    <w:rsid w:val="005373E7"/>
    <w:rsid w:val="00571161"/>
    <w:rsid w:val="00592D2E"/>
    <w:rsid w:val="005B20CD"/>
    <w:rsid w:val="005B52A4"/>
    <w:rsid w:val="006162D0"/>
    <w:rsid w:val="0062676F"/>
    <w:rsid w:val="0063550E"/>
    <w:rsid w:val="00635A9B"/>
    <w:rsid w:val="0065680E"/>
    <w:rsid w:val="006616E2"/>
    <w:rsid w:val="0067617F"/>
    <w:rsid w:val="006B647C"/>
    <w:rsid w:val="00706F76"/>
    <w:rsid w:val="00723324"/>
    <w:rsid w:val="00793B49"/>
    <w:rsid w:val="007D693B"/>
    <w:rsid w:val="007F6731"/>
    <w:rsid w:val="008332B2"/>
    <w:rsid w:val="0084160B"/>
    <w:rsid w:val="0084540E"/>
    <w:rsid w:val="00876247"/>
    <w:rsid w:val="008C0680"/>
    <w:rsid w:val="008E1EE5"/>
    <w:rsid w:val="00975066"/>
    <w:rsid w:val="009862D5"/>
    <w:rsid w:val="009B02D3"/>
    <w:rsid w:val="009C7582"/>
    <w:rsid w:val="00A14D48"/>
    <w:rsid w:val="00A339B0"/>
    <w:rsid w:val="00A3531E"/>
    <w:rsid w:val="00A43E26"/>
    <w:rsid w:val="00A44BED"/>
    <w:rsid w:val="00A56A78"/>
    <w:rsid w:val="00A85F84"/>
    <w:rsid w:val="00A93F9F"/>
    <w:rsid w:val="00AA0DBB"/>
    <w:rsid w:val="00AB4288"/>
    <w:rsid w:val="00AD7E40"/>
    <w:rsid w:val="00B0105D"/>
    <w:rsid w:val="00B01330"/>
    <w:rsid w:val="00B44F56"/>
    <w:rsid w:val="00B64B66"/>
    <w:rsid w:val="00BA1DB6"/>
    <w:rsid w:val="00BA6A3E"/>
    <w:rsid w:val="00BC06C7"/>
    <w:rsid w:val="00BC4DB5"/>
    <w:rsid w:val="00BD5E21"/>
    <w:rsid w:val="00BF1C60"/>
    <w:rsid w:val="00C0789D"/>
    <w:rsid w:val="00C11679"/>
    <w:rsid w:val="00C20815"/>
    <w:rsid w:val="00C56530"/>
    <w:rsid w:val="00CA6A42"/>
    <w:rsid w:val="00CD35C8"/>
    <w:rsid w:val="00CE6369"/>
    <w:rsid w:val="00D008FD"/>
    <w:rsid w:val="00D312BA"/>
    <w:rsid w:val="00D54C60"/>
    <w:rsid w:val="00D73D7A"/>
    <w:rsid w:val="00D76328"/>
    <w:rsid w:val="00DA0CAC"/>
    <w:rsid w:val="00DA3DA7"/>
    <w:rsid w:val="00DB3BAC"/>
    <w:rsid w:val="00DB743D"/>
    <w:rsid w:val="00DC049C"/>
    <w:rsid w:val="00DE66EC"/>
    <w:rsid w:val="00E72AD7"/>
    <w:rsid w:val="00E74C17"/>
    <w:rsid w:val="00E853CF"/>
    <w:rsid w:val="00ED20E2"/>
    <w:rsid w:val="00F109F5"/>
    <w:rsid w:val="00F34134"/>
    <w:rsid w:val="00F41640"/>
    <w:rsid w:val="00F56802"/>
    <w:rsid w:val="00F9646B"/>
    <w:rsid w:val="00FF2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D8040"/>
  <w15:chartTrackingRefBased/>
  <w15:docId w15:val="{8B9EC98D-B018-461F-B591-FE3D93D5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33F05"/>
  </w:style>
  <w:style w:type="paragraph" w:styleId="ListParagraph">
    <w:name w:val="List Paragraph"/>
    <w:basedOn w:val="Normal"/>
    <w:uiPriority w:val="34"/>
    <w:qFormat/>
    <w:rsid w:val="009B02D3"/>
    <w:pPr>
      <w:ind w:left="720"/>
      <w:contextualSpacing/>
    </w:pPr>
  </w:style>
  <w:style w:type="paragraph" w:styleId="Header">
    <w:name w:val="header"/>
    <w:basedOn w:val="Normal"/>
    <w:link w:val="HeaderChar"/>
    <w:uiPriority w:val="99"/>
    <w:unhideWhenUsed/>
    <w:rsid w:val="00222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3A7"/>
  </w:style>
  <w:style w:type="paragraph" w:styleId="Footer">
    <w:name w:val="footer"/>
    <w:basedOn w:val="Normal"/>
    <w:link w:val="FooterChar"/>
    <w:uiPriority w:val="99"/>
    <w:unhideWhenUsed/>
    <w:rsid w:val="00222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3A7"/>
  </w:style>
  <w:style w:type="character" w:styleId="CommentReference">
    <w:name w:val="annotation reference"/>
    <w:basedOn w:val="DefaultParagraphFont"/>
    <w:uiPriority w:val="99"/>
    <w:semiHidden/>
    <w:unhideWhenUsed/>
    <w:rsid w:val="001E3195"/>
    <w:rPr>
      <w:sz w:val="16"/>
      <w:szCs w:val="16"/>
    </w:rPr>
  </w:style>
  <w:style w:type="paragraph" w:styleId="CommentText">
    <w:name w:val="annotation text"/>
    <w:basedOn w:val="Normal"/>
    <w:link w:val="CommentTextChar"/>
    <w:uiPriority w:val="99"/>
    <w:semiHidden/>
    <w:unhideWhenUsed/>
    <w:rsid w:val="001E3195"/>
    <w:pPr>
      <w:spacing w:line="240" w:lineRule="auto"/>
    </w:pPr>
    <w:rPr>
      <w:sz w:val="20"/>
      <w:szCs w:val="20"/>
    </w:rPr>
  </w:style>
  <w:style w:type="character" w:customStyle="1" w:styleId="CommentTextChar">
    <w:name w:val="Comment Text Char"/>
    <w:basedOn w:val="DefaultParagraphFont"/>
    <w:link w:val="CommentText"/>
    <w:uiPriority w:val="99"/>
    <w:semiHidden/>
    <w:rsid w:val="001E3195"/>
    <w:rPr>
      <w:sz w:val="20"/>
      <w:szCs w:val="20"/>
    </w:rPr>
  </w:style>
  <w:style w:type="paragraph" w:styleId="CommentSubject">
    <w:name w:val="annotation subject"/>
    <w:basedOn w:val="CommentText"/>
    <w:next w:val="CommentText"/>
    <w:link w:val="CommentSubjectChar"/>
    <w:uiPriority w:val="99"/>
    <w:semiHidden/>
    <w:unhideWhenUsed/>
    <w:rsid w:val="001E3195"/>
    <w:rPr>
      <w:b/>
      <w:bCs/>
    </w:rPr>
  </w:style>
  <w:style w:type="character" w:customStyle="1" w:styleId="CommentSubjectChar">
    <w:name w:val="Comment Subject Char"/>
    <w:basedOn w:val="CommentTextChar"/>
    <w:link w:val="CommentSubject"/>
    <w:uiPriority w:val="99"/>
    <w:semiHidden/>
    <w:rsid w:val="001E3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Kellett</dc:creator>
  <cp:keywords/>
  <dc:description/>
  <cp:lastModifiedBy>Mark Sommerfeld</cp:lastModifiedBy>
  <cp:revision>3</cp:revision>
  <dcterms:created xsi:type="dcterms:W3CDTF">2021-10-26T09:14:00Z</dcterms:created>
  <dcterms:modified xsi:type="dcterms:W3CDTF">2021-10-26T09:14:00Z</dcterms:modified>
</cp:coreProperties>
</file>