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4773" w14:textId="0915766F" w:rsidR="00727416" w:rsidRPr="00727416" w:rsidRDefault="00727416" w:rsidP="00727416">
      <w:pPr>
        <w:spacing w:before="120" w:after="120" w:line="240" w:lineRule="auto"/>
        <w:jc w:val="center"/>
        <w:rPr>
          <w:rFonts w:ascii="Open Sans" w:eastAsia="Open Sans" w:hAnsi="Open Sans" w:cs="Open Sans"/>
          <w:b/>
          <w:i/>
          <w:iCs/>
          <w:color w:val="06926B"/>
          <w:sz w:val="32"/>
          <w:szCs w:val="32"/>
        </w:rPr>
      </w:pPr>
      <w:r w:rsidRPr="00727416">
        <w:rPr>
          <w:rFonts w:ascii="Open Sans" w:eastAsia="Open Sans" w:hAnsi="Open Sans" w:cs="Open Sans"/>
          <w:b/>
          <w:i/>
          <w:iCs/>
          <w:color w:val="06926B"/>
          <w:sz w:val="32"/>
          <w:szCs w:val="32"/>
          <w:highlight w:val="yellow"/>
        </w:rPr>
        <w:t>DRAFT for member comment</w:t>
      </w:r>
    </w:p>
    <w:p w14:paraId="0928F6FF" w14:textId="77777777" w:rsidR="00727416" w:rsidRPr="00727416" w:rsidRDefault="00105091" w:rsidP="003845C1">
      <w:pPr>
        <w:spacing w:before="120" w:after="120" w:line="240" w:lineRule="auto"/>
        <w:jc w:val="center"/>
        <w:rPr>
          <w:rFonts w:ascii="Open Sans" w:eastAsia="Open Sans" w:hAnsi="Open Sans" w:cs="Open Sans"/>
          <w:b/>
          <w:color w:val="06926B"/>
          <w:sz w:val="32"/>
          <w:szCs w:val="32"/>
        </w:rPr>
      </w:pPr>
      <w:r w:rsidRPr="00727416">
        <w:rPr>
          <w:rFonts w:ascii="Open Sans" w:eastAsia="Open Sans" w:hAnsi="Open Sans" w:cs="Open Sans"/>
          <w:b/>
          <w:color w:val="06926B"/>
          <w:sz w:val="32"/>
          <w:szCs w:val="32"/>
        </w:rPr>
        <w:t>Response</w:t>
      </w:r>
      <w:r w:rsidR="00F449D8" w:rsidRPr="00727416">
        <w:rPr>
          <w:rFonts w:ascii="Open Sans" w:eastAsia="Open Sans" w:hAnsi="Open Sans" w:cs="Open Sans"/>
          <w:b/>
          <w:color w:val="06926B"/>
          <w:sz w:val="32"/>
          <w:szCs w:val="32"/>
        </w:rPr>
        <w:t xml:space="preserve"> to</w:t>
      </w:r>
      <w:r w:rsidR="00727416" w:rsidRPr="00727416">
        <w:rPr>
          <w:rFonts w:ascii="Open Sans" w:eastAsia="Open Sans" w:hAnsi="Open Sans" w:cs="Open Sans"/>
          <w:b/>
          <w:color w:val="06926B"/>
          <w:sz w:val="32"/>
          <w:szCs w:val="32"/>
        </w:rPr>
        <w:t>:</w:t>
      </w:r>
    </w:p>
    <w:p w14:paraId="00000002" w14:textId="4A1455B6" w:rsidR="00A27EDE" w:rsidRPr="00727416" w:rsidRDefault="00F449D8" w:rsidP="003845C1">
      <w:pPr>
        <w:spacing w:before="120" w:after="120" w:line="240" w:lineRule="auto"/>
        <w:jc w:val="center"/>
        <w:rPr>
          <w:rFonts w:ascii="Open Sans" w:eastAsia="Open Sans" w:hAnsi="Open Sans" w:cs="Open Sans"/>
          <w:b/>
          <w:color w:val="06926B"/>
          <w:sz w:val="32"/>
          <w:szCs w:val="32"/>
        </w:rPr>
      </w:pPr>
      <w:r w:rsidRPr="00727416">
        <w:rPr>
          <w:rFonts w:ascii="Open Sans" w:eastAsia="Open Sans" w:hAnsi="Open Sans" w:cs="Open Sans"/>
          <w:b/>
          <w:color w:val="06926B"/>
          <w:sz w:val="32"/>
          <w:szCs w:val="32"/>
        </w:rPr>
        <w:t xml:space="preserve"> BEIS </w:t>
      </w:r>
      <w:r w:rsidR="00105091" w:rsidRPr="00727416">
        <w:rPr>
          <w:rFonts w:ascii="Open Sans" w:eastAsia="Open Sans" w:hAnsi="Open Sans" w:cs="Open Sans"/>
          <w:b/>
          <w:color w:val="06926B"/>
          <w:sz w:val="32"/>
          <w:szCs w:val="32"/>
        </w:rPr>
        <w:t xml:space="preserve">Consultation on </w:t>
      </w:r>
      <w:r w:rsidR="00F93C17" w:rsidRPr="00727416">
        <w:rPr>
          <w:rFonts w:ascii="Open Sans" w:eastAsia="Open Sans" w:hAnsi="Open Sans" w:cs="Open Sans"/>
          <w:b/>
          <w:color w:val="06926B"/>
          <w:sz w:val="32"/>
          <w:szCs w:val="32"/>
        </w:rPr>
        <w:t>the d</w:t>
      </w:r>
      <w:r w:rsidR="00105091" w:rsidRPr="00727416">
        <w:rPr>
          <w:rFonts w:ascii="Open Sans" w:eastAsia="Open Sans" w:hAnsi="Open Sans" w:cs="Open Sans"/>
          <w:b/>
          <w:color w:val="06926B"/>
          <w:sz w:val="32"/>
          <w:szCs w:val="32"/>
        </w:rPr>
        <w:t>esign of a business model for low carbon hydrogen</w:t>
      </w:r>
    </w:p>
    <w:p w14:paraId="00000003" w14:textId="77777777" w:rsidR="00A27EDE" w:rsidRDefault="00105091" w:rsidP="003845C1">
      <w:pPr>
        <w:spacing w:before="120" w:after="120" w:line="240" w:lineRule="auto"/>
        <w:rPr>
          <w:rFonts w:ascii="Open Sans" w:eastAsia="Open Sans" w:hAnsi="Open Sans" w:cs="Open Sans"/>
          <w:b/>
          <w:sz w:val="19"/>
          <w:szCs w:val="19"/>
        </w:rPr>
      </w:pPr>
      <w:r>
        <w:rPr>
          <w:rFonts w:ascii="Open Sans" w:eastAsia="Open Sans" w:hAnsi="Open Sans" w:cs="Open Sans"/>
          <w:b/>
          <w:sz w:val="19"/>
          <w:szCs w:val="19"/>
        </w:rPr>
        <w:t xml:space="preserve"> </w:t>
      </w:r>
    </w:p>
    <w:p w14:paraId="00000004" w14:textId="77777777" w:rsidR="00A27EDE" w:rsidRDefault="00105091" w:rsidP="003845C1">
      <w:pPr>
        <w:spacing w:before="120" w:after="120" w:line="240" w:lineRule="auto"/>
        <w:rPr>
          <w:rFonts w:ascii="Open Sans" w:eastAsia="Open Sans" w:hAnsi="Open Sans" w:cs="Open Sans"/>
        </w:rPr>
      </w:pPr>
      <w:r>
        <w:rPr>
          <w:rFonts w:ascii="Open Sans" w:eastAsia="Open Sans" w:hAnsi="Open Sans" w:cs="Open Sans"/>
        </w:rPr>
        <w:t xml:space="preserve">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74A948EF" w14:textId="77777777" w:rsidR="00F449D8" w:rsidRDefault="00F449D8" w:rsidP="003845C1">
      <w:pPr>
        <w:spacing w:before="120" w:after="120" w:line="240" w:lineRule="auto"/>
        <w:rPr>
          <w:rFonts w:ascii="Open Sans" w:eastAsiaTheme="minorHAnsi" w:hAnsi="Open Sans" w:cs="Open Sans"/>
          <w:b/>
          <w:bCs/>
          <w:color w:val="2F5496"/>
          <w:lang w:eastAsia="en-US"/>
        </w:rPr>
      </w:pPr>
    </w:p>
    <w:p w14:paraId="3B01D30A" w14:textId="14615291" w:rsidR="003845C1" w:rsidRPr="003845C1" w:rsidRDefault="003845C1" w:rsidP="003845C1">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Section 2 </w:t>
      </w:r>
    </w:p>
    <w:p w14:paraId="1E47B104" w14:textId="77777777" w:rsidR="003845C1" w:rsidRDefault="003845C1" w:rsidP="003845C1">
      <w:pPr>
        <w:numPr>
          <w:ilvl w:val="0"/>
          <w:numId w:val="11"/>
        </w:numPr>
        <w:tabs>
          <w:tab w:val="left" w:pos="284"/>
        </w:tabs>
        <w:spacing w:before="120" w:after="120" w:line="240" w:lineRule="auto"/>
        <w:ind w:left="0" w:firstLine="0"/>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Do you agree with our overall approach to introduce a contractual, producer-focused business model covering the proposed scope? </w:t>
      </w:r>
    </w:p>
    <w:p w14:paraId="43A5F608" w14:textId="77777777" w:rsidR="006E5F25" w:rsidRDefault="003845C1" w:rsidP="003845C1">
      <w:pPr>
        <w:tabs>
          <w:tab w:val="left" w:pos="284"/>
        </w:tabs>
        <w:spacing w:before="120" w:after="120" w:line="240" w:lineRule="auto"/>
        <w:rPr>
          <w:rFonts w:ascii="Open Sans" w:eastAsia="Open Sans" w:hAnsi="Open Sans" w:cs="Open Sans"/>
        </w:rPr>
      </w:pPr>
      <w:r w:rsidRPr="003845C1">
        <w:rPr>
          <w:rFonts w:ascii="Open Sans" w:eastAsia="Open Sans" w:hAnsi="Open Sans" w:cs="Open Sans"/>
        </w:rPr>
        <w:t xml:space="preserve">Yes, </w:t>
      </w:r>
      <w:r>
        <w:rPr>
          <w:rFonts w:ascii="Open Sans" w:eastAsia="Open Sans" w:hAnsi="Open Sans" w:cs="Open Sans"/>
        </w:rPr>
        <w:t xml:space="preserve">we agree with the overall approach set out in this section and the general design principles set out in the following section. </w:t>
      </w:r>
    </w:p>
    <w:p w14:paraId="5805DEB1" w14:textId="180BF63B" w:rsidR="002703E1" w:rsidRDefault="003845C1" w:rsidP="003845C1">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The REA </w:t>
      </w:r>
      <w:r w:rsidR="002703E1">
        <w:rPr>
          <w:rFonts w:ascii="Open Sans" w:eastAsia="Open Sans" w:hAnsi="Open Sans" w:cs="Open Sans"/>
        </w:rPr>
        <w:t xml:space="preserve">strongly </w:t>
      </w:r>
      <w:r>
        <w:rPr>
          <w:rFonts w:ascii="Open Sans" w:eastAsia="Open Sans" w:hAnsi="Open Sans" w:cs="Open Sans"/>
        </w:rPr>
        <w:t>support</w:t>
      </w:r>
      <w:r w:rsidR="002703E1">
        <w:rPr>
          <w:rFonts w:ascii="Open Sans" w:eastAsia="Open Sans" w:hAnsi="Open Sans" w:cs="Open Sans"/>
        </w:rPr>
        <w:t>s</w:t>
      </w:r>
      <w:r>
        <w:rPr>
          <w:rFonts w:ascii="Open Sans" w:eastAsia="Open Sans" w:hAnsi="Open Sans" w:cs="Open Sans"/>
        </w:rPr>
        <w:t xml:space="preserve"> the development of a producer-led subsidy to support low carbon hydrogen</w:t>
      </w:r>
      <w:r w:rsidR="002703E1">
        <w:rPr>
          <w:rFonts w:ascii="Open Sans" w:eastAsia="Open Sans" w:hAnsi="Open Sans" w:cs="Open Sans"/>
        </w:rPr>
        <w:t xml:space="preserve"> production and help establish the market for low carbon hydrogen in the early years</w:t>
      </w:r>
      <w:r w:rsidR="00F93C17">
        <w:rPr>
          <w:rFonts w:ascii="Open Sans" w:eastAsia="Open Sans" w:hAnsi="Open Sans" w:cs="Open Sans"/>
        </w:rPr>
        <w:t xml:space="preserve"> of development</w:t>
      </w:r>
      <w:r w:rsidR="002703E1">
        <w:rPr>
          <w:rFonts w:ascii="Open Sans" w:eastAsia="Open Sans" w:hAnsi="Open Sans" w:cs="Open Sans"/>
        </w:rPr>
        <w:t xml:space="preserve">. </w:t>
      </w:r>
    </w:p>
    <w:p w14:paraId="428FC927" w14:textId="50DC5B4F" w:rsidR="003845C1" w:rsidRDefault="002703E1" w:rsidP="003845C1">
      <w:pPr>
        <w:tabs>
          <w:tab w:val="left" w:pos="284"/>
        </w:tabs>
        <w:spacing w:before="120" w:after="120" w:line="240" w:lineRule="auto"/>
        <w:rPr>
          <w:rFonts w:ascii="Open Sans" w:eastAsia="Open Sans" w:hAnsi="Open Sans" w:cs="Open Sans"/>
        </w:rPr>
      </w:pPr>
      <w:r>
        <w:rPr>
          <w:rFonts w:ascii="Open Sans" w:eastAsia="Open Sans" w:hAnsi="Open Sans" w:cs="Open Sans"/>
        </w:rPr>
        <w:t>However, in the following sections we have made</w:t>
      </w:r>
      <w:r w:rsidR="003845C1">
        <w:rPr>
          <w:rFonts w:ascii="Open Sans" w:eastAsia="Open Sans" w:hAnsi="Open Sans" w:cs="Open Sans"/>
        </w:rPr>
        <w:t xml:space="preserve"> comments </w:t>
      </w:r>
      <w:r>
        <w:rPr>
          <w:rFonts w:ascii="Open Sans" w:eastAsia="Open Sans" w:hAnsi="Open Sans" w:cs="Open Sans"/>
        </w:rPr>
        <w:t>on</w:t>
      </w:r>
      <w:r w:rsidR="003845C1">
        <w:rPr>
          <w:rFonts w:ascii="Open Sans" w:eastAsia="Open Sans" w:hAnsi="Open Sans" w:cs="Open Sans"/>
        </w:rPr>
        <w:t xml:space="preserve"> the details (or lack of detail in some cases) of the proposed revenue scheme</w:t>
      </w:r>
      <w:r>
        <w:rPr>
          <w:rFonts w:ascii="Open Sans" w:eastAsia="Open Sans" w:hAnsi="Open Sans" w:cs="Open Sans"/>
        </w:rPr>
        <w:t xml:space="preserve">. </w:t>
      </w:r>
    </w:p>
    <w:p w14:paraId="1FB905EC" w14:textId="16943F73" w:rsidR="00185CF3" w:rsidRDefault="006E5F25" w:rsidP="003845C1">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Overall, we consider that </w:t>
      </w:r>
      <w:r w:rsidR="00185CF3">
        <w:rPr>
          <w:rFonts w:ascii="Open Sans" w:eastAsia="Open Sans" w:hAnsi="Open Sans" w:cs="Open Sans"/>
        </w:rPr>
        <w:t xml:space="preserve">the </w:t>
      </w:r>
      <w:r>
        <w:rPr>
          <w:rFonts w:ascii="Open Sans" w:eastAsia="Open Sans" w:hAnsi="Open Sans" w:cs="Open Sans"/>
        </w:rPr>
        <w:t xml:space="preserve">proposed mechanism </w:t>
      </w:r>
      <w:r w:rsidR="00185CF3">
        <w:rPr>
          <w:rFonts w:ascii="Open Sans" w:eastAsia="Open Sans" w:hAnsi="Open Sans" w:cs="Open Sans"/>
        </w:rPr>
        <w:t>has significant merits</w:t>
      </w:r>
      <w:r w:rsidR="0039101B">
        <w:rPr>
          <w:rFonts w:ascii="Open Sans" w:eastAsia="Open Sans" w:hAnsi="Open Sans" w:cs="Open Sans"/>
        </w:rPr>
        <w:t xml:space="preserve"> but also significant complexity</w:t>
      </w:r>
      <w:r w:rsidR="00185CF3">
        <w:rPr>
          <w:rFonts w:ascii="Open Sans" w:eastAsia="Open Sans" w:hAnsi="Open Sans" w:cs="Open Sans"/>
        </w:rPr>
        <w:t xml:space="preserve">. </w:t>
      </w:r>
      <w:r w:rsidR="001D2D51">
        <w:rPr>
          <w:rFonts w:ascii="Open Sans" w:eastAsia="Open Sans" w:hAnsi="Open Sans" w:cs="Open Sans"/>
        </w:rPr>
        <w:t xml:space="preserve">Added complexity risks adding market entry barriers for new and smaller players in the market. </w:t>
      </w:r>
      <w:r w:rsidR="0039101B">
        <w:rPr>
          <w:rFonts w:ascii="Open Sans" w:eastAsia="Open Sans" w:hAnsi="Open Sans" w:cs="Open Sans"/>
        </w:rPr>
        <w:t>W</w:t>
      </w:r>
      <w:r w:rsidR="00185CF3">
        <w:rPr>
          <w:rFonts w:ascii="Open Sans" w:eastAsia="Open Sans" w:hAnsi="Open Sans" w:cs="Open Sans"/>
        </w:rPr>
        <w:t>e believe it is more</w:t>
      </w:r>
      <w:r>
        <w:rPr>
          <w:rFonts w:ascii="Open Sans" w:eastAsia="Open Sans" w:hAnsi="Open Sans" w:cs="Open Sans"/>
        </w:rPr>
        <w:t xml:space="preserve"> suited to large scale projects</w:t>
      </w:r>
      <w:r w:rsidR="00185CF3">
        <w:rPr>
          <w:rFonts w:ascii="Open Sans" w:eastAsia="Open Sans" w:hAnsi="Open Sans" w:cs="Open Sans"/>
        </w:rPr>
        <w:t>, or companies that have the financial and human resources to deal with this level of complexity –</w:t>
      </w:r>
      <w:r w:rsidR="00E61916">
        <w:rPr>
          <w:rFonts w:ascii="Open Sans" w:eastAsia="Open Sans" w:hAnsi="Open Sans" w:cs="Open Sans"/>
        </w:rPr>
        <w:t xml:space="preserve"> in particular, those </w:t>
      </w:r>
      <w:r w:rsidR="00185CF3">
        <w:rPr>
          <w:rFonts w:ascii="Open Sans" w:eastAsia="Open Sans" w:hAnsi="Open Sans" w:cs="Open Sans"/>
        </w:rPr>
        <w:t xml:space="preserve">complexities associated with the contract. This may </w:t>
      </w:r>
      <w:r>
        <w:rPr>
          <w:rFonts w:ascii="Open Sans" w:eastAsia="Open Sans" w:hAnsi="Open Sans" w:cs="Open Sans"/>
        </w:rPr>
        <w:t>deter smaller projects</w:t>
      </w:r>
      <w:r w:rsidR="00185CF3">
        <w:rPr>
          <w:rFonts w:ascii="Open Sans" w:eastAsia="Open Sans" w:hAnsi="Open Sans" w:cs="Open Sans"/>
        </w:rPr>
        <w:t>, or companies with less resources, from applying</w:t>
      </w:r>
      <w:r>
        <w:rPr>
          <w:rFonts w:ascii="Open Sans" w:eastAsia="Open Sans" w:hAnsi="Open Sans" w:cs="Open Sans"/>
        </w:rPr>
        <w:t xml:space="preserve">. </w:t>
      </w:r>
    </w:p>
    <w:p w14:paraId="0A0BCA0D" w14:textId="77777777" w:rsidR="0039101B" w:rsidRDefault="00E61916" w:rsidP="003845C1">
      <w:pPr>
        <w:tabs>
          <w:tab w:val="left" w:pos="284"/>
        </w:tabs>
        <w:spacing w:before="120" w:after="120" w:line="240" w:lineRule="auto"/>
        <w:rPr>
          <w:rFonts w:ascii="Open Sans" w:eastAsia="Open Sans" w:hAnsi="Open Sans" w:cs="Open Sans"/>
        </w:rPr>
      </w:pPr>
      <w:r w:rsidRPr="00F93C17">
        <w:rPr>
          <w:rFonts w:ascii="Open Sans" w:eastAsia="Open Sans" w:hAnsi="Open Sans" w:cs="Open Sans"/>
          <w:b/>
          <w:bCs/>
        </w:rPr>
        <w:t>We think a wide range of scales and types of projects is required in the UK to build a functioning hydrogen economy and smaller scale projects are key to kick start the hydrogen market.</w:t>
      </w:r>
      <w:r>
        <w:rPr>
          <w:rFonts w:ascii="Open Sans" w:eastAsia="Open Sans" w:hAnsi="Open Sans" w:cs="Open Sans"/>
        </w:rPr>
        <w:t xml:space="preserve"> For this reason, w</w:t>
      </w:r>
      <w:r w:rsidR="006E5F25">
        <w:rPr>
          <w:rFonts w:ascii="Open Sans" w:eastAsia="Open Sans" w:hAnsi="Open Sans" w:cs="Open Sans"/>
        </w:rPr>
        <w:t xml:space="preserve">e think some options such as a fixed premium or a fixed price should be kept on the table or considered as an interim, bridging solution before moving to a more complicated approach such as a contractual arrangement. </w:t>
      </w:r>
    </w:p>
    <w:p w14:paraId="4296088D" w14:textId="779C94F5" w:rsidR="00F93C17" w:rsidRPr="00185CF3" w:rsidRDefault="0039101B" w:rsidP="00F93C17">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Even with a fixed price approach that offers the simplicity and predictability of a non- contractual, accreditation type mechanism, a variable element could still be included </w:t>
      </w:r>
      <w:r>
        <w:rPr>
          <w:rFonts w:ascii="Open Sans" w:eastAsia="Open Sans" w:hAnsi="Open Sans" w:cs="Open Sans"/>
        </w:rPr>
        <w:lastRenderedPageBreak/>
        <w:t>linked to the market price</w:t>
      </w:r>
      <w:r w:rsidR="005B1A42">
        <w:rPr>
          <w:rFonts w:ascii="Open Sans" w:eastAsia="Open Sans" w:hAnsi="Open Sans" w:cs="Open Sans"/>
        </w:rPr>
        <w:t>. This could</w:t>
      </w:r>
      <w:r>
        <w:rPr>
          <w:rFonts w:ascii="Open Sans" w:eastAsia="Open Sans" w:hAnsi="Open Sans" w:cs="Open Sans"/>
        </w:rPr>
        <w:t xml:space="preserve"> lead to a similar outcome </w:t>
      </w:r>
      <w:r w:rsidR="005B1A42">
        <w:rPr>
          <w:rFonts w:ascii="Open Sans" w:eastAsia="Open Sans" w:hAnsi="Open Sans" w:cs="Open Sans"/>
        </w:rPr>
        <w:t xml:space="preserve">for BEIS </w:t>
      </w:r>
      <w:r>
        <w:rPr>
          <w:rFonts w:ascii="Open Sans" w:eastAsia="Open Sans" w:hAnsi="Open Sans" w:cs="Open Sans"/>
        </w:rPr>
        <w:t xml:space="preserve">to that of a variable premium. </w:t>
      </w:r>
      <w:r w:rsidR="00F93C17">
        <w:rPr>
          <w:rFonts w:ascii="Open Sans" w:eastAsia="Open Sans" w:hAnsi="Open Sans" w:cs="Open Sans"/>
        </w:rPr>
        <w:t xml:space="preserve">Please see more detailed comments in our response </w:t>
      </w:r>
      <w:r w:rsidR="00F93C17">
        <w:rPr>
          <w:rFonts w:ascii="Open Sans" w:eastAsia="Open Sans" w:hAnsi="Open Sans" w:cs="Open Sans"/>
        </w:rPr>
        <w:t>to question 3</w:t>
      </w:r>
      <w:r w:rsidR="00F93C17">
        <w:rPr>
          <w:rFonts w:ascii="Open Sans" w:eastAsia="Open Sans" w:hAnsi="Open Sans" w:cs="Open Sans"/>
        </w:rPr>
        <w:t>.</w:t>
      </w:r>
    </w:p>
    <w:p w14:paraId="2F1EF078" w14:textId="4B75FDCD" w:rsidR="00F93C17" w:rsidRDefault="00F93C17" w:rsidP="003845C1">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Finally, as previously highlighted to BEIS, </w:t>
      </w:r>
      <w:r w:rsidR="00C61B7D">
        <w:rPr>
          <w:rFonts w:ascii="Open Sans" w:eastAsia="Open Sans" w:hAnsi="Open Sans" w:cs="Open Sans"/>
        </w:rPr>
        <w:t>t</w:t>
      </w:r>
      <w:r w:rsidR="00C61B7D" w:rsidRPr="00C61B7D">
        <w:rPr>
          <w:rFonts w:ascii="Open Sans" w:eastAsia="Open Sans" w:hAnsi="Open Sans" w:cs="Open Sans"/>
        </w:rPr>
        <w:t xml:space="preserve">he greatest barrier to the deployment of </w:t>
      </w:r>
      <w:r w:rsidR="00C61B7D">
        <w:rPr>
          <w:rFonts w:ascii="Open Sans" w:eastAsia="Open Sans" w:hAnsi="Open Sans" w:cs="Open Sans"/>
        </w:rPr>
        <w:t xml:space="preserve">electrolytic </w:t>
      </w:r>
      <w:r w:rsidR="00C61B7D" w:rsidRPr="00C61B7D">
        <w:rPr>
          <w:rFonts w:ascii="Open Sans" w:eastAsia="Open Sans" w:hAnsi="Open Sans" w:cs="Open Sans"/>
        </w:rPr>
        <w:t xml:space="preserve">hydrogen </w:t>
      </w:r>
      <w:r w:rsidR="00C61B7D">
        <w:rPr>
          <w:rFonts w:ascii="Open Sans" w:eastAsia="Open Sans" w:hAnsi="Open Sans" w:cs="Open Sans"/>
        </w:rPr>
        <w:t>projects remains</w:t>
      </w:r>
      <w:r w:rsidR="00C61B7D" w:rsidRPr="00C61B7D">
        <w:rPr>
          <w:rFonts w:ascii="Open Sans" w:eastAsia="Open Sans" w:hAnsi="Open Sans" w:cs="Open Sans"/>
        </w:rPr>
        <w:t xml:space="preserve"> cost, largely due to the cost of renewable electricity via the grid. In addition to the cost of electricity itself, significant further costs are added by green levies and system fees applying to electricity bills. </w:t>
      </w:r>
      <w:r w:rsidR="00C61B7D">
        <w:rPr>
          <w:rFonts w:ascii="Open Sans" w:eastAsia="Open Sans" w:hAnsi="Open Sans" w:cs="Open Sans"/>
        </w:rPr>
        <w:t xml:space="preserve">if Government wishes to see a high number of electrolytic projects being developed in the short and medium term, measures must be taken to reduce these costs so that </w:t>
      </w:r>
      <w:r w:rsidR="00C61B7D" w:rsidRPr="00C61B7D">
        <w:rPr>
          <w:rFonts w:ascii="Open Sans" w:eastAsia="Open Sans" w:hAnsi="Open Sans" w:cs="Open Sans"/>
        </w:rPr>
        <w:t>electrolysers can access cheaper renewable electricity.</w:t>
      </w:r>
      <w:r w:rsidR="00C61B7D">
        <w:rPr>
          <w:rFonts w:ascii="Open Sans" w:eastAsia="Open Sans" w:hAnsi="Open Sans" w:cs="Open Sans"/>
        </w:rPr>
        <w:t xml:space="preserve"> We have detailed these in our response to question 11. </w:t>
      </w:r>
    </w:p>
    <w:p w14:paraId="0896782B" w14:textId="77777777" w:rsidR="00C61B7D" w:rsidRDefault="00C61B7D" w:rsidP="003845C1">
      <w:pPr>
        <w:tabs>
          <w:tab w:val="left" w:pos="284"/>
        </w:tabs>
        <w:spacing w:before="120" w:after="120" w:line="240" w:lineRule="auto"/>
        <w:rPr>
          <w:rFonts w:ascii="Open Sans" w:eastAsiaTheme="minorHAnsi" w:hAnsi="Open Sans" w:cs="Open Sans"/>
          <w:b/>
          <w:bCs/>
          <w:color w:val="2F5496"/>
          <w:lang w:eastAsia="en-US"/>
        </w:rPr>
      </w:pPr>
    </w:p>
    <w:p w14:paraId="095BD362" w14:textId="7E982DB8" w:rsidR="003845C1" w:rsidRDefault="003845C1" w:rsidP="003845C1">
      <w:pPr>
        <w:tabs>
          <w:tab w:val="left" w:pos="284"/>
        </w:tabs>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Section 3 </w:t>
      </w:r>
    </w:p>
    <w:p w14:paraId="17913C0D" w14:textId="39B9713A" w:rsidR="003845C1" w:rsidRPr="003845C1" w:rsidRDefault="003845C1" w:rsidP="003845C1">
      <w:pPr>
        <w:numPr>
          <w:ilvl w:val="0"/>
          <w:numId w:val="11"/>
        </w:numPr>
        <w:tabs>
          <w:tab w:val="left" w:pos="284"/>
        </w:tabs>
        <w:spacing w:before="120" w:after="120" w:line="240" w:lineRule="auto"/>
        <w:ind w:left="0" w:firstLine="0"/>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Do you agree with our approach to business model design? </w:t>
      </w:r>
    </w:p>
    <w:p w14:paraId="46229FC0" w14:textId="6B9D9CF2" w:rsidR="003845C1" w:rsidRPr="003845C1" w:rsidRDefault="006E5F25" w:rsidP="003845C1">
      <w:pPr>
        <w:tabs>
          <w:tab w:val="left" w:pos="284"/>
        </w:tabs>
        <w:spacing w:before="120" w:after="120" w:line="240" w:lineRule="auto"/>
        <w:rPr>
          <w:rFonts w:ascii="Open Sans" w:eastAsia="Open Sans" w:hAnsi="Open Sans" w:cs="Open Sans"/>
        </w:rPr>
      </w:pPr>
      <w:r>
        <w:rPr>
          <w:rFonts w:ascii="Open Sans" w:eastAsia="Open Sans" w:hAnsi="Open Sans" w:cs="Open Sans"/>
        </w:rPr>
        <w:t>Overall</w:t>
      </w:r>
      <w:r w:rsidR="005B1A42">
        <w:rPr>
          <w:rFonts w:ascii="Open Sans" w:eastAsia="Open Sans" w:hAnsi="Open Sans" w:cs="Open Sans"/>
        </w:rPr>
        <w:t xml:space="preserve">, </w:t>
      </w:r>
      <w:r>
        <w:rPr>
          <w:rFonts w:ascii="Open Sans" w:eastAsia="Open Sans" w:hAnsi="Open Sans" w:cs="Open Sans"/>
        </w:rPr>
        <w:t>we agree with the principles set</w:t>
      </w:r>
      <w:r w:rsidR="001D2D51">
        <w:rPr>
          <w:rFonts w:ascii="Open Sans" w:eastAsia="Open Sans" w:hAnsi="Open Sans" w:cs="Open Sans"/>
        </w:rPr>
        <w:t xml:space="preserve"> out</w:t>
      </w:r>
      <w:r>
        <w:rPr>
          <w:rFonts w:ascii="Open Sans" w:eastAsia="Open Sans" w:hAnsi="Open Sans" w:cs="Open Sans"/>
        </w:rPr>
        <w:t xml:space="preserve"> in this section of the consultation. </w:t>
      </w:r>
    </w:p>
    <w:p w14:paraId="44423839" w14:textId="77777777" w:rsidR="005B1A42" w:rsidRDefault="005B1A42" w:rsidP="003845C1">
      <w:pPr>
        <w:tabs>
          <w:tab w:val="left" w:pos="284"/>
        </w:tabs>
        <w:spacing w:before="120" w:after="120" w:line="240" w:lineRule="auto"/>
        <w:rPr>
          <w:rFonts w:ascii="Open Sans" w:eastAsiaTheme="minorHAnsi" w:hAnsi="Open Sans" w:cs="Open Sans"/>
          <w:b/>
          <w:bCs/>
          <w:color w:val="2F5496"/>
          <w:lang w:eastAsia="en-US"/>
        </w:rPr>
      </w:pPr>
    </w:p>
    <w:p w14:paraId="1189FE3C" w14:textId="48140CF7" w:rsidR="003845C1" w:rsidRDefault="003845C1" w:rsidP="003845C1">
      <w:pPr>
        <w:tabs>
          <w:tab w:val="left" w:pos="284"/>
        </w:tabs>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Section 4 </w:t>
      </w:r>
    </w:p>
    <w:p w14:paraId="04129F31" w14:textId="77777777" w:rsidR="00102666" w:rsidRDefault="003845C1" w:rsidP="003845C1">
      <w:pPr>
        <w:tabs>
          <w:tab w:val="left" w:pos="284"/>
        </w:tabs>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3. Do you agree with our minded to position for a variable premium for price support? Please provide arguments to support your view. </w:t>
      </w:r>
    </w:p>
    <w:p w14:paraId="07109E90" w14:textId="2595B62A" w:rsidR="00A83B97" w:rsidRDefault="00D11A69" w:rsidP="00A83B97">
      <w:pPr>
        <w:spacing w:before="120" w:after="120" w:line="240" w:lineRule="auto"/>
        <w:rPr>
          <w:rFonts w:ascii="Open Sans" w:eastAsia="Open Sans" w:hAnsi="Open Sans" w:cs="Open Sans"/>
        </w:rPr>
      </w:pPr>
      <w:r>
        <w:rPr>
          <w:rFonts w:ascii="Open Sans" w:eastAsia="Open Sans" w:hAnsi="Open Sans" w:cs="Open Sans"/>
        </w:rPr>
        <w:t>Some m</w:t>
      </w:r>
      <w:r w:rsidR="00A83B97">
        <w:rPr>
          <w:rFonts w:ascii="Open Sans" w:eastAsia="Open Sans" w:hAnsi="Open Sans" w:cs="Open Sans"/>
        </w:rPr>
        <w:t>embers of the REA have highlighted that financeability of any producer-led subsidy is ke</w:t>
      </w:r>
      <w:r>
        <w:rPr>
          <w:rFonts w:ascii="Open Sans" w:eastAsia="Open Sans" w:hAnsi="Open Sans" w:cs="Open Sans"/>
        </w:rPr>
        <w:t xml:space="preserve">y: it is paramount that </w:t>
      </w:r>
      <w:r w:rsidR="00A83B97">
        <w:rPr>
          <w:rFonts w:ascii="Open Sans" w:eastAsia="Open Sans" w:hAnsi="Open Sans" w:cs="Open Sans"/>
        </w:rPr>
        <w:t xml:space="preserve">the structure of the revenue scheme </w:t>
      </w:r>
      <w:r>
        <w:rPr>
          <w:rFonts w:ascii="Open Sans" w:eastAsia="Open Sans" w:hAnsi="Open Sans" w:cs="Open Sans"/>
        </w:rPr>
        <w:t>gives</w:t>
      </w:r>
      <w:r w:rsidR="00A83B97">
        <w:rPr>
          <w:rFonts w:ascii="Open Sans" w:eastAsia="Open Sans" w:hAnsi="Open Sans" w:cs="Open Sans"/>
        </w:rPr>
        <w:t xml:space="preserve"> investors and developers enough predictability on the project</w:t>
      </w:r>
      <w:r w:rsidR="001D2D51">
        <w:rPr>
          <w:rFonts w:ascii="Open Sans" w:eastAsia="Open Sans" w:hAnsi="Open Sans" w:cs="Open Sans"/>
        </w:rPr>
        <w:t>’</w:t>
      </w:r>
      <w:r w:rsidR="00A83B97">
        <w:rPr>
          <w:rFonts w:ascii="Open Sans" w:eastAsia="Open Sans" w:hAnsi="Open Sans" w:cs="Open Sans"/>
        </w:rPr>
        <w:t xml:space="preserve">s overall returns over the length of the contract and sufficient upside for equity investments. </w:t>
      </w:r>
    </w:p>
    <w:p w14:paraId="0A61C211" w14:textId="12D3E400" w:rsidR="00153E18" w:rsidRDefault="00C61B7D" w:rsidP="00153E18">
      <w:pPr>
        <w:spacing w:before="120" w:after="120" w:line="240" w:lineRule="auto"/>
        <w:rPr>
          <w:rFonts w:ascii="Open Sans" w:eastAsia="Open Sans" w:hAnsi="Open Sans" w:cs="Open Sans"/>
        </w:rPr>
      </w:pPr>
      <w:r>
        <w:rPr>
          <w:rFonts w:ascii="Open Sans" w:eastAsia="Open Sans" w:hAnsi="Open Sans" w:cs="Open Sans"/>
        </w:rPr>
        <w:t>O</w:t>
      </w:r>
      <w:r w:rsidR="00D11A69">
        <w:rPr>
          <w:rFonts w:ascii="Open Sans" w:eastAsia="Open Sans" w:hAnsi="Open Sans" w:cs="Open Sans"/>
        </w:rPr>
        <w:t>ther</w:t>
      </w:r>
      <w:r w:rsidR="00A83B97">
        <w:rPr>
          <w:rFonts w:ascii="Open Sans" w:eastAsia="Open Sans" w:hAnsi="Open Sans" w:cs="Open Sans"/>
        </w:rPr>
        <w:t xml:space="preserve"> m</w:t>
      </w:r>
      <w:r w:rsidR="00153E18">
        <w:rPr>
          <w:rFonts w:ascii="Open Sans" w:eastAsia="Open Sans" w:hAnsi="Open Sans" w:cs="Open Sans"/>
        </w:rPr>
        <w:t xml:space="preserve">embers have raised concerns about the </w:t>
      </w:r>
      <w:r w:rsidR="00633915">
        <w:rPr>
          <w:rFonts w:ascii="Open Sans" w:eastAsia="Open Sans" w:hAnsi="Open Sans" w:cs="Open Sans"/>
        </w:rPr>
        <w:t xml:space="preserve">significant </w:t>
      </w:r>
      <w:r w:rsidR="00153E18">
        <w:rPr>
          <w:rFonts w:ascii="Open Sans" w:eastAsia="Open Sans" w:hAnsi="Open Sans" w:cs="Open Sans"/>
        </w:rPr>
        <w:t xml:space="preserve">complexity of </w:t>
      </w:r>
      <w:r w:rsidR="00633915">
        <w:rPr>
          <w:rFonts w:ascii="Open Sans" w:eastAsia="Open Sans" w:hAnsi="Open Sans" w:cs="Open Sans"/>
        </w:rPr>
        <w:t>the proposed</w:t>
      </w:r>
      <w:r w:rsidR="00153E18">
        <w:rPr>
          <w:rFonts w:ascii="Open Sans" w:eastAsia="Open Sans" w:hAnsi="Open Sans" w:cs="Open Sans"/>
        </w:rPr>
        <w:t xml:space="preserve"> variable premium mechanism</w:t>
      </w:r>
      <w:r w:rsidR="00F82872">
        <w:rPr>
          <w:rFonts w:ascii="Open Sans" w:eastAsia="Open Sans" w:hAnsi="Open Sans" w:cs="Open Sans"/>
        </w:rPr>
        <w:t>,</w:t>
      </w:r>
      <w:r w:rsidR="00153E18">
        <w:rPr>
          <w:rFonts w:ascii="Open Sans" w:eastAsia="Open Sans" w:hAnsi="Open Sans" w:cs="Open Sans"/>
        </w:rPr>
        <w:t xml:space="preserve"> </w:t>
      </w:r>
      <w:r w:rsidR="00633915">
        <w:rPr>
          <w:rFonts w:ascii="Open Sans" w:eastAsia="Open Sans" w:hAnsi="Open Sans" w:cs="Open Sans"/>
        </w:rPr>
        <w:t>w</w:t>
      </w:r>
      <w:r w:rsidR="00D11A69">
        <w:rPr>
          <w:rFonts w:ascii="Open Sans" w:eastAsia="Open Sans" w:hAnsi="Open Sans" w:cs="Open Sans"/>
        </w:rPr>
        <w:t xml:space="preserve">hich </w:t>
      </w:r>
      <w:r w:rsidR="005B1A42">
        <w:rPr>
          <w:rFonts w:ascii="Open Sans" w:eastAsia="Open Sans" w:hAnsi="Open Sans" w:cs="Open Sans"/>
        </w:rPr>
        <w:t>is regarded as having</w:t>
      </w:r>
      <w:r w:rsidR="00633915">
        <w:rPr>
          <w:rFonts w:ascii="Open Sans" w:eastAsia="Open Sans" w:hAnsi="Open Sans" w:cs="Open Sans"/>
        </w:rPr>
        <w:t xml:space="preserve"> ‘too many moving </w:t>
      </w:r>
      <w:proofErr w:type="gramStart"/>
      <w:r w:rsidR="00633915">
        <w:rPr>
          <w:rFonts w:ascii="Open Sans" w:eastAsia="Open Sans" w:hAnsi="Open Sans" w:cs="Open Sans"/>
        </w:rPr>
        <w:t>parts’</w:t>
      </w:r>
      <w:proofErr w:type="gramEnd"/>
      <w:r w:rsidR="00633915">
        <w:rPr>
          <w:rFonts w:ascii="Open Sans" w:eastAsia="Open Sans" w:hAnsi="Open Sans" w:cs="Open Sans"/>
        </w:rPr>
        <w:t xml:space="preserve">. </w:t>
      </w:r>
      <w:r w:rsidR="00A83B97">
        <w:rPr>
          <w:rFonts w:ascii="Open Sans" w:eastAsia="Open Sans" w:hAnsi="Open Sans" w:cs="Open Sans"/>
        </w:rPr>
        <w:t>These members are</w:t>
      </w:r>
      <w:r w:rsidR="00854DDB">
        <w:rPr>
          <w:rFonts w:ascii="Open Sans" w:eastAsia="Open Sans" w:hAnsi="Open Sans" w:cs="Open Sans"/>
        </w:rPr>
        <w:t xml:space="preserve"> concerned that </w:t>
      </w:r>
      <w:r w:rsidR="00D11A69">
        <w:rPr>
          <w:rFonts w:ascii="Open Sans" w:eastAsia="Open Sans" w:hAnsi="Open Sans" w:cs="Open Sans"/>
        </w:rPr>
        <w:t xml:space="preserve">such </w:t>
      </w:r>
      <w:r w:rsidR="00633915">
        <w:rPr>
          <w:rFonts w:ascii="Open Sans" w:eastAsia="Open Sans" w:hAnsi="Open Sans" w:cs="Open Sans"/>
        </w:rPr>
        <w:t xml:space="preserve">complexity </w:t>
      </w:r>
      <w:r w:rsidR="00153E18">
        <w:rPr>
          <w:rFonts w:ascii="Open Sans" w:eastAsia="Open Sans" w:hAnsi="Open Sans" w:cs="Open Sans"/>
        </w:rPr>
        <w:t xml:space="preserve">may </w:t>
      </w:r>
      <w:r w:rsidR="00854DDB">
        <w:rPr>
          <w:rFonts w:ascii="Open Sans" w:eastAsia="Open Sans" w:hAnsi="Open Sans" w:cs="Open Sans"/>
        </w:rPr>
        <w:t>deter</w:t>
      </w:r>
      <w:r w:rsidR="00153E18">
        <w:rPr>
          <w:rFonts w:ascii="Open Sans" w:eastAsia="Open Sans" w:hAnsi="Open Sans" w:cs="Open Sans"/>
        </w:rPr>
        <w:t xml:space="preserve"> smaller projects</w:t>
      </w:r>
      <w:r w:rsidR="005B1A42">
        <w:rPr>
          <w:rFonts w:ascii="Open Sans" w:eastAsia="Open Sans" w:hAnsi="Open Sans" w:cs="Open Sans"/>
        </w:rPr>
        <w:t xml:space="preserve">, or companies with more limited financial and human resources, </w:t>
      </w:r>
      <w:r w:rsidR="00854DDB">
        <w:rPr>
          <w:rFonts w:ascii="Open Sans" w:eastAsia="Open Sans" w:hAnsi="Open Sans" w:cs="Open Sans"/>
        </w:rPr>
        <w:t>from</w:t>
      </w:r>
      <w:r w:rsidR="00153E18">
        <w:rPr>
          <w:rFonts w:ascii="Open Sans" w:eastAsia="Open Sans" w:hAnsi="Open Sans" w:cs="Open Sans"/>
        </w:rPr>
        <w:t xml:space="preserve"> </w:t>
      </w:r>
      <w:r w:rsidR="00854DDB">
        <w:rPr>
          <w:rFonts w:ascii="Open Sans" w:eastAsia="Open Sans" w:hAnsi="Open Sans" w:cs="Open Sans"/>
        </w:rPr>
        <w:t>applying</w:t>
      </w:r>
      <w:r w:rsidR="005B1A42">
        <w:rPr>
          <w:rFonts w:ascii="Open Sans" w:eastAsia="Open Sans" w:hAnsi="Open Sans" w:cs="Open Sans"/>
        </w:rPr>
        <w:t xml:space="preserve">. This is mostly due to the contractual complexity </w:t>
      </w:r>
      <w:proofErr w:type="spellStart"/>
      <w:proofErr w:type="gramStart"/>
      <w:r w:rsidR="005B1A42">
        <w:rPr>
          <w:rFonts w:ascii="Open Sans" w:eastAsia="Open Sans" w:hAnsi="Open Sans" w:cs="Open Sans"/>
        </w:rPr>
        <w:t>ie</w:t>
      </w:r>
      <w:proofErr w:type="spellEnd"/>
      <w:proofErr w:type="gramEnd"/>
      <w:r w:rsidR="005B1A42">
        <w:rPr>
          <w:rFonts w:ascii="Open Sans" w:eastAsia="Open Sans" w:hAnsi="Open Sans" w:cs="Open Sans"/>
        </w:rPr>
        <w:t xml:space="preserve"> </w:t>
      </w:r>
      <w:r w:rsidR="00153E18" w:rsidRPr="00153E18">
        <w:rPr>
          <w:rFonts w:ascii="Open Sans" w:eastAsia="Open Sans" w:hAnsi="Open Sans" w:cs="Open Sans"/>
        </w:rPr>
        <w:t xml:space="preserve">the </w:t>
      </w:r>
      <w:r w:rsidR="00F82872">
        <w:rPr>
          <w:rFonts w:ascii="Open Sans" w:eastAsia="Open Sans" w:hAnsi="Open Sans" w:cs="Open Sans"/>
        </w:rPr>
        <w:t xml:space="preserve">significant </w:t>
      </w:r>
      <w:r w:rsidR="00153E18" w:rsidRPr="00153E18">
        <w:rPr>
          <w:rFonts w:ascii="Open Sans" w:eastAsia="Open Sans" w:hAnsi="Open Sans" w:cs="Open Sans"/>
        </w:rPr>
        <w:t xml:space="preserve">administrative costs </w:t>
      </w:r>
      <w:r w:rsidR="005B1A42">
        <w:rPr>
          <w:rFonts w:ascii="Open Sans" w:eastAsia="Open Sans" w:hAnsi="Open Sans" w:cs="Open Sans"/>
        </w:rPr>
        <w:t xml:space="preserve">and burden </w:t>
      </w:r>
      <w:r w:rsidR="00F82872">
        <w:rPr>
          <w:rFonts w:ascii="Open Sans" w:eastAsia="Open Sans" w:hAnsi="Open Sans" w:cs="Open Sans"/>
        </w:rPr>
        <w:t xml:space="preserve">associated with </w:t>
      </w:r>
      <w:r w:rsidR="00153E18">
        <w:rPr>
          <w:rFonts w:ascii="Open Sans" w:eastAsia="Open Sans" w:hAnsi="Open Sans" w:cs="Open Sans"/>
        </w:rPr>
        <w:t>preparing</w:t>
      </w:r>
      <w:r w:rsidR="000D5319">
        <w:rPr>
          <w:rFonts w:ascii="Open Sans" w:eastAsia="Open Sans" w:hAnsi="Open Sans" w:cs="Open Sans"/>
        </w:rPr>
        <w:t xml:space="preserve">, </w:t>
      </w:r>
      <w:r w:rsidR="00153E18" w:rsidRPr="00153E18">
        <w:rPr>
          <w:rFonts w:ascii="Open Sans" w:eastAsia="Open Sans" w:hAnsi="Open Sans" w:cs="Open Sans"/>
        </w:rPr>
        <w:t>applying</w:t>
      </w:r>
      <w:r w:rsidR="005B1A42">
        <w:rPr>
          <w:rFonts w:ascii="Open Sans" w:eastAsia="Open Sans" w:hAnsi="Open Sans" w:cs="Open Sans"/>
        </w:rPr>
        <w:t xml:space="preserve">, </w:t>
      </w:r>
      <w:r w:rsidR="000D5319">
        <w:rPr>
          <w:rFonts w:ascii="Open Sans" w:eastAsia="Open Sans" w:hAnsi="Open Sans" w:cs="Open Sans"/>
        </w:rPr>
        <w:t>bidding</w:t>
      </w:r>
      <w:r w:rsidR="00153E18" w:rsidRPr="00153E18">
        <w:rPr>
          <w:rFonts w:ascii="Open Sans" w:eastAsia="Open Sans" w:hAnsi="Open Sans" w:cs="Open Sans"/>
        </w:rPr>
        <w:t xml:space="preserve"> </w:t>
      </w:r>
      <w:r w:rsidR="005B1A42">
        <w:rPr>
          <w:rFonts w:ascii="Open Sans" w:eastAsia="Open Sans" w:hAnsi="Open Sans" w:cs="Open Sans"/>
        </w:rPr>
        <w:t>for,</w:t>
      </w:r>
      <w:r w:rsidR="00153E18" w:rsidRPr="00153E18">
        <w:rPr>
          <w:rFonts w:ascii="Open Sans" w:eastAsia="Open Sans" w:hAnsi="Open Sans" w:cs="Open Sans"/>
        </w:rPr>
        <w:t xml:space="preserve"> negotiating</w:t>
      </w:r>
      <w:r w:rsidR="00153E18">
        <w:rPr>
          <w:rFonts w:ascii="Open Sans" w:eastAsia="Open Sans" w:hAnsi="Open Sans" w:cs="Open Sans"/>
        </w:rPr>
        <w:t xml:space="preserve"> </w:t>
      </w:r>
      <w:r w:rsidR="005B1A42">
        <w:rPr>
          <w:rFonts w:ascii="Open Sans" w:eastAsia="Open Sans" w:hAnsi="Open Sans" w:cs="Open Sans"/>
        </w:rPr>
        <w:t>and meeting the terms and conditions/managing the</w:t>
      </w:r>
      <w:r w:rsidR="00F82872">
        <w:rPr>
          <w:rFonts w:ascii="Open Sans" w:eastAsia="Open Sans" w:hAnsi="Open Sans" w:cs="Open Sans"/>
        </w:rPr>
        <w:t xml:space="preserve"> contract</w:t>
      </w:r>
      <w:r w:rsidR="005B1A42">
        <w:rPr>
          <w:rFonts w:ascii="Open Sans" w:eastAsia="Open Sans" w:hAnsi="Open Sans" w:cs="Open Sans"/>
        </w:rPr>
        <w:t xml:space="preserve"> </w:t>
      </w:r>
      <w:r w:rsidR="00633915">
        <w:rPr>
          <w:rFonts w:ascii="Open Sans" w:eastAsia="Open Sans" w:hAnsi="Open Sans" w:cs="Open Sans"/>
        </w:rPr>
        <w:t>under the proposed scheme</w:t>
      </w:r>
      <w:r w:rsidR="00D11A69">
        <w:rPr>
          <w:rFonts w:ascii="Open Sans" w:eastAsia="Open Sans" w:hAnsi="Open Sans" w:cs="Open Sans"/>
        </w:rPr>
        <w:t xml:space="preserve">, </w:t>
      </w:r>
      <w:r w:rsidR="00E534C4">
        <w:rPr>
          <w:rFonts w:ascii="Open Sans" w:eastAsia="Open Sans" w:hAnsi="Open Sans" w:cs="Open Sans"/>
        </w:rPr>
        <w:t xml:space="preserve">which may </w:t>
      </w:r>
      <w:r w:rsidR="001D2D51">
        <w:rPr>
          <w:rFonts w:ascii="Open Sans" w:eastAsia="Open Sans" w:hAnsi="Open Sans" w:cs="Open Sans"/>
        </w:rPr>
        <w:t xml:space="preserve">mean that </w:t>
      </w:r>
      <w:r w:rsidR="005B1A42">
        <w:rPr>
          <w:rFonts w:ascii="Open Sans" w:eastAsia="Open Sans" w:hAnsi="Open Sans" w:cs="Open Sans"/>
        </w:rPr>
        <w:t>the scheme</w:t>
      </w:r>
      <w:r w:rsidR="001D2D51">
        <w:rPr>
          <w:rFonts w:ascii="Open Sans" w:eastAsia="Open Sans" w:hAnsi="Open Sans" w:cs="Open Sans"/>
        </w:rPr>
        <w:t xml:space="preserve"> is</w:t>
      </w:r>
      <w:r w:rsidR="005B1A42">
        <w:rPr>
          <w:rFonts w:ascii="Open Sans" w:eastAsia="Open Sans" w:hAnsi="Open Sans" w:cs="Open Sans"/>
        </w:rPr>
        <w:t xml:space="preserve"> </w:t>
      </w:r>
      <w:r w:rsidR="00E534C4">
        <w:rPr>
          <w:rFonts w:ascii="Open Sans" w:eastAsia="Open Sans" w:hAnsi="Open Sans" w:cs="Open Sans"/>
        </w:rPr>
        <w:t xml:space="preserve">not affordable for </w:t>
      </w:r>
      <w:r w:rsidR="005B1A42">
        <w:rPr>
          <w:rFonts w:ascii="Open Sans" w:eastAsia="Open Sans" w:hAnsi="Open Sans" w:cs="Open Sans"/>
        </w:rPr>
        <w:t xml:space="preserve">these types of projects. </w:t>
      </w:r>
    </w:p>
    <w:p w14:paraId="32C8ED70" w14:textId="0C4A6F09" w:rsidR="00D11A69" w:rsidRDefault="00A83B97" w:rsidP="00D11A69">
      <w:pPr>
        <w:spacing w:before="120" w:after="120" w:line="240" w:lineRule="auto"/>
        <w:rPr>
          <w:rFonts w:ascii="Open Sans" w:eastAsia="Open Sans" w:hAnsi="Open Sans" w:cs="Open Sans"/>
        </w:rPr>
      </w:pPr>
      <w:r>
        <w:rPr>
          <w:rFonts w:ascii="Open Sans" w:eastAsia="Open Sans" w:hAnsi="Open Sans" w:cs="Open Sans"/>
        </w:rPr>
        <w:t>These</w:t>
      </w:r>
      <w:r w:rsidR="00E553F3">
        <w:rPr>
          <w:rFonts w:ascii="Open Sans" w:eastAsia="Open Sans" w:hAnsi="Open Sans" w:cs="Open Sans"/>
        </w:rPr>
        <w:t xml:space="preserve"> members</w:t>
      </w:r>
      <w:r w:rsidR="00153E18">
        <w:rPr>
          <w:rFonts w:ascii="Open Sans" w:eastAsia="Open Sans" w:hAnsi="Open Sans" w:cs="Open Sans"/>
        </w:rPr>
        <w:t xml:space="preserve"> feel that </w:t>
      </w:r>
      <w:r w:rsidR="00D11A69">
        <w:rPr>
          <w:rFonts w:ascii="Open Sans" w:eastAsia="Open Sans" w:hAnsi="Open Sans" w:cs="Open Sans"/>
        </w:rPr>
        <w:t>other</w:t>
      </w:r>
      <w:r w:rsidR="005B1A42">
        <w:rPr>
          <w:rFonts w:ascii="Open Sans" w:eastAsia="Open Sans" w:hAnsi="Open Sans" w:cs="Open Sans"/>
        </w:rPr>
        <w:t>,</w:t>
      </w:r>
      <w:r w:rsidR="00D11A69">
        <w:rPr>
          <w:rFonts w:ascii="Open Sans" w:eastAsia="Open Sans" w:hAnsi="Open Sans" w:cs="Open Sans"/>
        </w:rPr>
        <w:t xml:space="preserve"> simpler options should be kept on the table and perhaps be introduced as an introductory or an early regime to support early projects. </w:t>
      </w:r>
    </w:p>
    <w:p w14:paraId="098BDEE0" w14:textId="717BAA68" w:rsidR="00153E18" w:rsidRDefault="00D11A69" w:rsidP="00153E18">
      <w:pPr>
        <w:spacing w:before="120" w:after="120" w:line="240" w:lineRule="auto"/>
        <w:rPr>
          <w:rFonts w:ascii="Open Sans" w:eastAsia="Open Sans" w:hAnsi="Open Sans" w:cs="Open Sans"/>
        </w:rPr>
      </w:pPr>
      <w:r>
        <w:rPr>
          <w:rFonts w:ascii="Open Sans" w:eastAsia="Open Sans" w:hAnsi="Open Sans" w:cs="Open Sans"/>
        </w:rPr>
        <w:t xml:space="preserve">Some members are very supportive of </w:t>
      </w:r>
      <w:r w:rsidR="00153E18">
        <w:rPr>
          <w:rFonts w:ascii="Open Sans" w:eastAsia="Open Sans" w:hAnsi="Open Sans" w:cs="Open Sans"/>
        </w:rPr>
        <w:t xml:space="preserve">a </w:t>
      </w:r>
      <w:r w:rsidR="00F82872">
        <w:rPr>
          <w:rFonts w:ascii="Open Sans" w:eastAsia="Open Sans" w:hAnsi="Open Sans" w:cs="Open Sans"/>
        </w:rPr>
        <w:t xml:space="preserve">fixed </w:t>
      </w:r>
      <w:r w:rsidR="00153E18">
        <w:rPr>
          <w:rFonts w:ascii="Open Sans" w:eastAsia="Open Sans" w:hAnsi="Open Sans" w:cs="Open Sans"/>
        </w:rPr>
        <w:t>premium</w:t>
      </w:r>
      <w:r>
        <w:rPr>
          <w:rFonts w:ascii="Open Sans" w:eastAsia="Open Sans" w:hAnsi="Open Sans" w:cs="Open Sans"/>
        </w:rPr>
        <w:t xml:space="preserve"> price which </w:t>
      </w:r>
      <w:r w:rsidR="00633915">
        <w:rPr>
          <w:rFonts w:ascii="Open Sans" w:eastAsia="Open Sans" w:hAnsi="Open Sans" w:cs="Open Sans"/>
        </w:rPr>
        <w:t xml:space="preserve">would </w:t>
      </w:r>
      <w:r w:rsidR="00E553F3">
        <w:rPr>
          <w:rFonts w:ascii="Open Sans" w:eastAsia="Open Sans" w:hAnsi="Open Sans" w:cs="Open Sans"/>
        </w:rPr>
        <w:t xml:space="preserve">function </w:t>
      </w:r>
      <w:r w:rsidR="00153E18">
        <w:rPr>
          <w:rFonts w:ascii="Open Sans" w:eastAsia="Open Sans" w:hAnsi="Open Sans" w:cs="Open Sans"/>
        </w:rPr>
        <w:t xml:space="preserve">in a similar way to </w:t>
      </w:r>
      <w:r w:rsidR="00F82872">
        <w:rPr>
          <w:rFonts w:ascii="Open Sans" w:eastAsia="Open Sans" w:hAnsi="Open Sans" w:cs="Open Sans"/>
        </w:rPr>
        <w:t>a variable premium</w:t>
      </w:r>
      <w:r w:rsidR="00633915">
        <w:rPr>
          <w:rFonts w:ascii="Open Sans" w:eastAsia="Open Sans" w:hAnsi="Open Sans" w:cs="Open Sans"/>
        </w:rPr>
        <w:t xml:space="preserve">, </w:t>
      </w:r>
      <w:r w:rsidR="00153E18">
        <w:rPr>
          <w:rFonts w:ascii="Open Sans" w:eastAsia="Open Sans" w:hAnsi="Open Sans" w:cs="Open Sans"/>
        </w:rPr>
        <w:t xml:space="preserve">but </w:t>
      </w:r>
      <w:r w:rsidR="00854DDB">
        <w:rPr>
          <w:rFonts w:ascii="Open Sans" w:eastAsia="Open Sans" w:hAnsi="Open Sans" w:cs="Open Sans"/>
        </w:rPr>
        <w:t xml:space="preserve">it </w:t>
      </w:r>
      <w:r w:rsidR="00153E18">
        <w:rPr>
          <w:rFonts w:ascii="Open Sans" w:eastAsia="Open Sans" w:hAnsi="Open Sans" w:cs="Open Sans"/>
        </w:rPr>
        <w:t xml:space="preserve">would </w:t>
      </w:r>
      <w:r w:rsidR="000D5319">
        <w:rPr>
          <w:rFonts w:ascii="Open Sans" w:eastAsia="Open Sans" w:hAnsi="Open Sans" w:cs="Open Sans"/>
        </w:rPr>
        <w:t xml:space="preserve">be </w:t>
      </w:r>
      <w:r w:rsidR="00153E18">
        <w:rPr>
          <w:rFonts w:ascii="Open Sans" w:eastAsia="Open Sans" w:hAnsi="Open Sans" w:cs="Open Sans"/>
        </w:rPr>
        <w:t xml:space="preserve">much simpler and could still be allocated </w:t>
      </w:r>
      <w:r w:rsidR="00E553F3">
        <w:rPr>
          <w:rFonts w:ascii="Open Sans" w:eastAsia="Open Sans" w:hAnsi="Open Sans" w:cs="Open Sans"/>
        </w:rPr>
        <w:t>on a competitive basis</w:t>
      </w:r>
      <w:r w:rsidR="00E534C4">
        <w:rPr>
          <w:rFonts w:ascii="Open Sans" w:eastAsia="Open Sans" w:hAnsi="Open Sans" w:cs="Open Sans"/>
        </w:rPr>
        <w:t xml:space="preserve"> if the price discovery element is seen as critical by the Government</w:t>
      </w:r>
      <w:r w:rsidR="00153E18">
        <w:rPr>
          <w:rFonts w:ascii="Open Sans" w:eastAsia="Open Sans" w:hAnsi="Open Sans" w:cs="Open Sans"/>
        </w:rPr>
        <w:t xml:space="preserve">. This would simplify the process </w:t>
      </w:r>
      <w:r w:rsidR="000D5319">
        <w:rPr>
          <w:rFonts w:ascii="Open Sans" w:eastAsia="Open Sans" w:hAnsi="Open Sans" w:cs="Open Sans"/>
        </w:rPr>
        <w:t xml:space="preserve">especially </w:t>
      </w:r>
      <w:r w:rsidR="00153E18">
        <w:rPr>
          <w:rFonts w:ascii="Open Sans" w:eastAsia="Open Sans" w:hAnsi="Open Sans" w:cs="Open Sans"/>
        </w:rPr>
        <w:t xml:space="preserve">for smaller projects, </w:t>
      </w:r>
      <w:r w:rsidR="00F82872">
        <w:rPr>
          <w:rFonts w:ascii="Open Sans" w:eastAsia="Open Sans" w:hAnsi="Open Sans" w:cs="Open Sans"/>
        </w:rPr>
        <w:t xml:space="preserve">and it </w:t>
      </w:r>
      <w:r w:rsidR="00153E18">
        <w:rPr>
          <w:rFonts w:ascii="Open Sans" w:eastAsia="Open Sans" w:hAnsi="Open Sans" w:cs="Open Sans"/>
        </w:rPr>
        <w:t xml:space="preserve">would be much lighter in terms of bureaucracy </w:t>
      </w:r>
      <w:r w:rsidR="00E553F3">
        <w:rPr>
          <w:rFonts w:ascii="Open Sans" w:eastAsia="Open Sans" w:hAnsi="Open Sans" w:cs="Open Sans"/>
        </w:rPr>
        <w:t>and contract manag</w:t>
      </w:r>
      <w:r w:rsidR="000D5319">
        <w:rPr>
          <w:rFonts w:ascii="Open Sans" w:eastAsia="Open Sans" w:hAnsi="Open Sans" w:cs="Open Sans"/>
        </w:rPr>
        <w:t>ement</w:t>
      </w:r>
      <w:r w:rsidR="00E553F3">
        <w:rPr>
          <w:rFonts w:ascii="Open Sans" w:eastAsia="Open Sans" w:hAnsi="Open Sans" w:cs="Open Sans"/>
        </w:rPr>
        <w:t xml:space="preserve">. </w:t>
      </w:r>
      <w:r w:rsidR="00E534C4">
        <w:rPr>
          <w:rFonts w:ascii="Open Sans" w:eastAsia="Open Sans" w:hAnsi="Open Sans" w:cs="Open Sans"/>
        </w:rPr>
        <w:t>This</w:t>
      </w:r>
      <w:r w:rsidR="00E553F3">
        <w:rPr>
          <w:rFonts w:ascii="Open Sans" w:eastAsia="Open Sans" w:hAnsi="Open Sans" w:cs="Open Sans"/>
        </w:rPr>
        <w:t xml:space="preserve"> option </w:t>
      </w:r>
      <w:r w:rsidR="00E534C4">
        <w:rPr>
          <w:rFonts w:ascii="Open Sans" w:eastAsia="Open Sans" w:hAnsi="Open Sans" w:cs="Open Sans"/>
        </w:rPr>
        <w:t>should</w:t>
      </w:r>
      <w:r w:rsidR="00E553F3">
        <w:rPr>
          <w:rFonts w:ascii="Open Sans" w:eastAsia="Open Sans" w:hAnsi="Open Sans" w:cs="Open Sans"/>
        </w:rPr>
        <w:t xml:space="preserve"> be kept on the table as an introductory or </w:t>
      </w:r>
      <w:r w:rsidR="000D5319">
        <w:rPr>
          <w:rFonts w:ascii="Open Sans" w:eastAsia="Open Sans" w:hAnsi="Open Sans" w:cs="Open Sans"/>
        </w:rPr>
        <w:t xml:space="preserve">an </w:t>
      </w:r>
      <w:r w:rsidR="00E553F3">
        <w:rPr>
          <w:rFonts w:ascii="Open Sans" w:eastAsia="Open Sans" w:hAnsi="Open Sans" w:cs="Open Sans"/>
        </w:rPr>
        <w:t xml:space="preserve">early regime to support early projects. </w:t>
      </w:r>
    </w:p>
    <w:p w14:paraId="46FDB703" w14:textId="09716AB7" w:rsidR="00D11A69" w:rsidRDefault="00D11A69" w:rsidP="00A83B97">
      <w:pPr>
        <w:spacing w:before="120" w:after="120" w:line="240" w:lineRule="auto"/>
        <w:rPr>
          <w:rFonts w:ascii="Open Sans" w:eastAsia="Open Sans" w:hAnsi="Open Sans" w:cs="Open Sans"/>
        </w:rPr>
      </w:pPr>
      <w:r>
        <w:rPr>
          <w:rFonts w:ascii="Open Sans" w:eastAsia="Open Sans" w:hAnsi="Open Sans" w:cs="Open Sans"/>
        </w:rPr>
        <w:t xml:space="preserve">Alternatively, BEIS should at least consider the merit of introducing a </w:t>
      </w:r>
      <w:r w:rsidR="00A83B97">
        <w:rPr>
          <w:rFonts w:ascii="Open Sans" w:eastAsia="Open Sans" w:hAnsi="Open Sans" w:cs="Open Sans"/>
        </w:rPr>
        <w:t xml:space="preserve">fixed price initially (like a feed-in tariff), set administratively, </w:t>
      </w:r>
      <w:r>
        <w:rPr>
          <w:rFonts w:ascii="Open Sans" w:eastAsia="Open Sans" w:hAnsi="Open Sans" w:cs="Open Sans"/>
        </w:rPr>
        <w:t>but combined/topped up with a</w:t>
      </w:r>
      <w:r w:rsidR="00A83B97">
        <w:rPr>
          <w:rFonts w:ascii="Open Sans" w:eastAsia="Open Sans" w:hAnsi="Open Sans" w:cs="Open Sans"/>
        </w:rPr>
        <w:t xml:space="preserve"> variable </w:t>
      </w:r>
      <w:r w:rsidR="00A83B97">
        <w:rPr>
          <w:rFonts w:ascii="Open Sans" w:eastAsia="Open Sans" w:hAnsi="Open Sans" w:cs="Open Sans"/>
        </w:rPr>
        <w:lastRenderedPageBreak/>
        <w:t>amount directly related to gas or energy prices</w:t>
      </w:r>
      <w:r w:rsidR="00515276">
        <w:rPr>
          <w:rFonts w:ascii="Open Sans" w:eastAsia="Open Sans" w:hAnsi="Open Sans" w:cs="Open Sans"/>
        </w:rPr>
        <w:t xml:space="preserve"> which would act like the </w:t>
      </w:r>
      <w:proofErr w:type="spellStart"/>
      <w:r w:rsidR="00515276">
        <w:rPr>
          <w:rFonts w:ascii="Open Sans" w:eastAsia="Open Sans" w:hAnsi="Open Sans" w:cs="Open Sans"/>
        </w:rPr>
        <w:t>CfD</w:t>
      </w:r>
      <w:proofErr w:type="spellEnd"/>
      <w:r w:rsidR="00A83B97">
        <w:rPr>
          <w:rFonts w:ascii="Open Sans" w:eastAsia="Open Sans" w:hAnsi="Open Sans" w:cs="Open Sans"/>
        </w:rPr>
        <w:t xml:space="preserve">. </w:t>
      </w:r>
      <w:r>
        <w:rPr>
          <w:rFonts w:ascii="Open Sans" w:eastAsia="Open Sans" w:hAnsi="Open Sans" w:cs="Open Sans"/>
        </w:rPr>
        <w:t>The merits of this option in comparison to a fixed price or fixed premium approach on their own are set out below:</w:t>
      </w:r>
    </w:p>
    <w:p w14:paraId="594B434A" w14:textId="276E8475" w:rsidR="00D11A69" w:rsidRDefault="00D11A69" w:rsidP="00D11A69">
      <w:pPr>
        <w:pStyle w:val="ListParagraph"/>
        <w:numPr>
          <w:ilvl w:val="0"/>
          <w:numId w:val="14"/>
        </w:numPr>
        <w:spacing w:before="120" w:after="120" w:line="240" w:lineRule="auto"/>
        <w:rPr>
          <w:rFonts w:ascii="Open Sans" w:eastAsia="Open Sans" w:hAnsi="Open Sans" w:cs="Open Sans"/>
        </w:rPr>
      </w:pPr>
      <w:r>
        <w:rPr>
          <w:rFonts w:ascii="Open Sans" w:eastAsia="Open Sans" w:hAnsi="Open Sans" w:cs="Open Sans"/>
        </w:rPr>
        <w:t xml:space="preserve">It </w:t>
      </w:r>
      <w:r w:rsidR="00A83B97" w:rsidRPr="00D11A69">
        <w:rPr>
          <w:rFonts w:ascii="Open Sans" w:eastAsia="Open Sans" w:hAnsi="Open Sans" w:cs="Open Sans"/>
        </w:rPr>
        <w:t xml:space="preserve">would </w:t>
      </w:r>
      <w:r w:rsidR="003A162B" w:rsidRPr="00D11A69">
        <w:rPr>
          <w:rFonts w:ascii="Open Sans" w:eastAsia="Open Sans" w:hAnsi="Open Sans" w:cs="Open Sans"/>
        </w:rPr>
        <w:t>provide</w:t>
      </w:r>
      <w:r w:rsidR="00541DBE" w:rsidRPr="00D11A69">
        <w:rPr>
          <w:rFonts w:ascii="Open Sans" w:eastAsia="Open Sans" w:hAnsi="Open Sans" w:cs="Open Sans"/>
        </w:rPr>
        <w:t xml:space="preserve"> an element of</w:t>
      </w:r>
      <w:r w:rsidR="003A162B" w:rsidRPr="00D11A69">
        <w:rPr>
          <w:rFonts w:ascii="Open Sans" w:eastAsia="Open Sans" w:hAnsi="Open Sans" w:cs="Open Sans"/>
        </w:rPr>
        <w:t xml:space="preserve"> </w:t>
      </w:r>
      <w:r w:rsidR="00A83B97" w:rsidRPr="00D11A69">
        <w:rPr>
          <w:rFonts w:ascii="Open Sans" w:eastAsia="Open Sans" w:hAnsi="Open Sans" w:cs="Open Sans"/>
        </w:rPr>
        <w:t xml:space="preserve">bankability </w:t>
      </w:r>
      <w:r w:rsidR="003A162B" w:rsidRPr="00D11A69">
        <w:rPr>
          <w:rFonts w:ascii="Open Sans" w:eastAsia="Open Sans" w:hAnsi="Open Sans" w:cs="Open Sans"/>
        </w:rPr>
        <w:t xml:space="preserve">to </w:t>
      </w:r>
      <w:proofErr w:type="gramStart"/>
      <w:r w:rsidR="00A83B97" w:rsidRPr="00D11A69">
        <w:rPr>
          <w:rFonts w:ascii="Open Sans" w:eastAsia="Open Sans" w:hAnsi="Open Sans" w:cs="Open Sans"/>
        </w:rPr>
        <w:t>investors</w:t>
      </w:r>
      <w:r w:rsidR="00D802C3">
        <w:rPr>
          <w:rFonts w:ascii="Open Sans" w:eastAsia="Open Sans" w:hAnsi="Open Sans" w:cs="Open Sans"/>
        </w:rPr>
        <w:t>;</w:t>
      </w:r>
      <w:proofErr w:type="gramEnd"/>
      <w:r>
        <w:rPr>
          <w:rFonts w:ascii="Open Sans" w:eastAsia="Open Sans" w:hAnsi="Open Sans" w:cs="Open Sans"/>
        </w:rPr>
        <w:t xml:space="preserve"> </w:t>
      </w:r>
    </w:p>
    <w:p w14:paraId="09F364A0" w14:textId="20F345C3" w:rsidR="005F6074" w:rsidRDefault="00D11A69" w:rsidP="00D11A69">
      <w:pPr>
        <w:pStyle w:val="ListParagraph"/>
        <w:numPr>
          <w:ilvl w:val="0"/>
          <w:numId w:val="14"/>
        </w:numPr>
        <w:spacing w:before="120" w:after="120" w:line="240" w:lineRule="auto"/>
        <w:rPr>
          <w:rFonts w:ascii="Open Sans" w:eastAsia="Open Sans" w:hAnsi="Open Sans" w:cs="Open Sans"/>
        </w:rPr>
      </w:pPr>
      <w:r>
        <w:rPr>
          <w:rFonts w:ascii="Open Sans" w:eastAsia="Open Sans" w:hAnsi="Open Sans" w:cs="Open Sans"/>
        </w:rPr>
        <w:t xml:space="preserve">It would </w:t>
      </w:r>
      <w:r w:rsidR="00A83B97" w:rsidRPr="00D11A69">
        <w:rPr>
          <w:rFonts w:ascii="Open Sans" w:eastAsia="Open Sans" w:hAnsi="Open Sans" w:cs="Open Sans"/>
        </w:rPr>
        <w:t xml:space="preserve">avoid </w:t>
      </w:r>
      <w:r>
        <w:rPr>
          <w:rFonts w:ascii="Open Sans" w:eastAsia="Open Sans" w:hAnsi="Open Sans" w:cs="Open Sans"/>
        </w:rPr>
        <w:t xml:space="preserve">the overcomplexity of </w:t>
      </w:r>
      <w:r w:rsidR="005F6074">
        <w:rPr>
          <w:rFonts w:ascii="Open Sans" w:eastAsia="Open Sans" w:hAnsi="Open Sans" w:cs="Open Sans"/>
        </w:rPr>
        <w:t>a CfD</w:t>
      </w:r>
      <w:r w:rsidR="00D802C3">
        <w:rPr>
          <w:rFonts w:ascii="Open Sans" w:eastAsia="Open Sans" w:hAnsi="Open Sans" w:cs="Open Sans"/>
        </w:rPr>
        <w:t xml:space="preserve">/contractual </w:t>
      </w:r>
      <w:r w:rsidR="005F6074">
        <w:rPr>
          <w:rFonts w:ascii="Open Sans" w:eastAsia="Open Sans" w:hAnsi="Open Sans" w:cs="Open Sans"/>
        </w:rPr>
        <w:t xml:space="preserve">type of approach, </w:t>
      </w:r>
      <w:r>
        <w:rPr>
          <w:rFonts w:ascii="Open Sans" w:eastAsia="Open Sans" w:hAnsi="Open Sans" w:cs="Open Sans"/>
        </w:rPr>
        <w:t>which would make the scheme unaffordable for smaller scale projects</w:t>
      </w:r>
      <w:r w:rsidR="005F6074">
        <w:rPr>
          <w:rFonts w:ascii="Open Sans" w:eastAsia="Open Sans" w:hAnsi="Open Sans" w:cs="Open Sans"/>
        </w:rPr>
        <w:t xml:space="preserve"> and is premature at </w:t>
      </w:r>
      <w:r w:rsidR="003A162B" w:rsidRPr="00D11A69">
        <w:rPr>
          <w:rFonts w:ascii="Open Sans" w:eastAsia="Open Sans" w:hAnsi="Open Sans" w:cs="Open Sans"/>
        </w:rPr>
        <w:t>a</w:t>
      </w:r>
      <w:r w:rsidR="00A83B97" w:rsidRPr="00D11A69">
        <w:rPr>
          <w:rFonts w:ascii="Open Sans" w:eastAsia="Open Sans" w:hAnsi="Open Sans" w:cs="Open Sans"/>
        </w:rPr>
        <w:t xml:space="preserve"> point where the market is only just beginning</w:t>
      </w:r>
      <w:r w:rsidR="005F6074">
        <w:rPr>
          <w:rFonts w:ascii="Open Sans" w:eastAsia="Open Sans" w:hAnsi="Open Sans" w:cs="Open Sans"/>
        </w:rPr>
        <w:t>, and</w:t>
      </w:r>
    </w:p>
    <w:p w14:paraId="5F45C40E" w14:textId="77777777" w:rsidR="005F6074" w:rsidRDefault="00A83B97" w:rsidP="00D11A69">
      <w:pPr>
        <w:pStyle w:val="ListParagraph"/>
        <w:numPr>
          <w:ilvl w:val="0"/>
          <w:numId w:val="14"/>
        </w:numPr>
        <w:spacing w:before="120" w:after="120" w:line="240" w:lineRule="auto"/>
        <w:rPr>
          <w:rFonts w:ascii="Open Sans" w:eastAsia="Open Sans" w:hAnsi="Open Sans" w:cs="Open Sans"/>
        </w:rPr>
      </w:pPr>
      <w:r w:rsidRPr="00D11A69">
        <w:rPr>
          <w:rFonts w:ascii="Open Sans" w:eastAsia="Open Sans" w:hAnsi="Open Sans" w:cs="Open Sans"/>
        </w:rPr>
        <w:t xml:space="preserve">It would also address Government concerns of windfall profits when energy prices are high as the variable element </w:t>
      </w:r>
      <w:r w:rsidR="005F6074">
        <w:rPr>
          <w:rFonts w:ascii="Open Sans" w:eastAsia="Open Sans" w:hAnsi="Open Sans" w:cs="Open Sans"/>
        </w:rPr>
        <w:t>is adjusted to</w:t>
      </w:r>
      <w:r w:rsidRPr="00D11A69">
        <w:rPr>
          <w:rFonts w:ascii="Open Sans" w:eastAsia="Open Sans" w:hAnsi="Open Sans" w:cs="Open Sans"/>
        </w:rPr>
        <w:t xml:space="preserve"> reflect these. </w:t>
      </w:r>
    </w:p>
    <w:p w14:paraId="77369436" w14:textId="1BF319D4" w:rsidR="00A83B97" w:rsidRPr="00515276" w:rsidRDefault="00A83B97" w:rsidP="005F6074">
      <w:pPr>
        <w:spacing w:before="120" w:after="120" w:line="240" w:lineRule="auto"/>
        <w:rPr>
          <w:rFonts w:ascii="Open Sans" w:eastAsia="Open Sans" w:hAnsi="Open Sans" w:cs="Open Sans"/>
        </w:rPr>
      </w:pPr>
      <w:r w:rsidRPr="005F6074">
        <w:rPr>
          <w:rFonts w:ascii="Open Sans" w:eastAsia="Open Sans" w:hAnsi="Open Sans" w:cs="Open Sans"/>
        </w:rPr>
        <w:t xml:space="preserve">In </w:t>
      </w:r>
      <w:r w:rsidR="00541DBE" w:rsidRPr="005F6074">
        <w:rPr>
          <w:rFonts w:ascii="Open Sans" w:eastAsia="Open Sans" w:hAnsi="Open Sans" w:cs="Open Sans"/>
        </w:rPr>
        <w:t xml:space="preserve">a </w:t>
      </w:r>
      <w:r w:rsidR="005F6074">
        <w:rPr>
          <w:rFonts w:ascii="Open Sans" w:eastAsia="Open Sans" w:hAnsi="Open Sans" w:cs="Open Sans"/>
        </w:rPr>
        <w:t>few years (</w:t>
      </w:r>
      <w:proofErr w:type="gramStart"/>
      <w:r w:rsidR="005F6074">
        <w:rPr>
          <w:rFonts w:ascii="Open Sans" w:eastAsia="Open Sans" w:hAnsi="Open Sans" w:cs="Open Sans"/>
        </w:rPr>
        <w:t>e.g.</w:t>
      </w:r>
      <w:proofErr w:type="gramEnd"/>
      <w:r w:rsidR="005F6074">
        <w:rPr>
          <w:rFonts w:ascii="Open Sans" w:eastAsia="Open Sans" w:hAnsi="Open Sans" w:cs="Open Sans"/>
        </w:rPr>
        <w:t xml:space="preserve"> five years), the</w:t>
      </w:r>
      <w:r w:rsidRPr="005F6074">
        <w:rPr>
          <w:rFonts w:ascii="Open Sans" w:eastAsia="Open Sans" w:hAnsi="Open Sans" w:cs="Open Sans"/>
        </w:rPr>
        <w:t xml:space="preserve"> Government could </w:t>
      </w:r>
      <w:r w:rsidR="005F6074">
        <w:rPr>
          <w:rFonts w:ascii="Open Sans" w:eastAsia="Open Sans" w:hAnsi="Open Sans" w:cs="Open Sans"/>
        </w:rPr>
        <w:t xml:space="preserve">then </w:t>
      </w:r>
      <w:r w:rsidRPr="005F6074">
        <w:rPr>
          <w:rFonts w:ascii="Open Sans" w:eastAsia="Open Sans" w:hAnsi="Open Sans" w:cs="Open Sans"/>
        </w:rPr>
        <w:t>transition to a more conventional CfD type of approach</w:t>
      </w:r>
      <w:r w:rsidR="003A162B" w:rsidRPr="005F6074">
        <w:rPr>
          <w:rFonts w:ascii="Open Sans" w:eastAsia="Open Sans" w:hAnsi="Open Sans" w:cs="Open Sans"/>
        </w:rPr>
        <w:t xml:space="preserve"> (or variable premium),</w:t>
      </w:r>
      <w:r w:rsidRPr="005F6074">
        <w:rPr>
          <w:rFonts w:ascii="Open Sans" w:eastAsia="Open Sans" w:hAnsi="Open Sans" w:cs="Open Sans"/>
        </w:rPr>
        <w:t xml:space="preserve"> when there is a more established market </w:t>
      </w:r>
      <w:r w:rsidR="003A162B" w:rsidRPr="005F6074">
        <w:rPr>
          <w:rFonts w:ascii="Open Sans" w:eastAsia="Open Sans" w:hAnsi="Open Sans" w:cs="Open Sans"/>
        </w:rPr>
        <w:t>for</w:t>
      </w:r>
      <w:r w:rsidRPr="005F6074">
        <w:rPr>
          <w:rFonts w:ascii="Open Sans" w:eastAsia="Open Sans" w:hAnsi="Open Sans" w:cs="Open Sans"/>
        </w:rPr>
        <w:t xml:space="preserve"> hydrogen and a benchmark price </w:t>
      </w:r>
      <w:r w:rsidR="003A162B" w:rsidRPr="005F6074">
        <w:rPr>
          <w:rFonts w:ascii="Open Sans" w:eastAsia="Open Sans" w:hAnsi="Open Sans" w:cs="Open Sans"/>
        </w:rPr>
        <w:t xml:space="preserve">that can be used as a reference price. </w:t>
      </w:r>
      <w:r w:rsidR="00302AEA" w:rsidRPr="005F6074">
        <w:rPr>
          <w:rFonts w:ascii="Open Sans" w:eastAsia="Open Sans" w:hAnsi="Open Sans" w:cs="Open Sans"/>
          <w:b/>
          <w:bCs/>
        </w:rPr>
        <w:t>In summary, the REA calls for an interim, bridging simpler mechanism that avoids the overcomplexity of the proposed revenue scheme in the early years, when the market is still immature but with the aim of transitioning to a more conventional CfD mechanism once the market is more established.</w:t>
      </w:r>
      <w:r w:rsidR="00515276">
        <w:rPr>
          <w:rFonts w:ascii="Open Sans" w:eastAsia="Open Sans" w:hAnsi="Open Sans" w:cs="Open Sans"/>
          <w:b/>
          <w:bCs/>
        </w:rPr>
        <w:t xml:space="preserve"> </w:t>
      </w:r>
      <w:r w:rsidR="00515276" w:rsidRPr="00515276">
        <w:rPr>
          <w:rFonts w:ascii="Open Sans" w:eastAsia="Open Sans" w:hAnsi="Open Sans" w:cs="Open Sans"/>
          <w:highlight w:val="yellow"/>
        </w:rPr>
        <w:t>[we welcome members’ feedback on whether they agree with this call].</w:t>
      </w:r>
      <w:r w:rsidR="00515276" w:rsidRPr="00515276">
        <w:rPr>
          <w:rFonts w:ascii="Open Sans" w:eastAsia="Open Sans" w:hAnsi="Open Sans" w:cs="Open Sans"/>
        </w:rPr>
        <w:t xml:space="preserve"> </w:t>
      </w:r>
    </w:p>
    <w:p w14:paraId="0FD4407F" w14:textId="26652CB5" w:rsidR="000D5319" w:rsidRDefault="002A3F3B" w:rsidP="00ED23CE">
      <w:pPr>
        <w:spacing w:before="120" w:after="120" w:line="240" w:lineRule="auto"/>
        <w:rPr>
          <w:rFonts w:ascii="Open Sans" w:eastAsia="Open Sans" w:hAnsi="Open Sans" w:cs="Open Sans"/>
        </w:rPr>
      </w:pPr>
      <w:r>
        <w:rPr>
          <w:rFonts w:ascii="Open Sans" w:eastAsia="Open Sans" w:hAnsi="Open Sans" w:cs="Open Sans"/>
        </w:rPr>
        <w:t>M</w:t>
      </w:r>
      <w:r w:rsidR="00E553F3">
        <w:rPr>
          <w:rFonts w:ascii="Open Sans" w:eastAsia="Open Sans" w:hAnsi="Open Sans" w:cs="Open Sans"/>
        </w:rPr>
        <w:t>embers</w:t>
      </w:r>
      <w:r>
        <w:rPr>
          <w:rFonts w:ascii="Open Sans" w:eastAsia="Open Sans" w:hAnsi="Open Sans" w:cs="Open Sans"/>
        </w:rPr>
        <w:t xml:space="preserve"> that are developing large scale projects </w:t>
      </w:r>
      <w:r w:rsidR="00E553F3">
        <w:rPr>
          <w:rFonts w:ascii="Open Sans" w:eastAsia="Open Sans" w:hAnsi="Open Sans" w:cs="Open Sans"/>
        </w:rPr>
        <w:t xml:space="preserve">feel that the proposals are </w:t>
      </w:r>
      <w:r w:rsidR="00F455AA">
        <w:rPr>
          <w:rFonts w:ascii="Open Sans" w:eastAsia="Open Sans" w:hAnsi="Open Sans" w:cs="Open Sans"/>
        </w:rPr>
        <w:t>broadly appropriate at this stage</w:t>
      </w:r>
      <w:r>
        <w:rPr>
          <w:rFonts w:ascii="Open Sans" w:eastAsia="Open Sans" w:hAnsi="Open Sans" w:cs="Open Sans"/>
        </w:rPr>
        <w:t xml:space="preserve">, </w:t>
      </w:r>
      <w:r w:rsidR="00E553F3">
        <w:rPr>
          <w:rFonts w:ascii="Open Sans" w:eastAsia="Open Sans" w:hAnsi="Open Sans" w:cs="Open Sans"/>
        </w:rPr>
        <w:t xml:space="preserve">but highlighted </w:t>
      </w:r>
      <w:r w:rsidR="002A2DFD">
        <w:rPr>
          <w:rFonts w:ascii="Open Sans" w:eastAsia="Open Sans" w:hAnsi="Open Sans" w:cs="Open Sans"/>
        </w:rPr>
        <w:t>that</w:t>
      </w:r>
      <w:r w:rsidR="00E534C4">
        <w:rPr>
          <w:rFonts w:ascii="Open Sans" w:eastAsia="Open Sans" w:hAnsi="Open Sans" w:cs="Open Sans"/>
        </w:rPr>
        <w:t xml:space="preserve">, </w:t>
      </w:r>
      <w:r w:rsidR="002A2DFD">
        <w:rPr>
          <w:rFonts w:ascii="Open Sans" w:eastAsia="Open Sans" w:hAnsi="Open Sans" w:cs="Open Sans"/>
        </w:rPr>
        <w:t xml:space="preserve">in addition to the complexity associated with </w:t>
      </w:r>
      <w:r w:rsidR="00E534C4">
        <w:rPr>
          <w:rFonts w:ascii="Open Sans" w:eastAsia="Open Sans" w:hAnsi="Open Sans" w:cs="Open Sans"/>
        </w:rPr>
        <w:t>defining</w:t>
      </w:r>
      <w:r w:rsidR="000D5319">
        <w:rPr>
          <w:rFonts w:ascii="Open Sans" w:eastAsia="Open Sans" w:hAnsi="Open Sans" w:cs="Open Sans"/>
        </w:rPr>
        <w:t xml:space="preserve"> an appropriate </w:t>
      </w:r>
      <w:r w:rsidR="002A2DFD">
        <w:rPr>
          <w:rFonts w:ascii="Open Sans" w:eastAsia="Open Sans" w:hAnsi="Open Sans" w:cs="Open Sans"/>
        </w:rPr>
        <w:t>reference price</w:t>
      </w:r>
      <w:r w:rsidR="000D5319">
        <w:rPr>
          <w:rFonts w:ascii="Open Sans" w:eastAsia="Open Sans" w:hAnsi="Open Sans" w:cs="Open Sans"/>
        </w:rPr>
        <w:t xml:space="preserve"> and understanding it</w:t>
      </w:r>
      <w:r w:rsidR="002A2DFD">
        <w:rPr>
          <w:rFonts w:ascii="Open Sans" w:eastAsia="Open Sans" w:hAnsi="Open Sans" w:cs="Open Sans"/>
        </w:rPr>
        <w:t>,</w:t>
      </w:r>
      <w:r w:rsidR="00E553F3">
        <w:rPr>
          <w:rFonts w:ascii="Open Sans" w:eastAsia="Open Sans" w:hAnsi="Open Sans" w:cs="Open Sans"/>
        </w:rPr>
        <w:t xml:space="preserve"> </w:t>
      </w:r>
      <w:r w:rsidR="000D5319">
        <w:rPr>
          <w:rFonts w:ascii="Open Sans" w:eastAsia="Open Sans" w:hAnsi="Open Sans" w:cs="Open Sans"/>
        </w:rPr>
        <w:t>the greatest</w:t>
      </w:r>
      <w:r w:rsidR="00E553F3">
        <w:rPr>
          <w:rFonts w:ascii="Open Sans" w:eastAsia="Open Sans" w:hAnsi="Open Sans" w:cs="Open Sans"/>
        </w:rPr>
        <w:t xml:space="preserve"> challenge </w:t>
      </w:r>
      <w:r w:rsidR="00515276">
        <w:rPr>
          <w:rFonts w:ascii="Open Sans" w:eastAsia="Open Sans" w:hAnsi="Open Sans" w:cs="Open Sans"/>
        </w:rPr>
        <w:t xml:space="preserve">of the business model proposed </w:t>
      </w:r>
      <w:r w:rsidR="00E534C4">
        <w:rPr>
          <w:rFonts w:ascii="Open Sans" w:eastAsia="Open Sans" w:hAnsi="Open Sans" w:cs="Open Sans"/>
        </w:rPr>
        <w:t>will be</w:t>
      </w:r>
      <w:r w:rsidR="00E553F3">
        <w:rPr>
          <w:rFonts w:ascii="Open Sans" w:eastAsia="Open Sans" w:hAnsi="Open Sans" w:cs="Open Sans"/>
        </w:rPr>
        <w:t xml:space="preserve"> to understand in detail </w:t>
      </w:r>
      <w:r w:rsidR="00E553F3" w:rsidRPr="00302AEA">
        <w:rPr>
          <w:rFonts w:ascii="Open Sans" w:eastAsia="Open Sans" w:hAnsi="Open Sans" w:cs="Open Sans"/>
        </w:rPr>
        <w:t>what</w:t>
      </w:r>
      <w:r w:rsidR="002A2DFD" w:rsidRPr="00302AEA">
        <w:rPr>
          <w:rFonts w:ascii="Open Sans" w:eastAsia="Open Sans" w:hAnsi="Open Sans" w:cs="Open Sans"/>
        </w:rPr>
        <w:t xml:space="preserve"> i</w:t>
      </w:r>
      <w:r w:rsidR="00E553F3" w:rsidRPr="00302AEA">
        <w:rPr>
          <w:rFonts w:ascii="Open Sans" w:eastAsia="Open Sans" w:hAnsi="Open Sans" w:cs="Open Sans"/>
        </w:rPr>
        <w:t>s the process for determining the strike price</w:t>
      </w:r>
      <w:r w:rsidR="00E534C4" w:rsidRPr="00302AEA">
        <w:rPr>
          <w:rFonts w:ascii="Open Sans" w:eastAsia="Open Sans" w:hAnsi="Open Sans" w:cs="Open Sans"/>
        </w:rPr>
        <w:t>s</w:t>
      </w:r>
      <w:r w:rsidR="00E553F3" w:rsidRPr="00302AEA">
        <w:rPr>
          <w:rFonts w:ascii="Open Sans" w:eastAsia="Open Sans" w:hAnsi="Open Sans" w:cs="Open Sans"/>
        </w:rPr>
        <w:t xml:space="preserve"> and the</w:t>
      </w:r>
      <w:r w:rsidR="002A2DFD" w:rsidRPr="00302AEA">
        <w:rPr>
          <w:rFonts w:ascii="Open Sans" w:eastAsia="Open Sans" w:hAnsi="Open Sans" w:cs="Open Sans"/>
        </w:rPr>
        <w:t xml:space="preserve"> exact</w:t>
      </w:r>
      <w:r w:rsidR="00E553F3" w:rsidRPr="00302AEA">
        <w:rPr>
          <w:rFonts w:ascii="Open Sans" w:eastAsia="Open Sans" w:hAnsi="Open Sans" w:cs="Open Sans"/>
        </w:rPr>
        <w:t xml:space="preserve"> allocation process. This level of detail is not yet covered in</w:t>
      </w:r>
      <w:r w:rsidR="00F455AA">
        <w:rPr>
          <w:rFonts w:ascii="Open Sans" w:eastAsia="Open Sans" w:hAnsi="Open Sans" w:cs="Open Sans"/>
        </w:rPr>
        <w:t xml:space="preserve"> the</w:t>
      </w:r>
      <w:r w:rsidR="00E553F3" w:rsidRPr="00302AEA">
        <w:rPr>
          <w:rFonts w:ascii="Open Sans" w:eastAsia="Open Sans" w:hAnsi="Open Sans" w:cs="Open Sans"/>
        </w:rPr>
        <w:t xml:space="preserve"> BEIS </w:t>
      </w:r>
      <w:r w:rsidR="00302AEA" w:rsidRPr="00302AEA">
        <w:rPr>
          <w:rFonts w:ascii="Open Sans" w:eastAsia="Open Sans" w:hAnsi="Open Sans" w:cs="Open Sans"/>
        </w:rPr>
        <w:t>consultation</w:t>
      </w:r>
      <w:r w:rsidR="00547902">
        <w:rPr>
          <w:rFonts w:ascii="Open Sans" w:eastAsia="Open Sans" w:hAnsi="Open Sans" w:cs="Open Sans"/>
        </w:rPr>
        <w:t xml:space="preserve"> - there is no methodology provided for a strike price and how the allocation process works, so </w:t>
      </w:r>
      <w:r w:rsidR="00E534C4" w:rsidRPr="00302AEA">
        <w:rPr>
          <w:rFonts w:ascii="Open Sans" w:eastAsia="Open Sans" w:hAnsi="Open Sans" w:cs="Open Sans"/>
        </w:rPr>
        <w:t>mor</w:t>
      </w:r>
      <w:r w:rsidR="00302AEA" w:rsidRPr="00302AEA">
        <w:rPr>
          <w:rFonts w:ascii="Open Sans" w:eastAsia="Open Sans" w:hAnsi="Open Sans" w:cs="Open Sans"/>
        </w:rPr>
        <w:t>e</w:t>
      </w:r>
      <w:r w:rsidR="00E534C4" w:rsidRPr="00302AEA">
        <w:rPr>
          <w:rFonts w:ascii="Open Sans" w:eastAsia="Open Sans" w:hAnsi="Open Sans" w:cs="Open Sans"/>
        </w:rPr>
        <w:t xml:space="preserve"> clarity needs to be provided on this feature of the proposed revenue scheme</w:t>
      </w:r>
      <w:r w:rsidR="00302AEA">
        <w:rPr>
          <w:rFonts w:ascii="Open Sans" w:eastAsia="Open Sans" w:hAnsi="Open Sans" w:cs="Open Sans"/>
        </w:rPr>
        <w:t xml:space="preserve">. </w:t>
      </w:r>
    </w:p>
    <w:p w14:paraId="3F799D38" w14:textId="286711CB" w:rsidR="00ED23CE" w:rsidRDefault="00E534C4" w:rsidP="00ED23CE">
      <w:pPr>
        <w:spacing w:before="120" w:after="120" w:line="240" w:lineRule="auto"/>
        <w:rPr>
          <w:rFonts w:ascii="Open Sans" w:eastAsia="Open Sans" w:hAnsi="Open Sans" w:cs="Open Sans"/>
        </w:rPr>
      </w:pPr>
      <w:r>
        <w:rPr>
          <w:rFonts w:ascii="Open Sans" w:eastAsia="Open Sans" w:hAnsi="Open Sans" w:cs="Open Sans"/>
        </w:rPr>
        <w:t>Administrative s</w:t>
      </w:r>
      <w:r w:rsidR="00ED23CE">
        <w:rPr>
          <w:rFonts w:ascii="Open Sans" w:eastAsia="Open Sans" w:hAnsi="Open Sans" w:cs="Open Sans"/>
        </w:rPr>
        <w:t xml:space="preserve">trike prices for the </w:t>
      </w:r>
      <w:r w:rsidR="00037679">
        <w:rPr>
          <w:rFonts w:ascii="Open Sans" w:eastAsia="Open Sans" w:hAnsi="Open Sans" w:cs="Open Sans"/>
        </w:rPr>
        <w:t>CfD</w:t>
      </w:r>
      <w:r w:rsidR="00ED23CE">
        <w:rPr>
          <w:rFonts w:ascii="Open Sans" w:eastAsia="Open Sans" w:hAnsi="Open Sans" w:cs="Open Sans"/>
        </w:rPr>
        <w:t xml:space="preserve"> contacts</w:t>
      </w:r>
      <w:r>
        <w:rPr>
          <w:rFonts w:ascii="Open Sans" w:eastAsia="Open Sans" w:hAnsi="Open Sans" w:cs="Open Sans"/>
        </w:rPr>
        <w:t xml:space="preserve"> for power, for example,</w:t>
      </w:r>
      <w:r w:rsidR="00ED23CE">
        <w:rPr>
          <w:rFonts w:ascii="Open Sans" w:eastAsia="Open Sans" w:hAnsi="Open Sans" w:cs="Open Sans"/>
        </w:rPr>
        <w:t xml:space="preserve"> </w:t>
      </w:r>
      <w:r w:rsidR="00037679">
        <w:rPr>
          <w:rFonts w:ascii="Open Sans" w:eastAsia="Open Sans" w:hAnsi="Open Sans" w:cs="Open Sans"/>
        </w:rPr>
        <w:t xml:space="preserve">have been </w:t>
      </w:r>
      <w:r>
        <w:rPr>
          <w:rFonts w:ascii="Open Sans" w:eastAsia="Open Sans" w:hAnsi="Open Sans" w:cs="Open Sans"/>
        </w:rPr>
        <w:t>determined</w:t>
      </w:r>
      <w:r w:rsidR="00ED23CE">
        <w:rPr>
          <w:rFonts w:ascii="Open Sans" w:eastAsia="Open Sans" w:hAnsi="Open Sans" w:cs="Open Sans"/>
        </w:rPr>
        <w:t xml:space="preserve"> </w:t>
      </w:r>
      <w:r w:rsidR="000D5319">
        <w:rPr>
          <w:rFonts w:ascii="Open Sans" w:eastAsia="Open Sans" w:hAnsi="Open Sans" w:cs="Open Sans"/>
        </w:rPr>
        <w:t>through</w:t>
      </w:r>
      <w:r w:rsidR="00ED23CE">
        <w:rPr>
          <w:rFonts w:ascii="Open Sans" w:eastAsia="Open Sans" w:hAnsi="Open Sans" w:cs="Open Sans"/>
        </w:rPr>
        <w:t xml:space="preserve"> an extensive process of calculating ideal </w:t>
      </w:r>
      <w:r>
        <w:rPr>
          <w:rFonts w:ascii="Open Sans" w:eastAsia="Open Sans" w:hAnsi="Open Sans" w:cs="Open Sans"/>
        </w:rPr>
        <w:t>Internal Rates of Returns (IRRs)</w:t>
      </w:r>
      <w:r w:rsidR="00ED23CE">
        <w:rPr>
          <w:rFonts w:ascii="Open Sans" w:eastAsia="Open Sans" w:hAnsi="Open Sans" w:cs="Open Sans"/>
        </w:rPr>
        <w:t xml:space="preserve"> </w:t>
      </w:r>
      <w:r>
        <w:rPr>
          <w:rFonts w:ascii="Open Sans" w:eastAsia="Open Sans" w:hAnsi="Open Sans" w:cs="Open Sans"/>
        </w:rPr>
        <w:t>for different projects</w:t>
      </w:r>
      <w:r w:rsidR="00515276">
        <w:rPr>
          <w:rFonts w:ascii="Open Sans" w:eastAsia="Open Sans" w:hAnsi="Open Sans" w:cs="Open Sans"/>
        </w:rPr>
        <w:t xml:space="preserve"> and extensive modelling of IRRs</w:t>
      </w:r>
      <w:r>
        <w:rPr>
          <w:rFonts w:ascii="Open Sans" w:eastAsia="Open Sans" w:hAnsi="Open Sans" w:cs="Open Sans"/>
        </w:rPr>
        <w:t xml:space="preserve">, </w:t>
      </w:r>
      <w:r w:rsidR="00ED23CE">
        <w:rPr>
          <w:rFonts w:ascii="Open Sans" w:eastAsia="Open Sans" w:hAnsi="Open Sans" w:cs="Open Sans"/>
        </w:rPr>
        <w:t>research</w:t>
      </w:r>
      <w:r w:rsidR="00037679">
        <w:rPr>
          <w:rFonts w:ascii="Open Sans" w:eastAsia="Open Sans" w:hAnsi="Open Sans" w:cs="Open Sans"/>
        </w:rPr>
        <w:t>ing</w:t>
      </w:r>
      <w:r w:rsidR="00ED23CE">
        <w:rPr>
          <w:rFonts w:ascii="Open Sans" w:eastAsia="Open Sans" w:hAnsi="Open Sans" w:cs="Open Sans"/>
        </w:rPr>
        <w:t xml:space="preserve"> into the cost of each technology </w:t>
      </w:r>
      <w:r w:rsidR="00037679">
        <w:rPr>
          <w:rFonts w:ascii="Open Sans" w:eastAsia="Open Sans" w:hAnsi="Open Sans" w:cs="Open Sans"/>
        </w:rPr>
        <w:t xml:space="preserve">and </w:t>
      </w:r>
      <w:r>
        <w:rPr>
          <w:rFonts w:ascii="Open Sans" w:eastAsia="Open Sans" w:hAnsi="Open Sans" w:cs="Open Sans"/>
        </w:rPr>
        <w:t>of project development</w:t>
      </w:r>
      <w:r w:rsidR="000D5319">
        <w:rPr>
          <w:rFonts w:ascii="Open Sans" w:eastAsia="Open Sans" w:hAnsi="Open Sans" w:cs="Open Sans"/>
        </w:rPr>
        <w:t>,</w:t>
      </w:r>
      <w:r w:rsidR="00037679">
        <w:rPr>
          <w:rFonts w:ascii="Open Sans" w:eastAsia="Open Sans" w:hAnsi="Open Sans" w:cs="Open Sans"/>
        </w:rPr>
        <w:t xml:space="preserve"> and working backward from that. We would imagine a similar approach would </w:t>
      </w:r>
      <w:r>
        <w:rPr>
          <w:rFonts w:ascii="Open Sans" w:eastAsia="Open Sans" w:hAnsi="Open Sans" w:cs="Open Sans"/>
        </w:rPr>
        <w:t xml:space="preserve">need to </w:t>
      </w:r>
      <w:r w:rsidR="000D5319">
        <w:rPr>
          <w:rFonts w:ascii="Open Sans" w:eastAsia="Open Sans" w:hAnsi="Open Sans" w:cs="Open Sans"/>
        </w:rPr>
        <w:t xml:space="preserve">be </w:t>
      </w:r>
      <w:r w:rsidR="00037679">
        <w:rPr>
          <w:rFonts w:ascii="Open Sans" w:eastAsia="Open Sans" w:hAnsi="Open Sans" w:cs="Open Sans"/>
        </w:rPr>
        <w:t>adopted by BEIS for the hydrogen business model, but this needs to be set out in detail</w:t>
      </w:r>
      <w:r>
        <w:rPr>
          <w:rFonts w:ascii="Open Sans" w:eastAsia="Open Sans" w:hAnsi="Open Sans" w:cs="Open Sans"/>
        </w:rPr>
        <w:t xml:space="preserve"> and clearly upfront to provide visibility </w:t>
      </w:r>
      <w:r w:rsidR="00A83B97">
        <w:rPr>
          <w:rFonts w:ascii="Open Sans" w:eastAsia="Open Sans" w:hAnsi="Open Sans" w:cs="Open Sans"/>
        </w:rPr>
        <w:t xml:space="preserve">to developers on what the process is. </w:t>
      </w:r>
      <w:r w:rsidR="00037679">
        <w:rPr>
          <w:rFonts w:ascii="Open Sans" w:eastAsia="Open Sans" w:hAnsi="Open Sans" w:cs="Open Sans"/>
        </w:rPr>
        <w:t xml:space="preserve"> </w:t>
      </w:r>
    </w:p>
    <w:p w14:paraId="02FC1E4A" w14:textId="3D28805B" w:rsidR="00E553F3" w:rsidRPr="005D7B82" w:rsidRDefault="003845C1" w:rsidP="005D7B82">
      <w:pPr>
        <w:pStyle w:val="ListParagraph"/>
        <w:numPr>
          <w:ilvl w:val="0"/>
          <w:numId w:val="12"/>
        </w:numPr>
        <w:tabs>
          <w:tab w:val="left" w:pos="284"/>
        </w:tabs>
        <w:spacing w:before="120" w:after="120" w:line="240" w:lineRule="auto"/>
        <w:ind w:left="284" w:hanging="284"/>
        <w:rPr>
          <w:rFonts w:ascii="Open Sans" w:eastAsiaTheme="minorHAnsi" w:hAnsi="Open Sans" w:cs="Open Sans"/>
          <w:b/>
          <w:bCs/>
          <w:color w:val="2F5496"/>
          <w:lang w:eastAsia="en-US"/>
        </w:rPr>
      </w:pPr>
      <w:r w:rsidRPr="005D7B82">
        <w:rPr>
          <w:rFonts w:ascii="Open Sans" w:eastAsiaTheme="minorHAnsi" w:hAnsi="Open Sans" w:cs="Open Sans"/>
          <w:b/>
          <w:bCs/>
          <w:color w:val="2F5496"/>
          <w:lang w:eastAsia="en-US"/>
        </w:rPr>
        <w:t xml:space="preserve">Do you agree with our minded to position for setting the reference price? Please provide arguments to support your view. </w:t>
      </w:r>
    </w:p>
    <w:p w14:paraId="06A7B58D" w14:textId="5D42D01C" w:rsidR="0089403A" w:rsidRPr="0089403A" w:rsidRDefault="0089403A" w:rsidP="000D5319">
      <w:pPr>
        <w:spacing w:before="120" w:after="120" w:line="240" w:lineRule="auto"/>
        <w:rPr>
          <w:rFonts w:ascii="Open Sans" w:eastAsiaTheme="minorHAnsi" w:hAnsi="Open Sans" w:cs="Open Sans"/>
          <w:b/>
          <w:bCs/>
          <w:color w:val="2F5496"/>
          <w:lang w:eastAsia="en-US"/>
        </w:rPr>
      </w:pPr>
      <w:r>
        <w:rPr>
          <w:rFonts w:ascii="Open Sans" w:eastAsia="Open Sans" w:hAnsi="Open Sans" w:cs="Open Sans"/>
        </w:rPr>
        <w:t xml:space="preserve">As mentioned below, the approach used is very complex and </w:t>
      </w:r>
      <w:r w:rsidRPr="0089403A">
        <w:rPr>
          <w:rFonts w:ascii="Open Sans" w:eastAsia="Open Sans" w:hAnsi="Open Sans" w:cs="Open Sans"/>
        </w:rPr>
        <w:t xml:space="preserve">some members have questioned whether the reference prices suggested are </w:t>
      </w:r>
      <w:r>
        <w:rPr>
          <w:rFonts w:ascii="Open Sans" w:eastAsia="Open Sans" w:hAnsi="Open Sans" w:cs="Open Sans"/>
        </w:rPr>
        <w:t>appropriate</w:t>
      </w:r>
      <w:r w:rsidRPr="0089403A">
        <w:rPr>
          <w:rFonts w:ascii="Open Sans" w:eastAsia="Open Sans" w:hAnsi="Open Sans" w:cs="Open Sans"/>
        </w:rPr>
        <w:t xml:space="preserve"> for green (electrolytic) hydrogen producers</w:t>
      </w:r>
      <w:r>
        <w:rPr>
          <w:rFonts w:ascii="Open Sans" w:eastAsia="Open Sans" w:hAnsi="Open Sans" w:cs="Open Sans"/>
        </w:rPr>
        <w:t xml:space="preserve">. </w:t>
      </w:r>
    </w:p>
    <w:p w14:paraId="561113E4" w14:textId="729CF993" w:rsidR="00E553F3" w:rsidRDefault="003845C1" w:rsidP="005D7B82">
      <w:pPr>
        <w:pStyle w:val="ListParagraph"/>
        <w:numPr>
          <w:ilvl w:val="0"/>
          <w:numId w:val="12"/>
        </w:numPr>
        <w:tabs>
          <w:tab w:val="left" w:pos="284"/>
        </w:tabs>
        <w:spacing w:before="120" w:after="120" w:line="240" w:lineRule="auto"/>
        <w:ind w:left="284" w:hanging="284"/>
        <w:rPr>
          <w:rFonts w:ascii="Open Sans" w:eastAsiaTheme="minorHAnsi" w:hAnsi="Open Sans" w:cs="Open Sans"/>
          <w:b/>
          <w:bCs/>
          <w:color w:val="2F5496"/>
          <w:lang w:eastAsia="en-US"/>
        </w:rPr>
      </w:pPr>
      <w:r w:rsidRPr="005D7B82">
        <w:rPr>
          <w:rFonts w:ascii="Open Sans" w:eastAsiaTheme="minorHAnsi" w:hAnsi="Open Sans" w:cs="Open Sans"/>
          <w:b/>
          <w:bCs/>
          <w:color w:val="2F5496"/>
          <w:lang w:eastAsia="en-US"/>
        </w:rPr>
        <w:t xml:space="preserve">Does our minded to position create any other specific risks, </w:t>
      </w:r>
      <w:proofErr w:type="gramStart"/>
      <w:r w:rsidRPr="005D7B82">
        <w:rPr>
          <w:rFonts w:ascii="Open Sans" w:eastAsiaTheme="minorHAnsi" w:hAnsi="Open Sans" w:cs="Open Sans"/>
          <w:b/>
          <w:bCs/>
          <w:color w:val="2F5496"/>
          <w:lang w:eastAsia="en-US"/>
        </w:rPr>
        <w:t>incentives</w:t>
      </w:r>
      <w:proofErr w:type="gramEnd"/>
      <w:r w:rsidRPr="005D7B82">
        <w:rPr>
          <w:rFonts w:ascii="Open Sans" w:eastAsiaTheme="minorHAnsi" w:hAnsi="Open Sans" w:cs="Open Sans"/>
          <w:b/>
          <w:bCs/>
          <w:color w:val="2F5496"/>
          <w:lang w:eastAsia="en-US"/>
        </w:rPr>
        <w:t xml:space="preserve"> or disincentives which we have not already stated above? If so, what are they and how could the related risks be addressed – either within the model or outside of the model? </w:t>
      </w:r>
    </w:p>
    <w:p w14:paraId="0B1F7ACF" w14:textId="0CB0B278" w:rsidR="00AF59FD" w:rsidRDefault="001E080C" w:rsidP="00AF59FD">
      <w:pPr>
        <w:tabs>
          <w:tab w:val="left" w:pos="284"/>
        </w:tabs>
        <w:spacing w:before="120" w:after="120" w:line="240" w:lineRule="auto"/>
        <w:rPr>
          <w:rFonts w:ascii="Open Sans" w:eastAsia="Open Sans" w:hAnsi="Open Sans" w:cs="Open Sans"/>
        </w:rPr>
      </w:pPr>
      <w:r w:rsidRPr="00515276">
        <w:rPr>
          <w:rFonts w:ascii="Open Sans" w:eastAsia="Open Sans" w:hAnsi="Open Sans" w:cs="Open Sans"/>
          <w:highlight w:val="yellow"/>
        </w:rPr>
        <w:t>[</w:t>
      </w:r>
      <w:r w:rsidR="00F455AA">
        <w:rPr>
          <w:rFonts w:ascii="Open Sans" w:eastAsia="Open Sans" w:hAnsi="Open Sans" w:cs="Open Sans"/>
          <w:highlight w:val="yellow"/>
        </w:rPr>
        <w:t>M</w:t>
      </w:r>
      <w:r w:rsidR="00F455AA" w:rsidRPr="00515276">
        <w:rPr>
          <w:rFonts w:ascii="Open Sans" w:eastAsia="Open Sans" w:hAnsi="Open Sans" w:cs="Open Sans"/>
          <w:highlight w:val="yellow"/>
        </w:rPr>
        <w:t xml:space="preserve">embers’ </w:t>
      </w:r>
      <w:r w:rsidRPr="00515276">
        <w:rPr>
          <w:rFonts w:ascii="Open Sans" w:eastAsia="Open Sans" w:hAnsi="Open Sans" w:cs="Open Sans"/>
          <w:highlight w:val="yellow"/>
        </w:rPr>
        <w:t>feedback welcome]</w:t>
      </w:r>
      <w:r>
        <w:rPr>
          <w:rFonts w:ascii="Open Sans" w:eastAsia="Open Sans" w:hAnsi="Open Sans" w:cs="Open Sans"/>
        </w:rPr>
        <w:t xml:space="preserve"> </w:t>
      </w:r>
    </w:p>
    <w:p w14:paraId="2B7FA00C" w14:textId="1CC8162D" w:rsidR="00F455AA" w:rsidRPr="001E080C" w:rsidRDefault="00F455AA" w:rsidP="00AF59FD">
      <w:pPr>
        <w:tabs>
          <w:tab w:val="left" w:pos="284"/>
        </w:tabs>
        <w:spacing w:before="120" w:after="120" w:line="240" w:lineRule="auto"/>
        <w:rPr>
          <w:rFonts w:ascii="Open Sans" w:eastAsia="Open Sans" w:hAnsi="Open Sans" w:cs="Open Sans"/>
        </w:rPr>
      </w:pPr>
      <w:r>
        <w:rPr>
          <w:rFonts w:ascii="Open Sans" w:eastAsia="Open Sans" w:hAnsi="Open Sans" w:cs="Open Sans"/>
        </w:rPr>
        <w:lastRenderedPageBreak/>
        <w:t xml:space="preserve">To reiterate, there is a risk of the CfD mechanism creating unintended barriers to entry for smaller, </w:t>
      </w:r>
      <w:proofErr w:type="gramStart"/>
      <w:r>
        <w:rPr>
          <w:rFonts w:ascii="Open Sans" w:eastAsia="Open Sans" w:hAnsi="Open Sans" w:cs="Open Sans"/>
        </w:rPr>
        <w:t>independent</w:t>
      </w:r>
      <w:proofErr w:type="gramEnd"/>
      <w:r>
        <w:rPr>
          <w:rFonts w:ascii="Open Sans" w:eastAsia="Open Sans" w:hAnsi="Open Sans" w:cs="Open Sans"/>
        </w:rPr>
        <w:t xml:space="preserve"> and new market entrants, that could be mitigated by adopting the proposal above. </w:t>
      </w:r>
    </w:p>
    <w:p w14:paraId="50A3B7E8" w14:textId="778EAB68" w:rsidR="00E553F3" w:rsidRPr="005D7B82" w:rsidRDefault="003845C1" w:rsidP="005D7B82">
      <w:pPr>
        <w:pStyle w:val="ListParagraph"/>
        <w:numPr>
          <w:ilvl w:val="0"/>
          <w:numId w:val="12"/>
        </w:numPr>
        <w:tabs>
          <w:tab w:val="left" w:pos="284"/>
        </w:tabs>
        <w:spacing w:before="120" w:after="120" w:line="240" w:lineRule="auto"/>
        <w:ind w:left="284" w:hanging="284"/>
        <w:rPr>
          <w:rFonts w:ascii="Open Sans" w:eastAsiaTheme="minorHAnsi" w:hAnsi="Open Sans" w:cs="Open Sans"/>
          <w:b/>
          <w:bCs/>
          <w:color w:val="2F5496"/>
          <w:lang w:eastAsia="en-US"/>
        </w:rPr>
      </w:pPr>
      <w:r w:rsidRPr="005D7B82">
        <w:rPr>
          <w:rFonts w:ascii="Open Sans" w:eastAsiaTheme="minorHAnsi" w:hAnsi="Open Sans" w:cs="Open Sans"/>
          <w:b/>
          <w:bCs/>
          <w:color w:val="2F5496"/>
          <w:lang w:eastAsia="en-US"/>
        </w:rPr>
        <w:t xml:space="preserve">What do you think is the most appropriate option (or options) for indexation of the strike price? Please explain your rationale. </w:t>
      </w:r>
    </w:p>
    <w:p w14:paraId="66008987" w14:textId="1270D706" w:rsidR="00A2451F" w:rsidRDefault="00AF59FD" w:rsidP="00A2451F">
      <w:pPr>
        <w:spacing w:before="120" w:after="120" w:line="240" w:lineRule="auto"/>
        <w:rPr>
          <w:rFonts w:ascii="Open Sans" w:eastAsia="Open Sans" w:hAnsi="Open Sans" w:cs="Open Sans"/>
        </w:rPr>
      </w:pPr>
      <w:r w:rsidRPr="001E080C">
        <w:rPr>
          <w:rFonts w:ascii="Open Sans" w:eastAsia="Open Sans" w:hAnsi="Open Sans" w:cs="Open Sans"/>
        </w:rPr>
        <w:t>There seems to be general support from members on inflation</w:t>
      </w:r>
      <w:r w:rsidR="00B04356">
        <w:rPr>
          <w:rFonts w:ascii="Open Sans" w:eastAsia="Open Sans" w:hAnsi="Open Sans" w:cs="Open Sans"/>
        </w:rPr>
        <w:t>-</w:t>
      </w:r>
      <w:r w:rsidRPr="001E080C">
        <w:rPr>
          <w:rFonts w:ascii="Open Sans" w:eastAsia="Open Sans" w:hAnsi="Open Sans" w:cs="Open Sans"/>
        </w:rPr>
        <w:t xml:space="preserve">linked </w:t>
      </w:r>
      <w:proofErr w:type="gramStart"/>
      <w:r w:rsidRPr="001E080C">
        <w:rPr>
          <w:rFonts w:ascii="Open Sans" w:eastAsia="Open Sans" w:hAnsi="Open Sans" w:cs="Open Sans"/>
        </w:rPr>
        <w:t>indexation,</w:t>
      </w:r>
      <w:r w:rsidR="00515276">
        <w:rPr>
          <w:rFonts w:ascii="Open Sans" w:eastAsia="Open Sans" w:hAnsi="Open Sans" w:cs="Open Sans"/>
        </w:rPr>
        <w:t xml:space="preserve"> b</w:t>
      </w:r>
      <w:r w:rsidRPr="001E080C">
        <w:rPr>
          <w:rFonts w:ascii="Open Sans" w:eastAsia="Open Sans" w:hAnsi="Open Sans" w:cs="Open Sans"/>
        </w:rPr>
        <w:t>ecause</w:t>
      </w:r>
      <w:proofErr w:type="gramEnd"/>
      <w:r w:rsidRPr="001E080C">
        <w:rPr>
          <w:rFonts w:ascii="Open Sans" w:eastAsia="Open Sans" w:hAnsi="Open Sans" w:cs="Open Sans"/>
        </w:rPr>
        <w:t xml:space="preserve"> it is simpler – inflation is an economy-wide measure which is well understood, and consistent with other energy policies. Developers will have to include an inflation number in their financial models, whilst </w:t>
      </w:r>
      <w:r w:rsidR="00A2451F">
        <w:rPr>
          <w:rFonts w:ascii="Open Sans" w:eastAsia="Open Sans" w:hAnsi="Open Sans" w:cs="Open Sans"/>
        </w:rPr>
        <w:t>other measures</w:t>
      </w:r>
      <w:r w:rsidRPr="001E080C">
        <w:rPr>
          <w:rFonts w:ascii="Open Sans" w:eastAsia="Open Sans" w:hAnsi="Open Sans" w:cs="Open Sans"/>
        </w:rPr>
        <w:t xml:space="preserve"> (e.g.  input energy costs or natural gas prices) are unpredictable. </w:t>
      </w:r>
      <w:r w:rsidR="00A2451F">
        <w:rPr>
          <w:rFonts w:ascii="Open Sans" w:eastAsia="Open Sans" w:hAnsi="Open Sans" w:cs="Open Sans"/>
        </w:rPr>
        <w:t xml:space="preserve">Everyone understands the nature of inflation as an economy-wide measure. </w:t>
      </w:r>
    </w:p>
    <w:p w14:paraId="61957FE2" w14:textId="315EAE1A" w:rsidR="005D7B82" w:rsidRPr="005D7B82" w:rsidRDefault="00167ED4" w:rsidP="005D7B82">
      <w:pPr>
        <w:tabs>
          <w:tab w:val="left" w:pos="284"/>
        </w:tabs>
        <w:spacing w:before="120" w:after="120" w:line="240" w:lineRule="auto"/>
        <w:rPr>
          <w:rFonts w:ascii="Open Sans" w:eastAsiaTheme="minorHAnsi" w:hAnsi="Open Sans" w:cs="Open Sans"/>
          <w:b/>
          <w:bCs/>
          <w:color w:val="2F5496"/>
          <w:lang w:eastAsia="en-US"/>
        </w:rPr>
      </w:pPr>
      <w:r>
        <w:rPr>
          <w:rFonts w:ascii="Open Sans" w:eastAsia="Open Sans" w:hAnsi="Open Sans" w:cs="Open Sans"/>
        </w:rPr>
        <w:t xml:space="preserve">Some members have pointed out that the right type of indexation may depend on what technologies/pathways are being used to produce low carbon hydrogen. For example, a natural gas benchmark would work better for blue hydrogen and electricity would be more suited to electrolytic hydrogen projects. However, </w:t>
      </w:r>
      <w:r w:rsidR="00734946">
        <w:rPr>
          <w:rFonts w:ascii="Open Sans" w:eastAsia="Open Sans" w:hAnsi="Open Sans" w:cs="Open Sans"/>
        </w:rPr>
        <w:t xml:space="preserve">BEIS will need to strike a balance </w:t>
      </w:r>
      <w:r>
        <w:rPr>
          <w:rFonts w:ascii="Open Sans" w:eastAsia="Open Sans" w:hAnsi="Open Sans" w:cs="Open Sans"/>
        </w:rPr>
        <w:t xml:space="preserve">between trying to </w:t>
      </w:r>
      <w:r w:rsidR="00734946">
        <w:rPr>
          <w:rFonts w:ascii="Open Sans" w:eastAsia="Open Sans" w:hAnsi="Open Sans" w:cs="Open Sans"/>
        </w:rPr>
        <w:t>reflect</w:t>
      </w:r>
      <w:r>
        <w:rPr>
          <w:rFonts w:ascii="Open Sans" w:eastAsia="Open Sans" w:hAnsi="Open Sans" w:cs="Open Sans"/>
        </w:rPr>
        <w:t xml:space="preserve"> different </w:t>
      </w:r>
      <w:r w:rsidR="00734946">
        <w:rPr>
          <w:rFonts w:ascii="Open Sans" w:eastAsia="Open Sans" w:hAnsi="Open Sans" w:cs="Open Sans"/>
        </w:rPr>
        <w:t xml:space="preserve">potential pathways in the policy and ensuring the policy doesn’t become too complex at the risk of undermining its credibility. </w:t>
      </w:r>
    </w:p>
    <w:p w14:paraId="16EFD486" w14:textId="6D7B233A" w:rsidR="007D07F5" w:rsidRDefault="003845C1" w:rsidP="007D07F5">
      <w:pPr>
        <w:pStyle w:val="ListParagraph"/>
        <w:numPr>
          <w:ilvl w:val="0"/>
          <w:numId w:val="12"/>
        </w:numPr>
        <w:tabs>
          <w:tab w:val="left" w:pos="284"/>
        </w:tabs>
        <w:spacing w:before="120" w:after="120" w:line="240" w:lineRule="auto"/>
        <w:ind w:left="284" w:hanging="284"/>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What are your views on whether price support for low carbon hydrogen should be constrained for applications using hydrogen as a feedstock to mitigate potential risks of market distortions? Please explain your rationale, including any suggestions both within and outside the business model to mitigate these risks. </w:t>
      </w:r>
    </w:p>
    <w:p w14:paraId="486C5E1D" w14:textId="0DF5CEA9" w:rsidR="007D07F5" w:rsidRDefault="00167ED4" w:rsidP="002A3F3B">
      <w:pPr>
        <w:tabs>
          <w:tab w:val="left" w:pos="284"/>
        </w:tabs>
        <w:spacing w:before="120" w:after="120" w:line="240" w:lineRule="auto"/>
        <w:rPr>
          <w:rFonts w:ascii="Open Sans" w:eastAsia="Open Sans" w:hAnsi="Open Sans" w:cs="Open Sans"/>
        </w:rPr>
      </w:pPr>
      <w:r w:rsidRPr="00D802C3">
        <w:rPr>
          <w:rFonts w:ascii="Open Sans" w:eastAsia="Open Sans" w:hAnsi="Open Sans" w:cs="Open Sans"/>
        </w:rPr>
        <w:t>If the mechanism is about stimulating new sources of production</w:t>
      </w:r>
      <w:r w:rsidR="00D802C3" w:rsidRPr="00D802C3">
        <w:rPr>
          <w:rFonts w:ascii="Open Sans" w:eastAsia="Open Sans" w:hAnsi="Open Sans" w:cs="Open Sans"/>
        </w:rPr>
        <w:t xml:space="preserve"> and </w:t>
      </w:r>
      <w:r w:rsidR="00B04356">
        <w:rPr>
          <w:rFonts w:ascii="Open Sans" w:eastAsia="Open Sans" w:hAnsi="Open Sans" w:cs="Open Sans"/>
        </w:rPr>
        <w:t>supporting</w:t>
      </w:r>
      <w:r w:rsidR="00B04356" w:rsidRPr="00D802C3">
        <w:rPr>
          <w:rFonts w:ascii="Open Sans" w:eastAsia="Open Sans" w:hAnsi="Open Sans" w:cs="Open Sans"/>
        </w:rPr>
        <w:t xml:space="preserve"> </w:t>
      </w:r>
      <w:r w:rsidR="00D802C3" w:rsidRPr="00D802C3">
        <w:rPr>
          <w:rFonts w:ascii="Open Sans" w:eastAsia="Open Sans" w:hAnsi="Open Sans" w:cs="Open Sans"/>
        </w:rPr>
        <w:t>new markets</w:t>
      </w:r>
      <w:r w:rsidRPr="00D802C3">
        <w:rPr>
          <w:rFonts w:ascii="Open Sans" w:eastAsia="Open Sans" w:hAnsi="Open Sans" w:cs="Open Sans"/>
        </w:rPr>
        <w:t xml:space="preserve">, then </w:t>
      </w:r>
      <w:r w:rsidR="00D802C3">
        <w:rPr>
          <w:rFonts w:ascii="Open Sans" w:eastAsia="Open Sans" w:hAnsi="Open Sans" w:cs="Open Sans"/>
        </w:rPr>
        <w:t xml:space="preserve">we agree that </w:t>
      </w:r>
      <w:r w:rsidRPr="00D802C3">
        <w:rPr>
          <w:rFonts w:ascii="Open Sans" w:eastAsia="Open Sans" w:hAnsi="Open Sans" w:cs="Open Sans"/>
        </w:rPr>
        <w:t xml:space="preserve">existing applications using hydrogen should be excluded from support. </w:t>
      </w:r>
    </w:p>
    <w:p w14:paraId="7F19C2D8" w14:textId="299962FE" w:rsidR="007D07F5" w:rsidRDefault="003845C1" w:rsidP="007D07F5">
      <w:pPr>
        <w:pStyle w:val="ListParagraph"/>
        <w:numPr>
          <w:ilvl w:val="0"/>
          <w:numId w:val="12"/>
        </w:numPr>
        <w:tabs>
          <w:tab w:val="left" w:pos="284"/>
        </w:tabs>
        <w:spacing w:before="120" w:after="120" w:line="240" w:lineRule="auto"/>
        <w:rPr>
          <w:rFonts w:ascii="Open Sans" w:eastAsiaTheme="minorHAnsi" w:hAnsi="Open Sans" w:cs="Open Sans"/>
          <w:b/>
          <w:bCs/>
          <w:color w:val="2F5496"/>
          <w:lang w:eastAsia="en-US"/>
        </w:rPr>
      </w:pPr>
      <w:r w:rsidRPr="007D07F5">
        <w:rPr>
          <w:rFonts w:ascii="Open Sans" w:eastAsiaTheme="minorHAnsi" w:hAnsi="Open Sans" w:cs="Open Sans"/>
          <w:b/>
          <w:bCs/>
          <w:color w:val="2F5496"/>
          <w:lang w:eastAsia="en-US"/>
        </w:rPr>
        <w:t xml:space="preserve">Do you agree with our overall minded to position for price support? Please provide arguments to support your view. </w:t>
      </w:r>
    </w:p>
    <w:p w14:paraId="7C777A71" w14:textId="4164099E" w:rsidR="00167ED4" w:rsidRPr="00D7003B" w:rsidRDefault="00D7003B" w:rsidP="00167ED4">
      <w:pPr>
        <w:tabs>
          <w:tab w:val="left" w:pos="284"/>
        </w:tabs>
        <w:spacing w:before="120" w:after="120" w:line="240" w:lineRule="auto"/>
        <w:rPr>
          <w:rFonts w:ascii="Open Sans" w:eastAsia="Open Sans" w:hAnsi="Open Sans" w:cs="Open Sans"/>
        </w:rPr>
      </w:pPr>
      <w:r w:rsidRPr="00D7003B">
        <w:rPr>
          <w:rFonts w:ascii="Open Sans" w:eastAsia="Open Sans" w:hAnsi="Open Sans" w:cs="Open Sans"/>
        </w:rPr>
        <w:t xml:space="preserve">Comments already made above. </w:t>
      </w:r>
      <w:r>
        <w:rPr>
          <w:rFonts w:ascii="Open Sans" w:eastAsia="Open Sans" w:hAnsi="Open Sans" w:cs="Open Sans"/>
        </w:rPr>
        <w:t>Although we agree this is the right structure for a revenue scheme in the longer term, the REA believes a simpler</w:t>
      </w:r>
      <w:r w:rsidR="00A2451F">
        <w:rPr>
          <w:rFonts w:ascii="Open Sans" w:eastAsia="Open Sans" w:hAnsi="Open Sans" w:cs="Open Sans"/>
        </w:rPr>
        <w:t xml:space="preserve">, </w:t>
      </w:r>
      <w:proofErr w:type="gramStart"/>
      <w:r>
        <w:rPr>
          <w:rFonts w:ascii="Open Sans" w:eastAsia="Open Sans" w:hAnsi="Open Sans" w:cs="Open Sans"/>
        </w:rPr>
        <w:t>bridging</w:t>
      </w:r>
      <w:proofErr w:type="gramEnd"/>
      <w:r>
        <w:rPr>
          <w:rFonts w:ascii="Open Sans" w:eastAsia="Open Sans" w:hAnsi="Open Sans" w:cs="Open Sans"/>
        </w:rPr>
        <w:t xml:space="preserve"> or interim mechanism would be more suited for the initial years of hydrogen development, until the market becomes more established. An interim mechanism could either be a fixed premium, or a fixed price with a variable element </w:t>
      </w:r>
      <w:r w:rsidR="00A2451F">
        <w:rPr>
          <w:rFonts w:ascii="Open Sans" w:eastAsia="Open Sans" w:hAnsi="Open Sans" w:cs="Open Sans"/>
        </w:rPr>
        <w:t>connected to the energy prices</w:t>
      </w:r>
      <w:r w:rsidR="002A3F3B">
        <w:rPr>
          <w:rFonts w:ascii="Open Sans" w:eastAsia="Open Sans" w:hAnsi="Open Sans" w:cs="Open Sans"/>
        </w:rPr>
        <w:t xml:space="preserve"> which would protect Government from overcompensating projects</w:t>
      </w:r>
      <w:r w:rsidR="00A2451F">
        <w:rPr>
          <w:rFonts w:ascii="Open Sans" w:eastAsia="Open Sans" w:hAnsi="Open Sans" w:cs="Open Sans"/>
        </w:rPr>
        <w:t xml:space="preserve">. See our recommendations above. </w:t>
      </w:r>
    </w:p>
    <w:p w14:paraId="681F2F07" w14:textId="77777777" w:rsidR="007D07F5" w:rsidRDefault="003845C1" w:rsidP="007D07F5">
      <w:pPr>
        <w:tabs>
          <w:tab w:val="left" w:pos="284"/>
        </w:tabs>
        <w:spacing w:before="120" w:after="120" w:line="240" w:lineRule="auto"/>
        <w:rPr>
          <w:rFonts w:ascii="Open Sans" w:eastAsiaTheme="minorHAnsi" w:hAnsi="Open Sans" w:cs="Open Sans"/>
          <w:b/>
          <w:bCs/>
          <w:color w:val="2F5496"/>
          <w:lang w:eastAsia="en-US"/>
        </w:rPr>
      </w:pPr>
      <w:r w:rsidRPr="007D07F5">
        <w:rPr>
          <w:rFonts w:ascii="Open Sans" w:eastAsiaTheme="minorHAnsi" w:hAnsi="Open Sans" w:cs="Open Sans"/>
          <w:b/>
          <w:bCs/>
          <w:color w:val="2F5496"/>
          <w:lang w:eastAsia="en-US"/>
        </w:rPr>
        <w:t xml:space="preserve">Section 5 </w:t>
      </w:r>
    </w:p>
    <w:p w14:paraId="58308766" w14:textId="5F2BD3CF" w:rsidR="007D07F5" w:rsidRDefault="003845C1" w:rsidP="007D07F5">
      <w:pPr>
        <w:pStyle w:val="ListParagraph"/>
        <w:numPr>
          <w:ilvl w:val="0"/>
          <w:numId w:val="12"/>
        </w:numPr>
        <w:tabs>
          <w:tab w:val="left" w:pos="284"/>
        </w:tabs>
        <w:spacing w:before="120" w:after="120" w:line="240" w:lineRule="auto"/>
        <w:rPr>
          <w:rFonts w:ascii="Open Sans" w:eastAsiaTheme="minorHAnsi" w:hAnsi="Open Sans" w:cs="Open Sans"/>
          <w:b/>
          <w:bCs/>
          <w:color w:val="2F5496"/>
          <w:lang w:eastAsia="en-US"/>
        </w:rPr>
      </w:pPr>
      <w:r w:rsidRPr="007D07F5">
        <w:rPr>
          <w:rFonts w:ascii="Open Sans" w:eastAsiaTheme="minorHAnsi" w:hAnsi="Open Sans" w:cs="Open Sans"/>
          <w:b/>
          <w:bCs/>
          <w:color w:val="2F5496"/>
          <w:lang w:eastAsia="en-US"/>
        </w:rPr>
        <w:t xml:space="preserve">Do you agree with our minded to position of sliding scale for volume support? Please explain your rationale. </w:t>
      </w:r>
    </w:p>
    <w:p w14:paraId="2F698EF5" w14:textId="32B1A06F" w:rsidR="00A2451F" w:rsidRDefault="00A2451F" w:rsidP="00A2451F">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Generally, the proposals related to the sliding scale approach are seen as the least clear proposals in the consultation, both conceptually and directionally.  </w:t>
      </w:r>
    </w:p>
    <w:p w14:paraId="452AEBEA" w14:textId="5E1988E3" w:rsidR="008316B9" w:rsidRDefault="00A2451F" w:rsidP="004E03F0">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It is unclear what these proposals really mean for investors and developers, </w:t>
      </w:r>
      <w:r w:rsidR="008316B9">
        <w:rPr>
          <w:rFonts w:ascii="Open Sans" w:eastAsia="Open Sans" w:hAnsi="Open Sans" w:cs="Open Sans"/>
        </w:rPr>
        <w:t>in particular the following is very unclear:</w:t>
      </w:r>
    </w:p>
    <w:p w14:paraId="048D9D4F" w14:textId="54E31B29" w:rsidR="008316B9" w:rsidRDefault="00A2451F" w:rsidP="008316B9">
      <w:pPr>
        <w:pStyle w:val="ListParagraph"/>
        <w:numPr>
          <w:ilvl w:val="0"/>
          <w:numId w:val="15"/>
        </w:numPr>
        <w:tabs>
          <w:tab w:val="left" w:pos="284"/>
        </w:tabs>
        <w:spacing w:before="120" w:after="120" w:line="240" w:lineRule="auto"/>
        <w:rPr>
          <w:rFonts w:ascii="Open Sans" w:eastAsia="Open Sans" w:hAnsi="Open Sans" w:cs="Open Sans"/>
        </w:rPr>
      </w:pPr>
      <w:r w:rsidRPr="008316B9">
        <w:rPr>
          <w:rFonts w:ascii="Open Sans" w:eastAsia="Open Sans" w:hAnsi="Open Sans" w:cs="Open Sans"/>
        </w:rPr>
        <w:lastRenderedPageBreak/>
        <w:t>how t</w:t>
      </w:r>
      <w:r w:rsidR="002A3F3B" w:rsidRPr="008316B9">
        <w:rPr>
          <w:rFonts w:ascii="Open Sans" w:eastAsia="Open Sans" w:hAnsi="Open Sans" w:cs="Open Sans"/>
        </w:rPr>
        <w:t xml:space="preserve">he sliding </w:t>
      </w:r>
      <w:r w:rsidRPr="008316B9">
        <w:rPr>
          <w:rFonts w:ascii="Open Sans" w:eastAsia="Open Sans" w:hAnsi="Open Sans" w:cs="Open Sans"/>
        </w:rPr>
        <w:t>approach is linked to the variable premium price</w:t>
      </w:r>
      <w:r w:rsidR="008316B9">
        <w:rPr>
          <w:rFonts w:ascii="Open Sans" w:eastAsia="Open Sans" w:hAnsi="Open Sans" w:cs="Open Sans"/>
        </w:rPr>
        <w:t>/</w:t>
      </w:r>
      <w:r w:rsidR="008316B9" w:rsidRPr="008316B9">
        <w:rPr>
          <w:rFonts w:ascii="Open Sans" w:eastAsia="Open Sans" w:hAnsi="Open Sans" w:cs="Open Sans"/>
        </w:rPr>
        <w:t xml:space="preserve"> how it interacts with the pricing support</w:t>
      </w:r>
      <w:r w:rsidRPr="008316B9">
        <w:rPr>
          <w:rFonts w:ascii="Open Sans" w:eastAsia="Open Sans" w:hAnsi="Open Sans" w:cs="Open Sans"/>
        </w:rPr>
        <w:t xml:space="preserve"> </w:t>
      </w:r>
    </w:p>
    <w:p w14:paraId="73C3DD0F" w14:textId="2DA90DE9" w:rsidR="008316B9" w:rsidRDefault="00A2451F" w:rsidP="008316B9">
      <w:pPr>
        <w:pStyle w:val="ListParagraph"/>
        <w:numPr>
          <w:ilvl w:val="0"/>
          <w:numId w:val="15"/>
        </w:numPr>
        <w:tabs>
          <w:tab w:val="left" w:pos="284"/>
        </w:tabs>
        <w:spacing w:before="120" w:after="120" w:line="240" w:lineRule="auto"/>
        <w:rPr>
          <w:rFonts w:ascii="Open Sans" w:eastAsia="Open Sans" w:hAnsi="Open Sans" w:cs="Open Sans"/>
        </w:rPr>
      </w:pPr>
      <w:r w:rsidRPr="008316B9">
        <w:rPr>
          <w:rFonts w:ascii="Open Sans" w:eastAsia="Open Sans" w:hAnsi="Open Sans" w:cs="Open Sans"/>
        </w:rPr>
        <w:t>how it leads to predictability and financeability</w:t>
      </w:r>
      <w:r w:rsidR="00D802C3">
        <w:rPr>
          <w:rFonts w:ascii="Open Sans" w:eastAsia="Open Sans" w:hAnsi="Open Sans" w:cs="Open Sans"/>
        </w:rPr>
        <w:t xml:space="preserve"> </w:t>
      </w:r>
    </w:p>
    <w:p w14:paraId="12661E2A" w14:textId="77777777" w:rsidR="008316B9" w:rsidRDefault="00A2451F" w:rsidP="008316B9">
      <w:pPr>
        <w:pStyle w:val="ListParagraph"/>
        <w:numPr>
          <w:ilvl w:val="0"/>
          <w:numId w:val="15"/>
        </w:numPr>
        <w:tabs>
          <w:tab w:val="left" w:pos="284"/>
        </w:tabs>
        <w:spacing w:before="120" w:after="120" w:line="240" w:lineRule="auto"/>
        <w:rPr>
          <w:rFonts w:ascii="Open Sans" w:eastAsia="Open Sans" w:hAnsi="Open Sans" w:cs="Open Sans"/>
        </w:rPr>
      </w:pPr>
      <w:r w:rsidRPr="008316B9">
        <w:rPr>
          <w:rFonts w:ascii="Open Sans" w:eastAsia="Open Sans" w:hAnsi="Open Sans" w:cs="Open Sans"/>
        </w:rPr>
        <w:t xml:space="preserve">how the price will be </w:t>
      </w:r>
      <w:r w:rsidR="00274300" w:rsidRPr="008316B9">
        <w:rPr>
          <w:rFonts w:ascii="Open Sans" w:eastAsia="Open Sans" w:hAnsi="Open Sans" w:cs="Open Sans"/>
        </w:rPr>
        <w:t xml:space="preserve">reduced: is </w:t>
      </w:r>
      <w:r w:rsidR="002A3F3B" w:rsidRPr="008316B9">
        <w:rPr>
          <w:rFonts w:ascii="Open Sans" w:eastAsia="Open Sans" w:hAnsi="Open Sans" w:cs="Open Sans"/>
        </w:rPr>
        <w:t xml:space="preserve">this </w:t>
      </w:r>
      <w:r w:rsidR="00274300" w:rsidRPr="008316B9">
        <w:rPr>
          <w:rFonts w:ascii="Open Sans" w:eastAsia="Open Sans" w:hAnsi="Open Sans" w:cs="Open Sans"/>
        </w:rPr>
        <w:t>a continuous reduction, or is it in buckets / bands?</w:t>
      </w:r>
      <w:r w:rsidR="007F1353" w:rsidRPr="008316B9">
        <w:rPr>
          <w:rFonts w:ascii="Open Sans" w:eastAsia="Open Sans" w:hAnsi="Open Sans" w:cs="Open Sans"/>
        </w:rPr>
        <w:t xml:space="preserve"> </w:t>
      </w:r>
    </w:p>
    <w:p w14:paraId="6E81D965" w14:textId="287D4A4B" w:rsidR="007F1353" w:rsidRPr="008316B9" w:rsidRDefault="00274300" w:rsidP="008316B9">
      <w:pPr>
        <w:tabs>
          <w:tab w:val="left" w:pos="284"/>
        </w:tabs>
        <w:spacing w:before="120" w:after="120" w:line="240" w:lineRule="auto"/>
        <w:rPr>
          <w:rFonts w:ascii="Open Sans" w:eastAsia="Open Sans" w:hAnsi="Open Sans" w:cs="Open Sans"/>
        </w:rPr>
      </w:pPr>
      <w:r w:rsidRPr="008316B9">
        <w:rPr>
          <w:rFonts w:ascii="Open Sans" w:eastAsia="Open Sans" w:hAnsi="Open Sans" w:cs="Open Sans"/>
        </w:rPr>
        <w:t xml:space="preserve">There needs to be </w:t>
      </w:r>
      <w:r w:rsidR="00D802C3">
        <w:rPr>
          <w:rFonts w:ascii="Open Sans" w:eastAsia="Open Sans" w:hAnsi="Open Sans" w:cs="Open Sans"/>
        </w:rPr>
        <w:t xml:space="preserve">much </w:t>
      </w:r>
      <w:r w:rsidRPr="008316B9">
        <w:rPr>
          <w:rFonts w:ascii="Open Sans" w:eastAsia="Open Sans" w:hAnsi="Open Sans" w:cs="Open Sans"/>
        </w:rPr>
        <w:t xml:space="preserve">more detail on </w:t>
      </w:r>
      <w:r w:rsidR="00D802C3">
        <w:rPr>
          <w:rFonts w:ascii="Open Sans" w:eastAsia="Open Sans" w:hAnsi="Open Sans" w:cs="Open Sans"/>
        </w:rPr>
        <w:t xml:space="preserve">the </w:t>
      </w:r>
      <w:r w:rsidR="00B00CCE" w:rsidRPr="008316B9">
        <w:rPr>
          <w:rFonts w:ascii="Open Sans" w:eastAsia="Open Sans" w:hAnsi="Open Sans" w:cs="Open Sans"/>
        </w:rPr>
        <w:t>sliding scale approach</w:t>
      </w:r>
      <w:r w:rsidR="004E03F0" w:rsidRPr="008316B9">
        <w:rPr>
          <w:rFonts w:ascii="Open Sans" w:eastAsia="Open Sans" w:hAnsi="Open Sans" w:cs="Open Sans"/>
        </w:rPr>
        <w:t xml:space="preserve"> for industry to understand the implication</w:t>
      </w:r>
      <w:r w:rsidR="00B00CCE" w:rsidRPr="008316B9">
        <w:rPr>
          <w:rFonts w:ascii="Open Sans" w:eastAsia="Open Sans" w:hAnsi="Open Sans" w:cs="Open Sans"/>
        </w:rPr>
        <w:t>s</w:t>
      </w:r>
      <w:r w:rsidR="007F1353" w:rsidRPr="008316B9">
        <w:rPr>
          <w:rFonts w:ascii="Open Sans" w:eastAsia="Open Sans" w:hAnsi="Open Sans" w:cs="Open Sans"/>
        </w:rPr>
        <w:t>.</w:t>
      </w:r>
    </w:p>
    <w:p w14:paraId="7648393A" w14:textId="328BDF0D" w:rsidR="008316B9" w:rsidRPr="008316B9" w:rsidRDefault="00D802C3" w:rsidP="008316B9">
      <w:pPr>
        <w:tabs>
          <w:tab w:val="left" w:pos="284"/>
        </w:tabs>
        <w:spacing w:before="120" w:after="120" w:line="240" w:lineRule="auto"/>
        <w:rPr>
          <w:rFonts w:ascii="Open Sans" w:eastAsia="Open Sans" w:hAnsi="Open Sans" w:cs="Open Sans"/>
        </w:rPr>
      </w:pPr>
      <w:r>
        <w:rPr>
          <w:rFonts w:ascii="Open Sans" w:eastAsia="Open Sans" w:hAnsi="Open Sans" w:cs="Open Sans"/>
        </w:rPr>
        <w:t>In addition, s</w:t>
      </w:r>
      <w:r w:rsidR="008316B9" w:rsidRPr="008316B9">
        <w:rPr>
          <w:rFonts w:ascii="Open Sans" w:eastAsia="Open Sans" w:hAnsi="Open Sans" w:cs="Open Sans"/>
        </w:rPr>
        <w:t xml:space="preserve">ome members have expressed </w:t>
      </w:r>
      <w:r>
        <w:rPr>
          <w:rFonts w:ascii="Open Sans" w:eastAsia="Open Sans" w:hAnsi="Open Sans" w:cs="Open Sans"/>
        </w:rPr>
        <w:t xml:space="preserve">strong </w:t>
      </w:r>
      <w:r w:rsidR="008316B9" w:rsidRPr="008316B9">
        <w:rPr>
          <w:rFonts w:ascii="Open Sans" w:eastAsia="Open Sans" w:hAnsi="Open Sans" w:cs="Open Sans"/>
        </w:rPr>
        <w:t xml:space="preserve">concerns with a business model that </w:t>
      </w:r>
      <w:r>
        <w:rPr>
          <w:rFonts w:ascii="Open Sans" w:eastAsia="Open Sans" w:hAnsi="Open Sans" w:cs="Open Sans"/>
        </w:rPr>
        <w:t>tries</w:t>
      </w:r>
      <w:r w:rsidR="008316B9" w:rsidRPr="008316B9">
        <w:rPr>
          <w:rFonts w:ascii="Open Sans" w:eastAsia="Open Sans" w:hAnsi="Open Sans" w:cs="Open Sans"/>
        </w:rPr>
        <w:t xml:space="preserve"> to regulate both, </w:t>
      </w:r>
      <w:proofErr w:type="gramStart"/>
      <w:r w:rsidR="008316B9" w:rsidRPr="008316B9">
        <w:rPr>
          <w:rFonts w:ascii="Open Sans" w:eastAsia="Open Sans" w:hAnsi="Open Sans" w:cs="Open Sans"/>
        </w:rPr>
        <w:t>price</w:t>
      </w:r>
      <w:proofErr w:type="gramEnd"/>
      <w:r w:rsidR="008316B9" w:rsidRPr="008316B9">
        <w:rPr>
          <w:rFonts w:ascii="Open Sans" w:eastAsia="Open Sans" w:hAnsi="Open Sans" w:cs="Open Sans"/>
        </w:rPr>
        <w:t xml:space="preserve"> and volume simultaneously</w:t>
      </w:r>
      <w:r>
        <w:rPr>
          <w:rFonts w:ascii="Open Sans" w:eastAsia="Open Sans" w:hAnsi="Open Sans" w:cs="Open Sans"/>
        </w:rPr>
        <w:t>,</w:t>
      </w:r>
      <w:r w:rsidR="008316B9" w:rsidRPr="008316B9">
        <w:rPr>
          <w:rFonts w:ascii="Open Sans" w:eastAsia="Open Sans" w:hAnsi="Open Sans" w:cs="Open Sans"/>
        </w:rPr>
        <w:t xml:space="preserve"> as this may end up encouraging speculative or semi-speculative applications. On the provision the Government has signalled its strong support for hydrogen and has set the right pricing framework to encourage fuel switching from end users, a pattern of demand will emerge which should be able to support strong offtake contracts. No investors would finance the development of a plant without clear demand and no agreed robust offtakers. </w:t>
      </w:r>
    </w:p>
    <w:p w14:paraId="51236DFD" w14:textId="0B793FB9" w:rsidR="00B00CCE" w:rsidRDefault="00D802C3" w:rsidP="004E03F0">
      <w:pPr>
        <w:tabs>
          <w:tab w:val="left" w:pos="284"/>
        </w:tabs>
        <w:spacing w:before="120" w:after="120" w:line="240" w:lineRule="auto"/>
        <w:rPr>
          <w:rFonts w:ascii="Open Sans" w:eastAsia="Open Sans" w:hAnsi="Open Sans" w:cs="Open Sans"/>
        </w:rPr>
      </w:pPr>
      <w:r>
        <w:rPr>
          <w:rFonts w:ascii="Open Sans" w:eastAsia="Open Sans" w:hAnsi="Open Sans" w:cs="Open Sans"/>
        </w:rPr>
        <w:t>M</w:t>
      </w:r>
      <w:r w:rsidR="007F1353">
        <w:rPr>
          <w:rFonts w:ascii="Open Sans" w:eastAsia="Open Sans" w:hAnsi="Open Sans" w:cs="Open Sans"/>
        </w:rPr>
        <w:t xml:space="preserve">embers are </w:t>
      </w:r>
      <w:r w:rsidR="00B00CCE">
        <w:rPr>
          <w:rFonts w:ascii="Open Sans" w:eastAsia="Open Sans" w:hAnsi="Open Sans" w:cs="Open Sans"/>
        </w:rPr>
        <w:t>generally more supportive of</w:t>
      </w:r>
      <w:r w:rsidR="00F003B1">
        <w:rPr>
          <w:rFonts w:ascii="Open Sans" w:eastAsia="Open Sans" w:hAnsi="Open Sans" w:cs="Open Sans"/>
        </w:rPr>
        <w:t>:</w:t>
      </w:r>
    </w:p>
    <w:p w14:paraId="042CB77A" w14:textId="0111B43B" w:rsidR="00B00CCE" w:rsidRDefault="007F1353" w:rsidP="00B00CCE">
      <w:pPr>
        <w:pStyle w:val="ListParagraph"/>
        <w:numPr>
          <w:ilvl w:val="0"/>
          <w:numId w:val="13"/>
        </w:numPr>
        <w:tabs>
          <w:tab w:val="left" w:pos="284"/>
        </w:tabs>
        <w:spacing w:before="120" w:after="120" w:line="240" w:lineRule="auto"/>
        <w:rPr>
          <w:rFonts w:ascii="Open Sans" w:eastAsia="Open Sans" w:hAnsi="Open Sans" w:cs="Open Sans"/>
        </w:rPr>
      </w:pPr>
      <w:r>
        <w:rPr>
          <w:rFonts w:ascii="Open Sans" w:eastAsia="Open Sans" w:hAnsi="Open Sans" w:cs="Open Sans"/>
        </w:rPr>
        <w:t>A</w:t>
      </w:r>
      <w:r w:rsidR="00B00CCE" w:rsidRPr="00B00CCE">
        <w:rPr>
          <w:rFonts w:ascii="Open Sans" w:eastAsia="Open Sans" w:hAnsi="Open Sans" w:cs="Open Sans"/>
        </w:rPr>
        <w:t xml:space="preserve">n </w:t>
      </w:r>
      <w:r w:rsidR="004E03F0" w:rsidRPr="00B00CCE">
        <w:rPr>
          <w:rFonts w:ascii="Open Sans" w:eastAsia="Open Sans" w:hAnsi="Open Sans" w:cs="Open Sans"/>
        </w:rPr>
        <w:t>offtaker of last resort</w:t>
      </w:r>
      <w:r w:rsidR="00B00CCE" w:rsidRPr="00B00CCE">
        <w:rPr>
          <w:rFonts w:ascii="Open Sans" w:eastAsia="Open Sans" w:hAnsi="Open Sans" w:cs="Open Sans"/>
        </w:rPr>
        <w:t>, like the model used in the CfD power</w:t>
      </w:r>
      <w:r w:rsidR="00B04356">
        <w:rPr>
          <w:rFonts w:ascii="Open Sans" w:eastAsia="Open Sans" w:hAnsi="Open Sans" w:cs="Open Sans"/>
        </w:rPr>
        <w:t xml:space="preserve"> scheme</w:t>
      </w:r>
      <w:r w:rsidR="00B00CCE" w:rsidRPr="00B00CCE">
        <w:rPr>
          <w:rFonts w:ascii="Open Sans" w:eastAsia="Open Sans" w:hAnsi="Open Sans" w:cs="Open Sans"/>
        </w:rPr>
        <w:t xml:space="preserve">, as this is </w:t>
      </w:r>
      <w:r w:rsidR="004E03F0" w:rsidRPr="00B00CCE">
        <w:rPr>
          <w:rFonts w:ascii="Open Sans" w:eastAsia="Open Sans" w:hAnsi="Open Sans" w:cs="Open Sans"/>
        </w:rPr>
        <w:t xml:space="preserve">much simpler and </w:t>
      </w:r>
      <w:r w:rsidR="00B00CCE" w:rsidRPr="00B00CCE">
        <w:rPr>
          <w:rFonts w:ascii="Open Sans" w:eastAsia="Open Sans" w:hAnsi="Open Sans" w:cs="Open Sans"/>
        </w:rPr>
        <w:t>more effective to protect developers if an offtake falls through</w:t>
      </w:r>
      <w:r w:rsidR="00F003B1">
        <w:rPr>
          <w:rFonts w:ascii="Open Sans" w:eastAsia="Open Sans" w:hAnsi="Open Sans" w:cs="Open Sans"/>
        </w:rPr>
        <w:t xml:space="preserve"> driven by circumstances in the market</w:t>
      </w:r>
      <w:r w:rsidR="00B00CCE">
        <w:rPr>
          <w:rFonts w:ascii="Open Sans" w:eastAsia="Open Sans" w:hAnsi="Open Sans" w:cs="Open Sans"/>
        </w:rPr>
        <w:t>, or</w:t>
      </w:r>
    </w:p>
    <w:p w14:paraId="6A4227D9" w14:textId="162B949D" w:rsidR="007F1353" w:rsidRDefault="007F1353" w:rsidP="007F1353">
      <w:pPr>
        <w:pStyle w:val="ListParagraph"/>
        <w:numPr>
          <w:ilvl w:val="0"/>
          <w:numId w:val="13"/>
        </w:numPr>
        <w:tabs>
          <w:tab w:val="left" w:pos="284"/>
        </w:tabs>
        <w:spacing w:before="120" w:after="120" w:line="240" w:lineRule="auto"/>
        <w:rPr>
          <w:rFonts w:ascii="Open Sans" w:eastAsia="Open Sans" w:hAnsi="Open Sans" w:cs="Open Sans"/>
        </w:rPr>
      </w:pPr>
      <w:r w:rsidRPr="007F1353">
        <w:rPr>
          <w:rFonts w:ascii="Open Sans" w:eastAsia="Open Sans" w:hAnsi="Open Sans" w:cs="Open Sans"/>
        </w:rPr>
        <w:t>A</w:t>
      </w:r>
      <w:r w:rsidR="00B00CCE" w:rsidRPr="007F1353">
        <w:rPr>
          <w:rFonts w:ascii="Open Sans" w:eastAsia="Open Sans" w:hAnsi="Open Sans" w:cs="Open Sans"/>
        </w:rPr>
        <w:t>n availability</w:t>
      </w:r>
      <w:r w:rsidR="002A3F3B" w:rsidRPr="007F1353">
        <w:rPr>
          <w:rFonts w:ascii="Open Sans" w:eastAsia="Open Sans" w:hAnsi="Open Sans" w:cs="Open Sans"/>
        </w:rPr>
        <w:t xml:space="preserve"> </w:t>
      </w:r>
      <w:r w:rsidR="00B00CCE" w:rsidRPr="007F1353">
        <w:rPr>
          <w:rFonts w:ascii="Open Sans" w:eastAsia="Open Sans" w:hAnsi="Open Sans" w:cs="Open Sans"/>
        </w:rPr>
        <w:t>- based payment</w:t>
      </w:r>
      <w:r w:rsidR="00DB7889">
        <w:rPr>
          <w:rFonts w:ascii="Open Sans" w:eastAsia="Open Sans" w:hAnsi="Open Sans" w:cs="Open Sans"/>
        </w:rPr>
        <w:t xml:space="preserve">, where the plant owner is compensated for making the capacity available rather than actual output. This </w:t>
      </w:r>
      <w:r w:rsidR="00B00CCE" w:rsidRPr="007F1353">
        <w:rPr>
          <w:rFonts w:ascii="Open Sans" w:eastAsia="Open Sans" w:hAnsi="Open Sans" w:cs="Open Sans"/>
        </w:rPr>
        <w:t>would be even safer in a nascent market where you could conceivably not find any offtakers</w:t>
      </w:r>
      <w:r w:rsidRPr="007F1353">
        <w:rPr>
          <w:rFonts w:ascii="Open Sans" w:eastAsia="Open Sans" w:hAnsi="Open Sans" w:cs="Open Sans"/>
        </w:rPr>
        <w:t xml:space="preserve"> or the producer’s only offtake could fall through due to circumstances outside their control. </w:t>
      </w:r>
      <w:r w:rsidR="00DB7889">
        <w:rPr>
          <w:rFonts w:ascii="Open Sans" w:eastAsia="Open Sans" w:hAnsi="Open Sans" w:cs="Open Sans"/>
        </w:rPr>
        <w:t xml:space="preserve"> </w:t>
      </w:r>
      <w:r w:rsidRPr="007F1353">
        <w:rPr>
          <w:rFonts w:ascii="Open Sans" w:eastAsia="Open Sans" w:hAnsi="Open Sans" w:cs="Open Sans"/>
        </w:rPr>
        <w:t xml:space="preserve">In </w:t>
      </w:r>
      <w:r w:rsidR="002A3F3B" w:rsidRPr="007F1353">
        <w:rPr>
          <w:rFonts w:ascii="Open Sans" w:eastAsia="Open Sans" w:hAnsi="Open Sans" w:cs="Open Sans"/>
        </w:rPr>
        <w:t xml:space="preserve">this </w:t>
      </w:r>
      <w:r w:rsidRPr="007F1353">
        <w:rPr>
          <w:rFonts w:ascii="Open Sans" w:eastAsia="Open Sans" w:hAnsi="Open Sans" w:cs="Open Sans"/>
        </w:rPr>
        <w:t xml:space="preserve">circumstance, under an </w:t>
      </w:r>
      <w:r w:rsidR="002A3F3B" w:rsidRPr="007F1353">
        <w:rPr>
          <w:rFonts w:ascii="Open Sans" w:eastAsia="Open Sans" w:hAnsi="Open Sans" w:cs="Open Sans"/>
        </w:rPr>
        <w:t xml:space="preserve">offtaker of last resort </w:t>
      </w:r>
      <w:r w:rsidRPr="007F1353">
        <w:rPr>
          <w:rFonts w:ascii="Open Sans" w:eastAsia="Open Sans" w:hAnsi="Open Sans" w:cs="Open Sans"/>
        </w:rPr>
        <w:t xml:space="preserve">option </w:t>
      </w:r>
      <w:r w:rsidR="002A3F3B" w:rsidRPr="007F1353">
        <w:rPr>
          <w:rFonts w:ascii="Open Sans" w:eastAsia="Open Sans" w:hAnsi="Open Sans" w:cs="Open Sans"/>
        </w:rPr>
        <w:t xml:space="preserve">the producer would not receive any support. </w:t>
      </w:r>
    </w:p>
    <w:p w14:paraId="102F4CF7" w14:textId="2A05D5D4" w:rsidR="007F1353" w:rsidRPr="007F1353" w:rsidRDefault="007F1353" w:rsidP="00F449D8">
      <w:pPr>
        <w:tabs>
          <w:tab w:val="left" w:pos="284"/>
        </w:tabs>
        <w:spacing w:before="120" w:after="120" w:line="240" w:lineRule="auto"/>
        <w:rPr>
          <w:rFonts w:ascii="Open Sans" w:eastAsia="Open Sans" w:hAnsi="Open Sans" w:cs="Open Sans"/>
        </w:rPr>
      </w:pPr>
      <w:r w:rsidRPr="00F449D8">
        <w:rPr>
          <w:rFonts w:ascii="Open Sans" w:eastAsia="Open Sans" w:hAnsi="Open Sans" w:cs="Open Sans"/>
          <w:highlight w:val="yellow"/>
        </w:rPr>
        <w:t>[</w:t>
      </w:r>
      <w:r w:rsidR="00B04356">
        <w:rPr>
          <w:rFonts w:ascii="Open Sans" w:eastAsia="Open Sans" w:hAnsi="Open Sans" w:cs="Open Sans"/>
          <w:highlight w:val="yellow"/>
        </w:rPr>
        <w:t>A</w:t>
      </w:r>
      <w:r w:rsidRPr="00F449D8">
        <w:rPr>
          <w:rFonts w:ascii="Open Sans" w:eastAsia="Open Sans" w:hAnsi="Open Sans" w:cs="Open Sans"/>
          <w:highlight w:val="yellow"/>
        </w:rPr>
        <w:t>dditional members’ feedback on this welcome].</w:t>
      </w:r>
      <w:r>
        <w:rPr>
          <w:rFonts w:ascii="Open Sans" w:eastAsia="Open Sans" w:hAnsi="Open Sans" w:cs="Open Sans"/>
        </w:rPr>
        <w:t xml:space="preserve"> </w:t>
      </w:r>
    </w:p>
    <w:p w14:paraId="0D1548B8" w14:textId="458E451E" w:rsidR="00D8496D" w:rsidRDefault="003845C1" w:rsidP="007D07F5">
      <w:pPr>
        <w:pStyle w:val="ListParagraph"/>
        <w:numPr>
          <w:ilvl w:val="0"/>
          <w:numId w:val="12"/>
        </w:numPr>
        <w:tabs>
          <w:tab w:val="left" w:pos="284"/>
        </w:tabs>
        <w:spacing w:before="120" w:after="120" w:line="240" w:lineRule="auto"/>
        <w:rPr>
          <w:rFonts w:ascii="Open Sans" w:eastAsiaTheme="minorHAnsi" w:hAnsi="Open Sans" w:cs="Open Sans"/>
          <w:b/>
          <w:bCs/>
          <w:color w:val="2F5496"/>
          <w:lang w:eastAsia="en-US"/>
        </w:rPr>
      </w:pPr>
      <w:r w:rsidRPr="007D07F5">
        <w:rPr>
          <w:rFonts w:ascii="Open Sans" w:eastAsiaTheme="minorHAnsi" w:hAnsi="Open Sans" w:cs="Open Sans"/>
          <w:b/>
          <w:bCs/>
          <w:color w:val="2F5496"/>
          <w:lang w:eastAsia="en-US"/>
        </w:rPr>
        <w:t xml:space="preserve">Do hydrogen plants need any further volume support in addition to the sliding scale? Please explain your response, including what kind of additional volume support and under what circumstances it would be needed. </w:t>
      </w:r>
    </w:p>
    <w:p w14:paraId="7DFE707A" w14:textId="3CE8F4D7" w:rsidR="00D802C3" w:rsidRPr="00D802C3" w:rsidRDefault="00D802C3" w:rsidP="00D802C3">
      <w:pPr>
        <w:tabs>
          <w:tab w:val="left" w:pos="284"/>
        </w:tabs>
        <w:spacing w:before="120" w:after="120" w:line="240" w:lineRule="auto"/>
        <w:rPr>
          <w:rFonts w:ascii="Open Sans" w:eastAsiaTheme="minorHAnsi" w:hAnsi="Open Sans" w:cs="Open Sans"/>
          <w:b/>
          <w:bCs/>
          <w:color w:val="2F5496"/>
          <w:lang w:eastAsia="en-US"/>
        </w:rPr>
      </w:pPr>
      <w:r w:rsidRPr="00F449D8">
        <w:rPr>
          <w:rFonts w:ascii="Open Sans" w:eastAsia="Open Sans" w:hAnsi="Open Sans" w:cs="Open Sans"/>
          <w:highlight w:val="yellow"/>
        </w:rPr>
        <w:t>[</w:t>
      </w:r>
      <w:r w:rsidR="00B04356">
        <w:rPr>
          <w:rFonts w:ascii="Open Sans" w:eastAsia="Open Sans" w:hAnsi="Open Sans" w:cs="Open Sans"/>
          <w:highlight w:val="yellow"/>
        </w:rPr>
        <w:t>A</w:t>
      </w:r>
      <w:r w:rsidRPr="00F449D8">
        <w:rPr>
          <w:rFonts w:ascii="Open Sans" w:eastAsia="Open Sans" w:hAnsi="Open Sans" w:cs="Open Sans"/>
          <w:highlight w:val="yellow"/>
        </w:rPr>
        <w:t>dditional members’ feedback on this welcome].</w:t>
      </w:r>
    </w:p>
    <w:p w14:paraId="5EF26F40" w14:textId="77777777" w:rsidR="00D8496D" w:rsidRDefault="003845C1" w:rsidP="00D8496D">
      <w:pPr>
        <w:tabs>
          <w:tab w:val="left" w:pos="284"/>
        </w:tabs>
        <w:spacing w:before="120" w:after="120" w:line="240" w:lineRule="auto"/>
        <w:rPr>
          <w:rFonts w:ascii="Open Sans" w:eastAsiaTheme="minorHAnsi" w:hAnsi="Open Sans" w:cs="Open Sans"/>
          <w:b/>
          <w:bCs/>
          <w:color w:val="2F5496"/>
          <w:lang w:eastAsia="en-US"/>
        </w:rPr>
      </w:pPr>
      <w:r w:rsidRPr="00D8496D">
        <w:rPr>
          <w:rFonts w:ascii="Open Sans" w:eastAsiaTheme="minorHAnsi" w:hAnsi="Open Sans" w:cs="Open Sans"/>
          <w:b/>
          <w:bCs/>
          <w:color w:val="2F5496"/>
          <w:lang w:eastAsia="en-US"/>
        </w:rPr>
        <w:t xml:space="preserve">Section 6 </w:t>
      </w:r>
    </w:p>
    <w:p w14:paraId="22EA19C4" w14:textId="77777777" w:rsidR="00D8496D" w:rsidRDefault="003845C1" w:rsidP="00D8496D">
      <w:pPr>
        <w:tabs>
          <w:tab w:val="left" w:pos="284"/>
        </w:tabs>
        <w:spacing w:before="120" w:after="120" w:line="240" w:lineRule="auto"/>
        <w:rPr>
          <w:rFonts w:ascii="Open Sans" w:eastAsiaTheme="minorHAnsi" w:hAnsi="Open Sans" w:cs="Open Sans"/>
          <w:b/>
          <w:bCs/>
          <w:color w:val="2F5496"/>
          <w:lang w:eastAsia="en-US"/>
        </w:rPr>
      </w:pPr>
      <w:r w:rsidRPr="00D8496D">
        <w:rPr>
          <w:rFonts w:ascii="Open Sans" w:eastAsiaTheme="minorHAnsi" w:hAnsi="Open Sans" w:cs="Open Sans"/>
          <w:b/>
          <w:bCs/>
          <w:color w:val="2F5496"/>
          <w:lang w:eastAsia="en-US"/>
        </w:rPr>
        <w:t xml:space="preserve">11. Do you consider our preferred options on price and volume support outlined in sections 4 and 5 can work across different production technologies and operating patterns? If not, what difference in payment mechanisms might be required between different technologies and how should any downsides associated with that be managed? </w:t>
      </w:r>
    </w:p>
    <w:p w14:paraId="4271107C" w14:textId="4F4C4512" w:rsidR="00D8496D" w:rsidRDefault="00203B07" w:rsidP="000810C2">
      <w:pPr>
        <w:tabs>
          <w:tab w:val="left" w:pos="284"/>
        </w:tabs>
        <w:spacing w:before="120" w:after="120" w:line="240" w:lineRule="auto"/>
        <w:rPr>
          <w:rFonts w:ascii="Open Sans" w:eastAsia="Open Sans" w:hAnsi="Open Sans" w:cs="Open Sans"/>
        </w:rPr>
      </w:pPr>
      <w:r>
        <w:rPr>
          <w:rFonts w:ascii="Open Sans" w:eastAsia="Open Sans" w:hAnsi="Open Sans" w:cs="Open Sans"/>
        </w:rPr>
        <w:t>The</w:t>
      </w:r>
      <w:r w:rsidR="000810C2">
        <w:rPr>
          <w:rFonts w:ascii="Open Sans" w:eastAsia="Open Sans" w:hAnsi="Open Sans" w:cs="Open Sans"/>
        </w:rPr>
        <w:t xml:space="preserve"> support scheme chosen by BEIS should </w:t>
      </w:r>
      <w:r>
        <w:rPr>
          <w:rFonts w:ascii="Open Sans" w:eastAsia="Open Sans" w:hAnsi="Open Sans" w:cs="Open Sans"/>
        </w:rPr>
        <w:t>certainly apply to different technologies / pathways</w:t>
      </w:r>
      <w:r w:rsidR="00B748D0">
        <w:rPr>
          <w:rFonts w:ascii="Open Sans" w:eastAsia="Open Sans" w:hAnsi="Open Sans" w:cs="Open Sans"/>
        </w:rPr>
        <w:t xml:space="preserve"> (</w:t>
      </w:r>
      <w:proofErr w:type="spellStart"/>
      <w:proofErr w:type="gramStart"/>
      <w:r w:rsidR="00B748D0">
        <w:rPr>
          <w:rFonts w:ascii="Open Sans" w:eastAsia="Open Sans" w:hAnsi="Open Sans" w:cs="Open Sans"/>
        </w:rPr>
        <w:t>ie</w:t>
      </w:r>
      <w:proofErr w:type="spellEnd"/>
      <w:proofErr w:type="gramEnd"/>
      <w:r w:rsidR="00B748D0">
        <w:rPr>
          <w:rFonts w:ascii="Open Sans" w:eastAsia="Open Sans" w:hAnsi="Open Sans" w:cs="Open Sans"/>
        </w:rPr>
        <w:t xml:space="preserve"> it should be technology agnostic)</w:t>
      </w:r>
      <w:r>
        <w:rPr>
          <w:rFonts w:ascii="Open Sans" w:eastAsia="Open Sans" w:hAnsi="Open Sans" w:cs="Open Sans"/>
        </w:rPr>
        <w:t xml:space="preserve">, but it also needs </w:t>
      </w:r>
      <w:r w:rsidR="00163B93">
        <w:rPr>
          <w:rFonts w:ascii="Open Sans" w:eastAsia="Open Sans" w:hAnsi="Open Sans" w:cs="Open Sans"/>
        </w:rPr>
        <w:t xml:space="preserve">to avoid </w:t>
      </w:r>
      <w:r w:rsidR="000810C2">
        <w:rPr>
          <w:rFonts w:ascii="Open Sans" w:eastAsia="Open Sans" w:hAnsi="Open Sans" w:cs="Open Sans"/>
        </w:rPr>
        <w:t xml:space="preserve">overcomplexity. </w:t>
      </w:r>
      <w:r w:rsidR="00FA2B25">
        <w:rPr>
          <w:rFonts w:ascii="Open Sans" w:eastAsia="Open Sans" w:hAnsi="Open Sans" w:cs="Open Sans"/>
        </w:rPr>
        <w:t xml:space="preserve">We </w:t>
      </w:r>
      <w:r>
        <w:rPr>
          <w:rFonts w:ascii="Open Sans" w:eastAsia="Open Sans" w:hAnsi="Open Sans" w:cs="Open Sans"/>
        </w:rPr>
        <w:t>would be</w:t>
      </w:r>
      <w:r w:rsidR="00FA2B25">
        <w:rPr>
          <w:rFonts w:ascii="Open Sans" w:eastAsia="Open Sans" w:hAnsi="Open Sans" w:cs="Open Sans"/>
        </w:rPr>
        <w:t xml:space="preserve"> concerned </w:t>
      </w:r>
      <w:r w:rsidR="00B748D0">
        <w:rPr>
          <w:rFonts w:ascii="Open Sans" w:eastAsia="Open Sans" w:hAnsi="Open Sans" w:cs="Open Sans"/>
        </w:rPr>
        <w:t>if the</w:t>
      </w:r>
      <w:r w:rsidR="00FA2B25">
        <w:rPr>
          <w:rFonts w:ascii="Open Sans" w:eastAsia="Open Sans" w:hAnsi="Open Sans" w:cs="Open Sans"/>
        </w:rPr>
        <w:t xml:space="preserve"> policy </w:t>
      </w:r>
      <w:r w:rsidR="00B748D0">
        <w:rPr>
          <w:rFonts w:ascii="Open Sans" w:eastAsia="Open Sans" w:hAnsi="Open Sans" w:cs="Open Sans"/>
        </w:rPr>
        <w:t>tries</w:t>
      </w:r>
      <w:r w:rsidR="00FA2B25">
        <w:rPr>
          <w:rFonts w:ascii="Open Sans" w:eastAsia="Open Sans" w:hAnsi="Open Sans" w:cs="Open Sans"/>
        </w:rPr>
        <w:t xml:space="preserve"> to address all possible risks</w:t>
      </w:r>
      <w:r w:rsidR="00B748D0">
        <w:rPr>
          <w:rFonts w:ascii="Open Sans" w:eastAsia="Open Sans" w:hAnsi="Open Sans" w:cs="Open Sans"/>
        </w:rPr>
        <w:t xml:space="preserve">, become </w:t>
      </w:r>
      <w:r w:rsidR="00FA2B25">
        <w:rPr>
          <w:rFonts w:ascii="Open Sans" w:eastAsia="Open Sans" w:hAnsi="Open Sans" w:cs="Open Sans"/>
        </w:rPr>
        <w:t>overcomplicated and introduce</w:t>
      </w:r>
      <w:r w:rsidR="00B748D0">
        <w:rPr>
          <w:rFonts w:ascii="Open Sans" w:eastAsia="Open Sans" w:hAnsi="Open Sans" w:cs="Open Sans"/>
        </w:rPr>
        <w:t>s</w:t>
      </w:r>
      <w:r w:rsidR="00FA2B25">
        <w:rPr>
          <w:rFonts w:ascii="Open Sans" w:eastAsia="Open Sans" w:hAnsi="Open Sans" w:cs="Open Sans"/>
        </w:rPr>
        <w:t xml:space="preserve"> significant level of uncertainty for developers and investors</w:t>
      </w:r>
      <w:r w:rsidR="00B748D0">
        <w:rPr>
          <w:rFonts w:ascii="Open Sans" w:eastAsia="Open Sans" w:hAnsi="Open Sans" w:cs="Open Sans"/>
        </w:rPr>
        <w:t xml:space="preserve"> on the multiple factors / elements of the scheme</w:t>
      </w:r>
      <w:r w:rsidR="00FA2B25">
        <w:rPr>
          <w:rFonts w:ascii="Open Sans" w:eastAsia="Open Sans" w:hAnsi="Open Sans" w:cs="Open Sans"/>
        </w:rPr>
        <w:t xml:space="preserve">. We believe BEIS should </w:t>
      </w:r>
      <w:r w:rsidR="00FA2B25">
        <w:rPr>
          <w:rFonts w:ascii="Open Sans" w:eastAsia="Open Sans" w:hAnsi="Open Sans" w:cs="Open Sans"/>
        </w:rPr>
        <w:lastRenderedPageBreak/>
        <w:t>decide what risks it is appropriate for Government to take</w:t>
      </w:r>
      <w:r>
        <w:rPr>
          <w:rFonts w:ascii="Open Sans" w:eastAsia="Open Sans" w:hAnsi="Open Sans" w:cs="Open Sans"/>
        </w:rPr>
        <w:t>,</w:t>
      </w:r>
      <w:r w:rsidR="00FA2B25">
        <w:rPr>
          <w:rFonts w:ascii="Open Sans" w:eastAsia="Open Sans" w:hAnsi="Open Sans" w:cs="Open Sans"/>
        </w:rPr>
        <w:t xml:space="preserve"> and which risks can be left to developers before the policy becomes </w:t>
      </w:r>
      <w:r>
        <w:rPr>
          <w:rFonts w:ascii="Open Sans" w:eastAsia="Open Sans" w:hAnsi="Open Sans" w:cs="Open Sans"/>
        </w:rPr>
        <w:t xml:space="preserve">overcomplicated. </w:t>
      </w:r>
    </w:p>
    <w:p w14:paraId="472BA327" w14:textId="77777777" w:rsidR="00D8496D" w:rsidRDefault="00D8496D" w:rsidP="00D8496D">
      <w:pPr>
        <w:tabs>
          <w:tab w:val="left" w:pos="284"/>
        </w:tabs>
        <w:spacing w:before="120" w:after="120" w:line="240" w:lineRule="auto"/>
        <w:rPr>
          <w:rFonts w:ascii="Open Sans" w:eastAsiaTheme="minorHAnsi" w:hAnsi="Open Sans" w:cs="Open Sans"/>
          <w:b/>
          <w:bCs/>
          <w:color w:val="2F5496"/>
          <w:lang w:eastAsia="en-US"/>
        </w:rPr>
      </w:pPr>
    </w:p>
    <w:p w14:paraId="00000005" w14:textId="3DD3D6F0" w:rsidR="00A27EDE" w:rsidRPr="00D8496D" w:rsidRDefault="003845C1" w:rsidP="00D8496D">
      <w:pPr>
        <w:pStyle w:val="ListParagraph"/>
        <w:numPr>
          <w:ilvl w:val="0"/>
          <w:numId w:val="12"/>
        </w:numPr>
        <w:tabs>
          <w:tab w:val="left" w:pos="284"/>
        </w:tabs>
        <w:spacing w:before="120" w:after="120" w:line="240" w:lineRule="auto"/>
        <w:rPr>
          <w:rFonts w:ascii="Open Sans" w:eastAsiaTheme="minorHAnsi" w:hAnsi="Open Sans" w:cs="Open Sans"/>
          <w:b/>
          <w:bCs/>
          <w:color w:val="2F5496"/>
          <w:lang w:eastAsia="en-US"/>
        </w:rPr>
      </w:pPr>
      <w:r w:rsidRPr="00D8496D">
        <w:rPr>
          <w:rFonts w:ascii="Open Sans" w:eastAsiaTheme="minorHAnsi" w:hAnsi="Open Sans" w:cs="Open Sans"/>
          <w:b/>
          <w:bCs/>
          <w:color w:val="2F5496"/>
          <w:lang w:eastAsia="en-US"/>
        </w:rPr>
        <w:t>Do you agree with our proposal not to introduce a separate revenue support scheme for projects of a smaller scale? Please give arguments to support your response.</w:t>
      </w:r>
    </w:p>
    <w:p w14:paraId="3DD209EE" w14:textId="3C02A240" w:rsidR="00D8496D" w:rsidRDefault="00163B93" w:rsidP="00D8496D">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we believe this is an area for further development. </w:t>
      </w:r>
      <w:r w:rsidR="00B748D0">
        <w:rPr>
          <w:rFonts w:ascii="Open Sans" w:eastAsia="Open Sans" w:hAnsi="Open Sans" w:cs="Open Sans"/>
        </w:rPr>
        <w:t xml:space="preserve"> </w:t>
      </w:r>
    </w:p>
    <w:p w14:paraId="472FF4BF" w14:textId="260FED0A" w:rsidR="00203B07" w:rsidRDefault="00E84030" w:rsidP="00D8496D">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As previously highlighted, </w:t>
      </w:r>
      <w:r w:rsidR="00F850D5">
        <w:rPr>
          <w:rFonts w:ascii="Open Sans" w:eastAsia="Open Sans" w:hAnsi="Open Sans" w:cs="Open Sans"/>
        </w:rPr>
        <w:t xml:space="preserve">the overall undertaking </w:t>
      </w:r>
      <w:r>
        <w:rPr>
          <w:rFonts w:ascii="Open Sans" w:eastAsia="Open Sans" w:hAnsi="Open Sans" w:cs="Open Sans"/>
        </w:rPr>
        <w:t xml:space="preserve">associated with </w:t>
      </w:r>
      <w:r w:rsidR="00F850D5">
        <w:rPr>
          <w:rFonts w:ascii="Open Sans" w:eastAsia="Open Sans" w:hAnsi="Open Sans" w:cs="Open Sans"/>
        </w:rPr>
        <w:t xml:space="preserve">putting together, </w:t>
      </w:r>
      <w:proofErr w:type="gramStart"/>
      <w:r w:rsidR="00F850D5">
        <w:rPr>
          <w:rFonts w:ascii="Open Sans" w:eastAsia="Open Sans" w:hAnsi="Open Sans" w:cs="Open Sans"/>
        </w:rPr>
        <w:t>negotiating</w:t>
      </w:r>
      <w:proofErr w:type="gramEnd"/>
      <w:r w:rsidR="00F850D5">
        <w:rPr>
          <w:rFonts w:ascii="Open Sans" w:eastAsia="Open Sans" w:hAnsi="Open Sans" w:cs="Open Sans"/>
        </w:rPr>
        <w:t xml:space="preserve"> and managing this type of contract is significant and should not be underestimated. We understand from industry that projects below 10 MW would likely struggle to apply for this type of mechanism, although it </w:t>
      </w:r>
      <w:r w:rsidR="00B748D0">
        <w:rPr>
          <w:rFonts w:ascii="Open Sans" w:eastAsia="Open Sans" w:hAnsi="Open Sans" w:cs="Open Sans"/>
        </w:rPr>
        <w:t>must be</w:t>
      </w:r>
      <w:r w:rsidR="00F850D5">
        <w:rPr>
          <w:rFonts w:ascii="Open Sans" w:eastAsia="Open Sans" w:hAnsi="Open Sans" w:cs="Open Sans"/>
        </w:rPr>
        <w:t xml:space="preserve"> pointed out that the size of the project is not the only factor. The main challenge is the contractual complexity as opposed to the size of the projects: </w:t>
      </w:r>
      <w:r w:rsidR="00B748D0">
        <w:rPr>
          <w:rFonts w:ascii="Open Sans" w:eastAsia="Open Sans" w:hAnsi="Open Sans" w:cs="Open Sans"/>
        </w:rPr>
        <w:t xml:space="preserve">for example, </w:t>
      </w:r>
      <w:r w:rsidR="00F850D5">
        <w:rPr>
          <w:rFonts w:ascii="Open Sans" w:eastAsia="Open Sans" w:hAnsi="Open Sans" w:cs="Open Sans"/>
        </w:rPr>
        <w:t xml:space="preserve">a company developing several </w:t>
      </w:r>
      <w:proofErr w:type="gramStart"/>
      <w:r w:rsidR="00F850D5">
        <w:rPr>
          <w:rFonts w:ascii="Open Sans" w:eastAsia="Open Sans" w:hAnsi="Open Sans" w:cs="Open Sans"/>
        </w:rPr>
        <w:t>small scale</w:t>
      </w:r>
      <w:proofErr w:type="gramEnd"/>
      <w:r w:rsidR="00F850D5">
        <w:rPr>
          <w:rFonts w:ascii="Open Sans" w:eastAsia="Open Sans" w:hAnsi="Open Sans" w:cs="Open Sans"/>
        </w:rPr>
        <w:t xml:space="preserve"> electrolysers may have the resources to enter into such a contractual agreement, while an individual company developing a large-scale project may not. </w:t>
      </w:r>
      <w:r w:rsidR="00163B93">
        <w:rPr>
          <w:rFonts w:ascii="Open Sans" w:eastAsia="Open Sans" w:hAnsi="Open Sans" w:cs="Open Sans"/>
        </w:rPr>
        <w:t xml:space="preserve"> It is worth noting that the CfD for power has been taken up almost exclusively by larger projects.  </w:t>
      </w:r>
    </w:p>
    <w:p w14:paraId="4B8B3729" w14:textId="4C173B81" w:rsidR="00AE07F9" w:rsidRDefault="00F850D5" w:rsidP="00D8496D">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Secondly, BEIS has stated in the consultation that </w:t>
      </w:r>
      <w:r w:rsidR="00B748D0">
        <w:rPr>
          <w:rFonts w:ascii="Open Sans" w:eastAsia="Open Sans" w:hAnsi="Open Sans" w:cs="Open Sans"/>
        </w:rPr>
        <w:t xml:space="preserve">they believe </w:t>
      </w:r>
      <w:r>
        <w:rPr>
          <w:rFonts w:ascii="Open Sans" w:eastAsia="Open Sans" w:hAnsi="Open Sans" w:cs="Open Sans"/>
        </w:rPr>
        <w:t xml:space="preserve">small scale electrolysers are likely to </w:t>
      </w:r>
      <w:r w:rsidR="00B748D0">
        <w:rPr>
          <w:rFonts w:ascii="Open Sans" w:eastAsia="Open Sans" w:hAnsi="Open Sans" w:cs="Open Sans"/>
        </w:rPr>
        <w:t xml:space="preserve">develop and be supported under </w:t>
      </w:r>
      <w:r>
        <w:rPr>
          <w:rFonts w:ascii="Open Sans" w:eastAsia="Open Sans" w:hAnsi="Open Sans" w:cs="Open Sans"/>
        </w:rPr>
        <w:t xml:space="preserve">the RTFO. </w:t>
      </w:r>
      <w:r w:rsidR="00B748D0">
        <w:rPr>
          <w:rFonts w:ascii="Open Sans" w:eastAsia="Open Sans" w:hAnsi="Open Sans" w:cs="Open Sans"/>
        </w:rPr>
        <w:t xml:space="preserve">This needs further consideration. </w:t>
      </w:r>
      <w:r>
        <w:rPr>
          <w:rFonts w:ascii="Open Sans" w:eastAsia="Open Sans" w:hAnsi="Open Sans" w:cs="Open Sans"/>
        </w:rPr>
        <w:t xml:space="preserve">The RTFO is a </w:t>
      </w:r>
      <w:r w:rsidR="005C164A">
        <w:rPr>
          <w:rFonts w:ascii="Open Sans" w:eastAsia="Open Sans" w:hAnsi="Open Sans" w:cs="Open Sans"/>
        </w:rPr>
        <w:t>market-based</w:t>
      </w:r>
      <w:r>
        <w:rPr>
          <w:rFonts w:ascii="Open Sans" w:eastAsia="Open Sans" w:hAnsi="Open Sans" w:cs="Open Sans"/>
        </w:rPr>
        <w:t xml:space="preserve"> mechanism </w:t>
      </w:r>
      <w:r w:rsidR="00B748D0">
        <w:rPr>
          <w:rFonts w:ascii="Open Sans" w:eastAsia="Open Sans" w:hAnsi="Open Sans" w:cs="Open Sans"/>
        </w:rPr>
        <w:t xml:space="preserve">– given that the </w:t>
      </w:r>
      <w:r>
        <w:rPr>
          <w:rFonts w:ascii="Open Sans" w:eastAsia="Open Sans" w:hAnsi="Open Sans" w:cs="Open Sans"/>
        </w:rPr>
        <w:t>value of the Renewable Transport Fuel Certificate</w:t>
      </w:r>
      <w:r w:rsidR="005C164A">
        <w:rPr>
          <w:rFonts w:ascii="Open Sans" w:eastAsia="Open Sans" w:hAnsi="Open Sans" w:cs="Open Sans"/>
        </w:rPr>
        <w:t>s</w:t>
      </w:r>
      <w:r>
        <w:rPr>
          <w:rFonts w:ascii="Open Sans" w:eastAsia="Open Sans" w:hAnsi="Open Sans" w:cs="Open Sans"/>
        </w:rPr>
        <w:t xml:space="preserve"> </w:t>
      </w:r>
      <w:r w:rsidR="00163B93">
        <w:rPr>
          <w:rFonts w:ascii="Open Sans" w:eastAsia="Open Sans" w:hAnsi="Open Sans" w:cs="Open Sans"/>
        </w:rPr>
        <w:t xml:space="preserve">(RTFCs) </w:t>
      </w:r>
      <w:r>
        <w:rPr>
          <w:rFonts w:ascii="Open Sans" w:eastAsia="Open Sans" w:hAnsi="Open Sans" w:cs="Open Sans"/>
        </w:rPr>
        <w:t>is volatile</w:t>
      </w:r>
      <w:r w:rsidR="00163B93">
        <w:rPr>
          <w:rFonts w:ascii="Open Sans" w:eastAsia="Open Sans" w:hAnsi="Open Sans" w:cs="Open Sans"/>
        </w:rPr>
        <w:t>,</w:t>
      </w:r>
      <w:r>
        <w:rPr>
          <w:rFonts w:ascii="Open Sans" w:eastAsia="Open Sans" w:hAnsi="Open Sans" w:cs="Open Sans"/>
        </w:rPr>
        <w:t xml:space="preserve"> this mechanism is often not seen</w:t>
      </w:r>
      <w:r w:rsidR="005C164A">
        <w:rPr>
          <w:rFonts w:ascii="Open Sans" w:eastAsia="Open Sans" w:hAnsi="Open Sans" w:cs="Open Sans"/>
        </w:rPr>
        <w:t xml:space="preserve"> by developers</w:t>
      </w:r>
      <w:r>
        <w:rPr>
          <w:rFonts w:ascii="Open Sans" w:eastAsia="Open Sans" w:hAnsi="Open Sans" w:cs="Open Sans"/>
        </w:rPr>
        <w:t xml:space="preserve"> as bankable</w:t>
      </w:r>
      <w:r w:rsidR="00AE07F9">
        <w:rPr>
          <w:rFonts w:ascii="Open Sans" w:eastAsia="Open Sans" w:hAnsi="Open Sans" w:cs="Open Sans"/>
        </w:rPr>
        <w:t>.  In other words, RTFCs are</w:t>
      </w:r>
      <w:r>
        <w:rPr>
          <w:rFonts w:ascii="Open Sans" w:eastAsia="Open Sans" w:hAnsi="Open Sans" w:cs="Open Sans"/>
        </w:rPr>
        <w:t xml:space="preserve"> never used as the funding mechanism to build a plan</w:t>
      </w:r>
      <w:r w:rsidR="005C164A">
        <w:rPr>
          <w:rFonts w:ascii="Open Sans" w:eastAsia="Open Sans" w:hAnsi="Open Sans" w:cs="Open Sans"/>
        </w:rPr>
        <w:t>t</w:t>
      </w:r>
      <w:r>
        <w:rPr>
          <w:rFonts w:ascii="Open Sans" w:eastAsia="Open Sans" w:hAnsi="Open Sans" w:cs="Open Sans"/>
        </w:rPr>
        <w:t xml:space="preserve"> </w:t>
      </w:r>
      <w:r w:rsidR="00B748D0">
        <w:rPr>
          <w:rFonts w:ascii="Open Sans" w:eastAsia="Open Sans" w:hAnsi="Open Sans" w:cs="Open Sans"/>
        </w:rPr>
        <w:t xml:space="preserve">but </w:t>
      </w:r>
      <w:r w:rsidR="00DB7889">
        <w:rPr>
          <w:rFonts w:ascii="Open Sans" w:eastAsia="Open Sans" w:hAnsi="Open Sans" w:cs="Open Sans"/>
        </w:rPr>
        <w:t>are</w:t>
      </w:r>
      <w:r w:rsidR="00B748D0">
        <w:rPr>
          <w:rFonts w:ascii="Open Sans" w:eastAsia="Open Sans" w:hAnsi="Open Sans" w:cs="Open Sans"/>
        </w:rPr>
        <w:t xml:space="preserve"> </w:t>
      </w:r>
      <w:r w:rsidR="005C164A">
        <w:rPr>
          <w:rFonts w:ascii="Open Sans" w:eastAsia="Open Sans" w:hAnsi="Open Sans" w:cs="Open Sans"/>
        </w:rPr>
        <w:t xml:space="preserve">often seen as an additional revenue </w:t>
      </w:r>
      <w:r w:rsidR="00AE07F9">
        <w:rPr>
          <w:rFonts w:ascii="Open Sans" w:eastAsia="Open Sans" w:hAnsi="Open Sans" w:cs="Open Sans"/>
        </w:rPr>
        <w:t xml:space="preserve">source </w:t>
      </w:r>
      <w:r w:rsidR="005C164A">
        <w:rPr>
          <w:rFonts w:ascii="Open Sans" w:eastAsia="Open Sans" w:hAnsi="Open Sans" w:cs="Open Sans"/>
        </w:rPr>
        <w:t xml:space="preserve">once the plant is operational </w:t>
      </w:r>
      <w:r w:rsidR="00B748D0">
        <w:rPr>
          <w:rFonts w:ascii="Open Sans" w:eastAsia="Open Sans" w:hAnsi="Open Sans" w:cs="Open Sans"/>
        </w:rPr>
        <w:t>(</w:t>
      </w:r>
      <w:r>
        <w:rPr>
          <w:rFonts w:ascii="Open Sans" w:eastAsia="Open Sans" w:hAnsi="Open Sans" w:cs="Open Sans"/>
        </w:rPr>
        <w:t xml:space="preserve">unless a </w:t>
      </w:r>
      <w:proofErr w:type="gramStart"/>
      <w:r>
        <w:rPr>
          <w:rFonts w:ascii="Open Sans" w:eastAsia="Open Sans" w:hAnsi="Open Sans" w:cs="Open Sans"/>
        </w:rPr>
        <w:t>long term</w:t>
      </w:r>
      <w:proofErr w:type="gramEnd"/>
      <w:r>
        <w:rPr>
          <w:rFonts w:ascii="Open Sans" w:eastAsia="Open Sans" w:hAnsi="Open Sans" w:cs="Open Sans"/>
        </w:rPr>
        <w:t xml:space="preserve"> offtake contract can be signed with a counterparty which guarantees the value of the certificates for a long period of time</w:t>
      </w:r>
      <w:r w:rsidR="00B748D0">
        <w:rPr>
          <w:rFonts w:ascii="Open Sans" w:eastAsia="Open Sans" w:hAnsi="Open Sans" w:cs="Open Sans"/>
        </w:rPr>
        <w:t>)</w:t>
      </w:r>
      <w:r w:rsidR="005C164A">
        <w:rPr>
          <w:rFonts w:ascii="Open Sans" w:eastAsia="Open Sans" w:hAnsi="Open Sans" w:cs="Open Sans"/>
        </w:rPr>
        <w:t xml:space="preserve">. </w:t>
      </w:r>
    </w:p>
    <w:p w14:paraId="23681ACA" w14:textId="32529DEE" w:rsidR="009D36E9" w:rsidRDefault="005C164A" w:rsidP="00D8496D">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We have </w:t>
      </w:r>
      <w:r w:rsidR="00B748D0">
        <w:rPr>
          <w:rFonts w:ascii="Open Sans" w:eastAsia="Open Sans" w:hAnsi="Open Sans" w:cs="Open Sans"/>
        </w:rPr>
        <w:t>experience of this in the</w:t>
      </w:r>
      <w:r>
        <w:rPr>
          <w:rFonts w:ascii="Open Sans" w:eastAsia="Open Sans" w:hAnsi="Open Sans" w:cs="Open Sans"/>
        </w:rPr>
        <w:t xml:space="preserve"> biomethane sector</w:t>
      </w:r>
      <w:r w:rsidR="00B748D0">
        <w:rPr>
          <w:rFonts w:ascii="Open Sans" w:eastAsia="Open Sans" w:hAnsi="Open Sans" w:cs="Open Sans"/>
        </w:rPr>
        <w:t xml:space="preserve">, </w:t>
      </w:r>
      <w:r>
        <w:rPr>
          <w:rFonts w:ascii="Open Sans" w:eastAsia="Open Sans" w:hAnsi="Open Sans" w:cs="Open Sans"/>
        </w:rPr>
        <w:t xml:space="preserve">where no biomethane plant has been funded </w:t>
      </w:r>
      <w:r w:rsidR="00B748D0">
        <w:rPr>
          <w:rFonts w:ascii="Open Sans" w:eastAsia="Open Sans" w:hAnsi="Open Sans" w:cs="Open Sans"/>
        </w:rPr>
        <w:t xml:space="preserve">solely </w:t>
      </w:r>
      <w:proofErr w:type="gramStart"/>
      <w:r>
        <w:rPr>
          <w:rFonts w:ascii="Open Sans" w:eastAsia="Open Sans" w:hAnsi="Open Sans" w:cs="Open Sans"/>
        </w:rPr>
        <w:t>on the basis of</w:t>
      </w:r>
      <w:proofErr w:type="gramEnd"/>
      <w:r>
        <w:rPr>
          <w:rFonts w:ascii="Open Sans" w:eastAsia="Open Sans" w:hAnsi="Open Sans" w:cs="Open Sans"/>
        </w:rPr>
        <w:t xml:space="preserve"> the RTFO</w:t>
      </w:r>
      <w:r w:rsidR="00B748D0">
        <w:rPr>
          <w:rFonts w:ascii="Open Sans" w:eastAsia="Open Sans" w:hAnsi="Open Sans" w:cs="Open Sans"/>
        </w:rPr>
        <w:t>. All AD plant</w:t>
      </w:r>
      <w:r w:rsidR="00AE07F9">
        <w:rPr>
          <w:rFonts w:ascii="Open Sans" w:eastAsia="Open Sans" w:hAnsi="Open Sans" w:cs="Open Sans"/>
        </w:rPr>
        <w:t>s</w:t>
      </w:r>
      <w:r w:rsidR="00B748D0">
        <w:rPr>
          <w:rFonts w:ascii="Open Sans" w:eastAsia="Open Sans" w:hAnsi="Open Sans" w:cs="Open Sans"/>
        </w:rPr>
        <w:t xml:space="preserve"> injecting biomethane into the </w:t>
      </w:r>
      <w:r w:rsidR="00AE07F9">
        <w:rPr>
          <w:rFonts w:ascii="Open Sans" w:eastAsia="Open Sans" w:hAnsi="Open Sans" w:cs="Open Sans"/>
        </w:rPr>
        <w:t xml:space="preserve">grid </w:t>
      </w:r>
      <w:r w:rsidR="00B748D0">
        <w:rPr>
          <w:rFonts w:ascii="Open Sans" w:eastAsia="Open Sans" w:hAnsi="Open Sans" w:cs="Open Sans"/>
        </w:rPr>
        <w:t>have needed</w:t>
      </w:r>
      <w:r>
        <w:rPr>
          <w:rFonts w:ascii="Open Sans" w:eastAsia="Open Sans" w:hAnsi="Open Sans" w:cs="Open Sans"/>
        </w:rPr>
        <w:t xml:space="preserve"> accreditation (called ‘registration’ for biomethane) under the Renewable Heat Incentive</w:t>
      </w:r>
      <w:r w:rsidR="00B748D0">
        <w:rPr>
          <w:rFonts w:ascii="Open Sans" w:eastAsia="Open Sans" w:hAnsi="Open Sans" w:cs="Open Sans"/>
        </w:rPr>
        <w:t xml:space="preserve">, </w:t>
      </w:r>
      <w:r>
        <w:rPr>
          <w:rFonts w:ascii="Open Sans" w:eastAsia="Open Sans" w:hAnsi="Open Sans" w:cs="Open Sans"/>
        </w:rPr>
        <w:t xml:space="preserve">which provides a long-term stable income for developers. </w:t>
      </w:r>
      <w:r w:rsidR="00B748D0">
        <w:rPr>
          <w:rFonts w:ascii="Open Sans" w:eastAsia="Open Sans" w:hAnsi="Open Sans" w:cs="Open Sans"/>
        </w:rPr>
        <w:t xml:space="preserve">Many of these plants, however, are likely to boost their production to supply additional biomethane for use in transport under the RTFO and earn additional revenues. </w:t>
      </w:r>
      <w:r>
        <w:rPr>
          <w:rFonts w:ascii="Open Sans" w:eastAsia="Open Sans" w:hAnsi="Open Sans" w:cs="Open Sans"/>
        </w:rPr>
        <w:t xml:space="preserve">We </w:t>
      </w:r>
      <w:r w:rsidR="00F850D5">
        <w:rPr>
          <w:rFonts w:ascii="Open Sans" w:eastAsia="Open Sans" w:hAnsi="Open Sans" w:cs="Open Sans"/>
        </w:rPr>
        <w:t xml:space="preserve">would be happy to </w:t>
      </w:r>
      <w:r>
        <w:rPr>
          <w:rFonts w:ascii="Open Sans" w:eastAsia="Open Sans" w:hAnsi="Open Sans" w:cs="Open Sans"/>
        </w:rPr>
        <w:t>share</w:t>
      </w:r>
      <w:r w:rsidR="00F850D5">
        <w:rPr>
          <w:rFonts w:ascii="Open Sans" w:eastAsia="Open Sans" w:hAnsi="Open Sans" w:cs="Open Sans"/>
        </w:rPr>
        <w:t xml:space="preserve"> further information </w:t>
      </w:r>
      <w:r>
        <w:rPr>
          <w:rFonts w:ascii="Open Sans" w:eastAsia="Open Sans" w:hAnsi="Open Sans" w:cs="Open Sans"/>
        </w:rPr>
        <w:t xml:space="preserve">with </w:t>
      </w:r>
      <w:r w:rsidR="00F850D5">
        <w:rPr>
          <w:rFonts w:ascii="Open Sans" w:eastAsia="Open Sans" w:hAnsi="Open Sans" w:cs="Open Sans"/>
        </w:rPr>
        <w:t xml:space="preserve">BEIS on this </w:t>
      </w:r>
      <w:r>
        <w:rPr>
          <w:rFonts w:ascii="Open Sans" w:eastAsia="Open Sans" w:hAnsi="Open Sans" w:cs="Open Sans"/>
        </w:rPr>
        <w:t xml:space="preserve">important </w:t>
      </w:r>
      <w:r w:rsidR="00F850D5">
        <w:rPr>
          <w:rFonts w:ascii="Open Sans" w:eastAsia="Open Sans" w:hAnsi="Open Sans" w:cs="Open Sans"/>
        </w:rPr>
        <w:t xml:space="preserve">point. </w:t>
      </w:r>
    </w:p>
    <w:p w14:paraId="28D8A00C" w14:textId="523FE0B9" w:rsidR="00B748D0" w:rsidRDefault="005C164A" w:rsidP="00D8496D">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BEIS </w:t>
      </w:r>
      <w:r w:rsidR="00B748D0">
        <w:rPr>
          <w:rFonts w:ascii="Open Sans" w:eastAsia="Open Sans" w:hAnsi="Open Sans" w:cs="Open Sans"/>
        </w:rPr>
        <w:t xml:space="preserve">will need to decide in the first place whether they want to see these types of projects developed in the UK </w:t>
      </w:r>
      <w:r w:rsidR="009D36E9">
        <w:rPr>
          <w:rFonts w:ascii="Open Sans" w:eastAsia="Open Sans" w:hAnsi="Open Sans" w:cs="Open Sans"/>
        </w:rPr>
        <w:t xml:space="preserve">and not rely entirely on the RTFO </w:t>
      </w:r>
      <w:r w:rsidR="00B748D0">
        <w:rPr>
          <w:rFonts w:ascii="Open Sans" w:eastAsia="Open Sans" w:hAnsi="Open Sans" w:cs="Open Sans"/>
        </w:rPr>
        <w:t xml:space="preserve">policy </w:t>
      </w:r>
      <w:r w:rsidR="009D36E9">
        <w:rPr>
          <w:rFonts w:ascii="Open Sans" w:eastAsia="Open Sans" w:hAnsi="Open Sans" w:cs="Open Sans"/>
        </w:rPr>
        <w:t xml:space="preserve">to support </w:t>
      </w:r>
      <w:r w:rsidR="00B748D0">
        <w:rPr>
          <w:rFonts w:ascii="Open Sans" w:eastAsia="Open Sans" w:hAnsi="Open Sans" w:cs="Open Sans"/>
        </w:rPr>
        <w:t xml:space="preserve">them. </w:t>
      </w:r>
      <w:r w:rsidR="009D36E9">
        <w:rPr>
          <w:rFonts w:ascii="Open Sans" w:eastAsia="Open Sans" w:hAnsi="Open Sans" w:cs="Open Sans"/>
        </w:rPr>
        <w:t xml:space="preserve"> </w:t>
      </w:r>
      <w:r w:rsidR="00B748D0">
        <w:rPr>
          <w:rFonts w:ascii="Open Sans" w:eastAsia="Open Sans" w:hAnsi="Open Sans" w:cs="Open Sans"/>
        </w:rPr>
        <w:t xml:space="preserve">In our view, as highlighted previously, these </w:t>
      </w:r>
      <w:r w:rsidR="009D36E9">
        <w:rPr>
          <w:rFonts w:ascii="Open Sans" w:eastAsia="Open Sans" w:hAnsi="Open Sans" w:cs="Open Sans"/>
        </w:rPr>
        <w:t>projects are key to kick start the market for low carbon hydrogen in the UK, can be developed much faster</w:t>
      </w:r>
      <w:r w:rsidR="00B748D0">
        <w:rPr>
          <w:rFonts w:ascii="Open Sans" w:eastAsia="Open Sans" w:hAnsi="Open Sans" w:cs="Open Sans"/>
        </w:rPr>
        <w:t>, will be crucial to accommodate more renewables in the system and balance the power grid</w:t>
      </w:r>
      <w:r w:rsidR="00414AF6">
        <w:rPr>
          <w:rFonts w:ascii="Open Sans" w:eastAsia="Open Sans" w:hAnsi="Open Sans" w:cs="Open Sans"/>
        </w:rPr>
        <w:t xml:space="preserve">. Not only can </w:t>
      </w:r>
      <w:r w:rsidR="00AE07F9">
        <w:rPr>
          <w:rFonts w:ascii="Open Sans" w:eastAsia="Open Sans" w:hAnsi="Open Sans" w:cs="Open Sans"/>
        </w:rPr>
        <w:t xml:space="preserve">they </w:t>
      </w:r>
      <w:r w:rsidR="009D36E9">
        <w:rPr>
          <w:rFonts w:ascii="Open Sans" w:eastAsia="Open Sans" w:hAnsi="Open Sans" w:cs="Open Sans"/>
        </w:rPr>
        <w:t xml:space="preserve">play an important </w:t>
      </w:r>
      <w:r w:rsidR="00AE07F9">
        <w:rPr>
          <w:rFonts w:ascii="Open Sans" w:eastAsia="Open Sans" w:hAnsi="Open Sans" w:cs="Open Sans"/>
        </w:rPr>
        <w:t>part in</w:t>
      </w:r>
      <w:r w:rsidR="009D36E9">
        <w:rPr>
          <w:rFonts w:ascii="Open Sans" w:eastAsia="Open Sans" w:hAnsi="Open Sans" w:cs="Open Sans"/>
        </w:rPr>
        <w:t xml:space="preserve"> build</w:t>
      </w:r>
      <w:r w:rsidR="00AE07F9">
        <w:rPr>
          <w:rFonts w:ascii="Open Sans" w:eastAsia="Open Sans" w:hAnsi="Open Sans" w:cs="Open Sans"/>
        </w:rPr>
        <w:t>ing</w:t>
      </w:r>
      <w:r w:rsidR="009D36E9">
        <w:rPr>
          <w:rFonts w:ascii="Open Sans" w:eastAsia="Open Sans" w:hAnsi="Open Sans" w:cs="Open Sans"/>
        </w:rPr>
        <w:t xml:space="preserve"> </w:t>
      </w:r>
      <w:r w:rsidR="00414AF6">
        <w:rPr>
          <w:rFonts w:ascii="Open Sans" w:eastAsia="Open Sans" w:hAnsi="Open Sans" w:cs="Open Sans"/>
        </w:rPr>
        <w:t>the UK low carbon</w:t>
      </w:r>
      <w:r w:rsidR="00B748D0">
        <w:rPr>
          <w:rFonts w:ascii="Open Sans" w:eastAsia="Open Sans" w:hAnsi="Open Sans" w:cs="Open Sans"/>
        </w:rPr>
        <w:t xml:space="preserve"> </w:t>
      </w:r>
      <w:r w:rsidR="009D36E9">
        <w:rPr>
          <w:rFonts w:ascii="Open Sans" w:eastAsia="Open Sans" w:hAnsi="Open Sans" w:cs="Open Sans"/>
        </w:rPr>
        <w:t>hydrogen economy</w:t>
      </w:r>
      <w:r w:rsidR="00414AF6">
        <w:rPr>
          <w:rFonts w:ascii="Open Sans" w:eastAsia="Open Sans" w:hAnsi="Open Sans" w:cs="Open Sans"/>
        </w:rPr>
        <w:t xml:space="preserve">, but they also have an instrumental role </w:t>
      </w:r>
      <w:r w:rsidR="00AE07F9">
        <w:rPr>
          <w:rFonts w:ascii="Open Sans" w:eastAsia="Open Sans" w:hAnsi="Open Sans" w:cs="Open Sans"/>
        </w:rPr>
        <w:t>in</w:t>
      </w:r>
      <w:r w:rsidR="00414AF6">
        <w:rPr>
          <w:rFonts w:ascii="Open Sans" w:eastAsia="Open Sans" w:hAnsi="Open Sans" w:cs="Open Sans"/>
        </w:rPr>
        <w:t xml:space="preserve"> helping t</w:t>
      </w:r>
      <w:r w:rsidR="009D36E9">
        <w:rPr>
          <w:rFonts w:ascii="Open Sans" w:eastAsia="Open Sans" w:hAnsi="Open Sans" w:cs="Open Sans"/>
        </w:rPr>
        <w:t xml:space="preserve">he UK reach its Net Zero target </w:t>
      </w:r>
      <w:r w:rsidR="00B748D0">
        <w:rPr>
          <w:rFonts w:ascii="Open Sans" w:eastAsia="Open Sans" w:hAnsi="Open Sans" w:cs="Open Sans"/>
        </w:rPr>
        <w:t>at a faster pace.</w:t>
      </w:r>
    </w:p>
    <w:p w14:paraId="1B7F48F2" w14:textId="7D1E3950" w:rsidR="00DB7889" w:rsidRDefault="00DB7889" w:rsidP="00D8496D">
      <w:pPr>
        <w:tabs>
          <w:tab w:val="left" w:pos="284"/>
        </w:tabs>
        <w:spacing w:before="120" w:after="120" w:line="240" w:lineRule="auto"/>
        <w:rPr>
          <w:rFonts w:ascii="Open Sans" w:eastAsia="Open Sans" w:hAnsi="Open Sans" w:cs="Open Sans"/>
        </w:rPr>
      </w:pPr>
    </w:p>
    <w:p w14:paraId="2EA871AA" w14:textId="57E92EB1" w:rsidR="00DB7889" w:rsidRPr="00DB7889" w:rsidRDefault="00DB7889" w:rsidP="00DB7889">
      <w:pPr>
        <w:tabs>
          <w:tab w:val="left" w:pos="284"/>
        </w:tabs>
        <w:spacing w:before="120" w:after="120" w:line="240" w:lineRule="auto"/>
        <w:rPr>
          <w:rFonts w:ascii="Open Sans" w:eastAsia="Open Sans" w:hAnsi="Open Sans" w:cs="Open Sans"/>
        </w:rPr>
      </w:pPr>
      <w:r>
        <w:rPr>
          <w:rFonts w:ascii="Open Sans" w:eastAsia="Open Sans" w:hAnsi="Open Sans" w:cs="Open Sans"/>
        </w:rPr>
        <w:lastRenderedPageBreak/>
        <w:t>As mentioned at the beginning of this response, t</w:t>
      </w:r>
      <w:r w:rsidRPr="00DB7889">
        <w:rPr>
          <w:rFonts w:ascii="Open Sans" w:eastAsia="Open Sans" w:hAnsi="Open Sans" w:cs="Open Sans"/>
        </w:rPr>
        <w:t xml:space="preserve">he greatest barrier to the deployment of </w:t>
      </w:r>
      <w:r>
        <w:rPr>
          <w:rFonts w:ascii="Open Sans" w:eastAsia="Open Sans" w:hAnsi="Open Sans" w:cs="Open Sans"/>
        </w:rPr>
        <w:t xml:space="preserve">electrolytic </w:t>
      </w:r>
      <w:r w:rsidRPr="00DB7889">
        <w:rPr>
          <w:rFonts w:ascii="Open Sans" w:eastAsia="Open Sans" w:hAnsi="Open Sans" w:cs="Open Sans"/>
        </w:rPr>
        <w:t xml:space="preserve">hydrogen is cost, largely due to the cost of renewable electricity via the grid. In addition to the cost of electricity itself, significant further costs are added by green levies and system fees applying to electricity bills. </w:t>
      </w:r>
    </w:p>
    <w:p w14:paraId="0F1D506A" w14:textId="5AACB898" w:rsidR="00DB7889" w:rsidRPr="00DB7889" w:rsidRDefault="00DB7889" w:rsidP="00DB7889">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The REA believe it is paramount that, in addition to developing business models and providing capital grants, measures are taken to reduce the running cost of grid connected electrolysers by enabling them to access </w:t>
      </w:r>
      <w:r w:rsidRPr="00DB7889">
        <w:rPr>
          <w:rFonts w:ascii="Open Sans" w:eastAsia="Open Sans" w:hAnsi="Open Sans" w:cs="Open Sans"/>
        </w:rPr>
        <w:t xml:space="preserve">cheaper renewable electricity. This can be done by: </w:t>
      </w:r>
    </w:p>
    <w:p w14:paraId="3AD400DA" w14:textId="77777777" w:rsidR="00DB7889" w:rsidRDefault="00DB7889" w:rsidP="00F449D8">
      <w:pPr>
        <w:pStyle w:val="ListParagraph"/>
        <w:numPr>
          <w:ilvl w:val="0"/>
          <w:numId w:val="16"/>
        </w:numPr>
        <w:tabs>
          <w:tab w:val="left" w:pos="284"/>
        </w:tabs>
        <w:spacing w:before="120" w:after="120" w:line="240" w:lineRule="auto"/>
        <w:ind w:left="284" w:hanging="284"/>
        <w:rPr>
          <w:rFonts w:ascii="Open Sans" w:eastAsia="Open Sans" w:hAnsi="Open Sans" w:cs="Open Sans"/>
        </w:rPr>
      </w:pPr>
      <w:r w:rsidRPr="00DB7889">
        <w:rPr>
          <w:rFonts w:ascii="Open Sans" w:eastAsia="Open Sans" w:hAnsi="Open Sans" w:cs="Open Sans"/>
        </w:rPr>
        <w:t xml:space="preserve">Exempting electrolysers from ’green levies’ on electricity bills – </w:t>
      </w:r>
      <w:proofErr w:type="gramStart"/>
      <w:r w:rsidRPr="00DB7889">
        <w:rPr>
          <w:rFonts w:ascii="Open Sans" w:eastAsia="Open Sans" w:hAnsi="Open Sans" w:cs="Open Sans"/>
        </w:rPr>
        <w:t>i.e.</w:t>
      </w:r>
      <w:proofErr w:type="gramEnd"/>
      <w:r w:rsidRPr="00DB7889">
        <w:rPr>
          <w:rFonts w:ascii="Open Sans" w:eastAsia="Open Sans" w:hAnsi="Open Sans" w:cs="Open Sans"/>
        </w:rPr>
        <w:t xml:space="preserve"> electrolysis could be on the list as energy intensive users (see EII Scheme), thereby qualifying such sites for exemption from the indirect costs of funding Contracts for Difference (CFDs), the Renewables Obligation (RO) and the small scale Feed in Tariff (FIT). </w:t>
      </w:r>
    </w:p>
    <w:p w14:paraId="67F4019E" w14:textId="5BA2E444" w:rsidR="00DB7889" w:rsidRPr="00DB7889" w:rsidRDefault="00DB7889" w:rsidP="00F449D8">
      <w:pPr>
        <w:pStyle w:val="ListParagraph"/>
        <w:numPr>
          <w:ilvl w:val="0"/>
          <w:numId w:val="16"/>
        </w:numPr>
        <w:tabs>
          <w:tab w:val="left" w:pos="284"/>
        </w:tabs>
        <w:spacing w:before="120" w:after="120" w:line="240" w:lineRule="auto"/>
        <w:ind w:left="284" w:hanging="284"/>
        <w:rPr>
          <w:rFonts w:ascii="Open Sans" w:eastAsia="Open Sans" w:hAnsi="Open Sans" w:cs="Open Sans"/>
        </w:rPr>
      </w:pPr>
      <w:r w:rsidRPr="00DB7889">
        <w:rPr>
          <w:rFonts w:ascii="Open Sans" w:eastAsia="Open Sans" w:hAnsi="Open Sans" w:cs="Open Sans"/>
        </w:rPr>
        <w:t xml:space="preserve">Exempting electrolysers that provide grid services from use of system fees (on a time limited basis), or adopting a system akin to the new rules for grid balancing charges borne by energy storage assets – </w:t>
      </w:r>
      <w:proofErr w:type="gramStart"/>
      <w:r w:rsidRPr="00DB7889">
        <w:rPr>
          <w:rFonts w:ascii="Open Sans" w:eastAsia="Open Sans" w:hAnsi="Open Sans" w:cs="Open Sans"/>
        </w:rPr>
        <w:t>i.e.</w:t>
      </w:r>
      <w:proofErr w:type="gramEnd"/>
      <w:r w:rsidRPr="00DB7889">
        <w:rPr>
          <w:rFonts w:ascii="Open Sans" w:eastAsia="Open Sans" w:hAnsi="Open Sans" w:cs="Open Sans"/>
        </w:rPr>
        <w:t xml:space="preserve"> on a net usage basis (exemption from final consumption levy double charging like storage devices</w:t>
      </w:r>
      <w:r w:rsidR="00936D2A">
        <w:rPr>
          <w:rStyle w:val="FootnoteReference"/>
          <w:rFonts w:ascii="Open Sans" w:eastAsia="Open Sans" w:hAnsi="Open Sans" w:cs="Open Sans"/>
        </w:rPr>
        <w:footnoteReference w:id="1"/>
      </w:r>
      <w:r w:rsidRPr="00DB7889">
        <w:rPr>
          <w:rFonts w:ascii="Open Sans" w:eastAsia="Open Sans" w:hAnsi="Open Sans" w:cs="Open Sans"/>
        </w:rPr>
        <w:t xml:space="preserve">). </w:t>
      </w:r>
    </w:p>
    <w:p w14:paraId="32B931BB" w14:textId="60A54174" w:rsidR="00936D2A" w:rsidRPr="00DB7889" w:rsidRDefault="00DB7889" w:rsidP="00936D2A">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Government should also work with industry and energy suppliers to ensure Power Purchase Agreements are </w:t>
      </w:r>
      <w:r w:rsidRPr="00DB7889">
        <w:rPr>
          <w:rFonts w:ascii="Open Sans" w:eastAsia="Open Sans" w:hAnsi="Open Sans" w:cs="Open Sans"/>
        </w:rPr>
        <w:t xml:space="preserve">developed to </w:t>
      </w:r>
      <w:r w:rsidR="00936D2A">
        <w:rPr>
          <w:rFonts w:ascii="Open Sans" w:eastAsia="Open Sans" w:hAnsi="Open Sans" w:cs="Open Sans"/>
        </w:rPr>
        <w:t>help</w:t>
      </w:r>
      <w:r w:rsidRPr="00DB7889">
        <w:rPr>
          <w:rFonts w:ascii="Open Sans" w:eastAsia="Open Sans" w:hAnsi="Open Sans" w:cs="Open Sans"/>
        </w:rPr>
        <w:t xml:space="preserve"> electrolysers take advantage of times when wholesale electricity prices are lo</w:t>
      </w:r>
      <w:r w:rsidR="00936D2A">
        <w:rPr>
          <w:rFonts w:ascii="Open Sans" w:eastAsia="Open Sans" w:hAnsi="Open Sans" w:cs="Open Sans"/>
        </w:rPr>
        <w:t>w,</w:t>
      </w:r>
      <w:r w:rsidRPr="00DB7889">
        <w:rPr>
          <w:rFonts w:ascii="Open Sans" w:eastAsia="Open Sans" w:hAnsi="Open Sans" w:cs="Open Sans"/>
        </w:rPr>
        <w:t xml:space="preserve"> </w:t>
      </w:r>
      <w:proofErr w:type="gramStart"/>
      <w:r w:rsidRPr="00DB7889">
        <w:rPr>
          <w:rFonts w:ascii="Open Sans" w:eastAsia="Open Sans" w:hAnsi="Open Sans" w:cs="Open Sans"/>
        </w:rPr>
        <w:t>in order to</w:t>
      </w:r>
      <w:proofErr w:type="gramEnd"/>
      <w:r w:rsidRPr="00DB7889">
        <w:rPr>
          <w:rFonts w:ascii="Open Sans" w:eastAsia="Open Sans" w:hAnsi="Open Sans" w:cs="Open Sans"/>
        </w:rPr>
        <w:t xml:space="preserve"> help firm up the market for new renewables.</w:t>
      </w:r>
      <w:r w:rsidR="00936D2A" w:rsidRPr="00936D2A">
        <w:rPr>
          <w:rFonts w:ascii="Open Sans" w:eastAsia="Open Sans" w:hAnsi="Open Sans" w:cs="Open Sans"/>
        </w:rPr>
        <w:t xml:space="preserve"> </w:t>
      </w:r>
      <w:r w:rsidR="00936D2A" w:rsidRPr="00DB7889">
        <w:rPr>
          <w:rFonts w:ascii="Open Sans" w:eastAsia="Open Sans" w:hAnsi="Open Sans" w:cs="Open Sans"/>
        </w:rPr>
        <w:t xml:space="preserve">This </w:t>
      </w:r>
      <w:r w:rsidR="00936D2A">
        <w:rPr>
          <w:rFonts w:ascii="Open Sans" w:eastAsia="Open Sans" w:hAnsi="Open Sans" w:cs="Open Sans"/>
        </w:rPr>
        <w:t xml:space="preserve">should </w:t>
      </w:r>
      <w:r w:rsidR="00936D2A" w:rsidRPr="00DB7889">
        <w:rPr>
          <w:rFonts w:ascii="Open Sans" w:eastAsia="Open Sans" w:hAnsi="Open Sans" w:cs="Open Sans"/>
        </w:rPr>
        <w:t xml:space="preserve">enable electrolysers to take advantage of times where wholesale electricity prices are low, for example when demand for electricity is at its lowest and there is surplus renewable power and help the continued integration with renewables. </w:t>
      </w:r>
    </w:p>
    <w:p w14:paraId="691AE2C6" w14:textId="0AC12638" w:rsidR="00DB7889" w:rsidRPr="00DB7889" w:rsidRDefault="00936D2A" w:rsidP="00DB7889">
      <w:pPr>
        <w:tabs>
          <w:tab w:val="left" w:pos="284"/>
        </w:tabs>
        <w:spacing w:before="120" w:after="120" w:line="240" w:lineRule="auto"/>
        <w:rPr>
          <w:rFonts w:ascii="Open Sans" w:eastAsia="Open Sans" w:hAnsi="Open Sans" w:cs="Open Sans"/>
        </w:rPr>
      </w:pPr>
      <w:r>
        <w:rPr>
          <w:rFonts w:ascii="Open Sans" w:eastAsia="Open Sans" w:hAnsi="Open Sans" w:cs="Open Sans"/>
        </w:rPr>
        <w:t>E</w:t>
      </w:r>
      <w:r w:rsidR="00DB7889" w:rsidRPr="00DB7889">
        <w:rPr>
          <w:rFonts w:ascii="Open Sans" w:eastAsia="Open Sans" w:hAnsi="Open Sans" w:cs="Open Sans"/>
        </w:rPr>
        <w:t>conomic incentive</w:t>
      </w:r>
      <w:r>
        <w:rPr>
          <w:rFonts w:ascii="Open Sans" w:eastAsia="Open Sans" w:hAnsi="Open Sans" w:cs="Open Sans"/>
        </w:rPr>
        <w:t xml:space="preserve">s should be in place </w:t>
      </w:r>
      <w:r w:rsidR="00DB7889" w:rsidRPr="00DB7889">
        <w:rPr>
          <w:rFonts w:ascii="Open Sans" w:eastAsia="Open Sans" w:hAnsi="Open Sans" w:cs="Open Sans"/>
        </w:rPr>
        <w:t>to encourage the deployment and use of electrolysers to help reduce curtailment, because this provides an avoided-cost benefit for the system operator rebalancing the high-RES grid and reduces the wastage of renewable energy.</w:t>
      </w:r>
      <w:r>
        <w:rPr>
          <w:rFonts w:ascii="Open Sans" w:eastAsia="Open Sans" w:hAnsi="Open Sans" w:cs="Open Sans"/>
        </w:rPr>
        <w:t xml:space="preserve"> </w:t>
      </w:r>
    </w:p>
    <w:p w14:paraId="56C3E5D6" w14:textId="4C31AD78" w:rsidR="00F850D5" w:rsidRDefault="009D36E9" w:rsidP="00D8496D">
      <w:pPr>
        <w:tabs>
          <w:tab w:val="left" w:pos="284"/>
        </w:tabs>
        <w:spacing w:before="120" w:after="120" w:line="240" w:lineRule="auto"/>
        <w:rPr>
          <w:rFonts w:ascii="Open Sans" w:eastAsia="Open Sans" w:hAnsi="Open Sans" w:cs="Open Sans"/>
        </w:rPr>
      </w:pPr>
      <w:r>
        <w:rPr>
          <w:rFonts w:ascii="Open Sans" w:eastAsia="Open Sans" w:hAnsi="Open Sans" w:cs="Open Sans"/>
        </w:rPr>
        <w:t xml:space="preserve"> </w:t>
      </w:r>
    </w:p>
    <w:p w14:paraId="4B9A2D79" w14:textId="77777777" w:rsidR="00D8496D"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Section 7 </w:t>
      </w:r>
    </w:p>
    <w:p w14:paraId="5020315A" w14:textId="17E1311B" w:rsidR="00D8496D" w:rsidRPr="005C164A" w:rsidRDefault="003845C1" w:rsidP="005C164A">
      <w:pPr>
        <w:pStyle w:val="ListParagraph"/>
        <w:numPr>
          <w:ilvl w:val="0"/>
          <w:numId w:val="12"/>
        </w:numPr>
        <w:spacing w:before="120" w:after="120" w:line="240" w:lineRule="auto"/>
        <w:rPr>
          <w:rFonts w:ascii="Open Sans" w:eastAsiaTheme="minorHAnsi" w:hAnsi="Open Sans" w:cs="Open Sans"/>
          <w:b/>
          <w:bCs/>
          <w:color w:val="2F5496"/>
          <w:lang w:eastAsia="en-US"/>
        </w:rPr>
      </w:pPr>
      <w:r w:rsidRPr="005C164A">
        <w:rPr>
          <w:rFonts w:ascii="Open Sans" w:eastAsiaTheme="minorHAnsi" w:hAnsi="Open Sans" w:cs="Open Sans"/>
          <w:b/>
          <w:bCs/>
          <w:color w:val="2F5496"/>
          <w:lang w:eastAsia="en-US"/>
        </w:rPr>
        <w:t xml:space="preserve">What do you think is an appropriate length of contract? Please explain your rationale. </w:t>
      </w:r>
    </w:p>
    <w:p w14:paraId="188E1495" w14:textId="2EE3EE96" w:rsidR="00D8496D" w:rsidRDefault="00AE07F9" w:rsidP="00D8496D">
      <w:pPr>
        <w:spacing w:before="120" w:after="120" w:line="240" w:lineRule="auto"/>
        <w:rPr>
          <w:rFonts w:ascii="Open Sans" w:eastAsiaTheme="minorHAnsi" w:hAnsi="Open Sans" w:cs="Open Sans"/>
          <w:b/>
          <w:bCs/>
          <w:color w:val="2F5496"/>
          <w:lang w:eastAsia="en-US"/>
        </w:rPr>
      </w:pPr>
      <w:r>
        <w:rPr>
          <w:rFonts w:ascii="Open Sans" w:eastAsia="Open Sans" w:hAnsi="Open Sans" w:cs="Open Sans"/>
        </w:rPr>
        <w:t xml:space="preserve">For our members, </w:t>
      </w:r>
      <w:r w:rsidR="005C164A" w:rsidRPr="005C164A">
        <w:rPr>
          <w:rFonts w:ascii="Open Sans" w:eastAsia="Open Sans" w:hAnsi="Open Sans" w:cs="Open Sans"/>
        </w:rPr>
        <w:t xml:space="preserve">15 years is a good window </w:t>
      </w:r>
      <w:r w:rsidR="005C164A">
        <w:rPr>
          <w:rFonts w:ascii="Open Sans" w:eastAsia="Open Sans" w:hAnsi="Open Sans" w:cs="Open Sans"/>
        </w:rPr>
        <w:t xml:space="preserve">– it is the relevant window for financing and for equity return calculations. </w:t>
      </w:r>
    </w:p>
    <w:p w14:paraId="44B1AE87" w14:textId="77777777" w:rsidR="00D8496D"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14. Should the length of contract vary for different technologies? Please explain your rationale. </w:t>
      </w:r>
    </w:p>
    <w:p w14:paraId="502DBA3C" w14:textId="7944CBD4" w:rsidR="00D8496D" w:rsidRPr="005C164A" w:rsidRDefault="005C164A" w:rsidP="00D8496D">
      <w:pPr>
        <w:spacing w:before="120" w:after="120" w:line="240" w:lineRule="auto"/>
        <w:rPr>
          <w:rFonts w:ascii="Open Sans" w:eastAsia="Open Sans" w:hAnsi="Open Sans" w:cs="Open Sans"/>
        </w:rPr>
      </w:pPr>
      <w:r w:rsidRPr="005C164A">
        <w:rPr>
          <w:rFonts w:ascii="Open Sans" w:eastAsia="Open Sans" w:hAnsi="Open Sans" w:cs="Open Sans"/>
        </w:rPr>
        <w:t>No</w:t>
      </w:r>
      <w:r w:rsidR="009D36E9">
        <w:rPr>
          <w:rFonts w:ascii="Open Sans" w:eastAsia="Open Sans" w:hAnsi="Open Sans" w:cs="Open Sans"/>
        </w:rPr>
        <w:t xml:space="preserve">, a </w:t>
      </w:r>
      <w:proofErr w:type="gramStart"/>
      <w:r w:rsidR="009D36E9">
        <w:rPr>
          <w:rFonts w:ascii="Open Sans" w:eastAsia="Open Sans" w:hAnsi="Open Sans" w:cs="Open Sans"/>
        </w:rPr>
        <w:t xml:space="preserve">15 </w:t>
      </w:r>
      <w:r w:rsidR="00AE07F9">
        <w:rPr>
          <w:rFonts w:ascii="Open Sans" w:eastAsia="Open Sans" w:hAnsi="Open Sans" w:cs="Open Sans"/>
        </w:rPr>
        <w:t>year</w:t>
      </w:r>
      <w:proofErr w:type="gramEnd"/>
      <w:r w:rsidR="00AE07F9">
        <w:rPr>
          <w:rFonts w:ascii="Open Sans" w:eastAsia="Open Sans" w:hAnsi="Open Sans" w:cs="Open Sans"/>
        </w:rPr>
        <w:t xml:space="preserve"> </w:t>
      </w:r>
      <w:r w:rsidR="009D36E9">
        <w:rPr>
          <w:rFonts w:ascii="Open Sans" w:eastAsia="Open Sans" w:hAnsi="Open Sans" w:cs="Open Sans"/>
        </w:rPr>
        <w:t xml:space="preserve">contract length should be appropriate for most technologies. </w:t>
      </w:r>
    </w:p>
    <w:p w14:paraId="2EBB46EB" w14:textId="50980221" w:rsidR="00D8496D"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15. What are your views on the most appropriate option for scaling up volumes? </w:t>
      </w:r>
    </w:p>
    <w:p w14:paraId="68FB8DA4" w14:textId="04C6F1F7" w:rsidR="00E072F6" w:rsidRDefault="00E072F6" w:rsidP="00D8496D">
      <w:pPr>
        <w:spacing w:before="120" w:after="120" w:line="240" w:lineRule="auto"/>
        <w:rPr>
          <w:rFonts w:ascii="Open Sans" w:eastAsia="Open Sans" w:hAnsi="Open Sans" w:cs="Open Sans"/>
        </w:rPr>
      </w:pPr>
      <w:r>
        <w:rPr>
          <w:rFonts w:ascii="Open Sans" w:eastAsia="Open Sans" w:hAnsi="Open Sans" w:cs="Open Sans"/>
        </w:rPr>
        <w:lastRenderedPageBreak/>
        <w:t xml:space="preserve">We would support the ‘Accordion’ option as it </w:t>
      </w:r>
      <w:r w:rsidR="004B4B0F">
        <w:rPr>
          <w:rFonts w:ascii="Open Sans" w:eastAsia="Open Sans" w:hAnsi="Open Sans" w:cs="Open Sans"/>
        </w:rPr>
        <w:t xml:space="preserve">provides a </w:t>
      </w:r>
      <w:r>
        <w:rPr>
          <w:rFonts w:ascii="Open Sans" w:eastAsia="Open Sans" w:hAnsi="Open Sans" w:cs="Open Sans"/>
        </w:rPr>
        <w:t>better balance</w:t>
      </w:r>
      <w:r w:rsidR="004B4B0F">
        <w:rPr>
          <w:rFonts w:ascii="Open Sans" w:eastAsia="Open Sans" w:hAnsi="Open Sans" w:cs="Open Sans"/>
        </w:rPr>
        <w:t xml:space="preserve"> between</w:t>
      </w:r>
      <w:r>
        <w:rPr>
          <w:rFonts w:ascii="Open Sans" w:eastAsia="Open Sans" w:hAnsi="Open Sans" w:cs="Open Sans"/>
        </w:rPr>
        <w:t xml:space="preserve"> the need </w:t>
      </w:r>
      <w:r w:rsidR="004B4B0F">
        <w:rPr>
          <w:rFonts w:ascii="Open Sans" w:eastAsia="Open Sans" w:hAnsi="Open Sans" w:cs="Open Sans"/>
        </w:rPr>
        <w:t>for</w:t>
      </w:r>
      <w:r>
        <w:rPr>
          <w:rFonts w:ascii="Open Sans" w:eastAsia="Open Sans" w:hAnsi="Open Sans" w:cs="Open Sans"/>
        </w:rPr>
        <w:t xml:space="preserve"> </w:t>
      </w:r>
      <w:r w:rsidR="004B4B0F">
        <w:rPr>
          <w:rFonts w:ascii="Open Sans" w:eastAsia="Open Sans" w:hAnsi="Open Sans" w:cs="Open Sans"/>
        </w:rPr>
        <w:t xml:space="preserve">projects to have the </w:t>
      </w:r>
      <w:r>
        <w:rPr>
          <w:rFonts w:ascii="Open Sans" w:eastAsia="Open Sans" w:hAnsi="Open Sans" w:cs="Open Sans"/>
        </w:rPr>
        <w:t>flexibility to be able to expand if this deliver</w:t>
      </w:r>
      <w:r w:rsidR="004B4B0F">
        <w:rPr>
          <w:rFonts w:ascii="Open Sans" w:eastAsia="Open Sans" w:hAnsi="Open Sans" w:cs="Open Sans"/>
        </w:rPr>
        <w:t>s</w:t>
      </w:r>
      <w:r>
        <w:rPr>
          <w:rFonts w:ascii="Open Sans" w:eastAsia="Open Sans" w:hAnsi="Open Sans" w:cs="Open Sans"/>
        </w:rPr>
        <w:t xml:space="preserve"> value for money, </w:t>
      </w:r>
      <w:r w:rsidR="004B4B0F">
        <w:rPr>
          <w:rFonts w:ascii="Open Sans" w:eastAsia="Open Sans" w:hAnsi="Open Sans" w:cs="Open Sans"/>
        </w:rPr>
        <w:t xml:space="preserve">and the need for Government to </w:t>
      </w:r>
      <w:r>
        <w:rPr>
          <w:rFonts w:ascii="Open Sans" w:eastAsia="Open Sans" w:hAnsi="Open Sans" w:cs="Open Sans"/>
        </w:rPr>
        <w:t>minimis</w:t>
      </w:r>
      <w:r w:rsidR="004B4B0F">
        <w:rPr>
          <w:rFonts w:ascii="Open Sans" w:eastAsia="Open Sans" w:hAnsi="Open Sans" w:cs="Open Sans"/>
        </w:rPr>
        <w:t xml:space="preserve">e </w:t>
      </w:r>
      <w:r>
        <w:rPr>
          <w:rFonts w:ascii="Open Sans" w:eastAsia="Open Sans" w:hAnsi="Open Sans" w:cs="Open Sans"/>
        </w:rPr>
        <w:t xml:space="preserve">the risk of over subsidising plants.  </w:t>
      </w:r>
    </w:p>
    <w:p w14:paraId="6D191C60" w14:textId="05C8EF5E" w:rsidR="001121FF" w:rsidRDefault="001121FF" w:rsidP="00D8496D">
      <w:pPr>
        <w:spacing w:before="120" w:after="120" w:line="240" w:lineRule="auto"/>
        <w:rPr>
          <w:rFonts w:ascii="Open Sans" w:eastAsia="Open Sans" w:hAnsi="Open Sans" w:cs="Open Sans"/>
        </w:rPr>
      </w:pPr>
      <w:r>
        <w:rPr>
          <w:rFonts w:ascii="Open Sans" w:eastAsia="Open Sans" w:hAnsi="Open Sans" w:cs="Open Sans"/>
        </w:rPr>
        <w:t>Although not necessarily</w:t>
      </w:r>
      <w:r w:rsidR="005B1CEE">
        <w:rPr>
          <w:rFonts w:ascii="Open Sans" w:eastAsia="Open Sans" w:hAnsi="Open Sans" w:cs="Open Sans"/>
        </w:rPr>
        <w:t xml:space="preserve"> related to the question, it should be highlighted that </w:t>
      </w:r>
      <w:r>
        <w:rPr>
          <w:rFonts w:ascii="Open Sans" w:eastAsia="Open Sans" w:hAnsi="Open Sans" w:cs="Open Sans"/>
        </w:rPr>
        <w:t xml:space="preserve">as much flexibility as possible should be given to projects for commissioning. Especially for FOAK projects there is an element of uncertainty around the commissioning timescale and </w:t>
      </w:r>
      <w:r w:rsidR="00AE07F9">
        <w:rPr>
          <w:rFonts w:ascii="Open Sans" w:eastAsia="Open Sans" w:hAnsi="Open Sans" w:cs="Open Sans"/>
        </w:rPr>
        <w:t xml:space="preserve">the mechanism </w:t>
      </w:r>
      <w:r>
        <w:rPr>
          <w:rFonts w:ascii="Open Sans" w:eastAsia="Open Sans" w:hAnsi="Open Sans" w:cs="Open Sans"/>
        </w:rPr>
        <w:t xml:space="preserve">would become unfinanceable if </w:t>
      </w:r>
      <w:r w:rsidR="00AE07F9">
        <w:rPr>
          <w:rFonts w:ascii="Open Sans" w:eastAsia="Open Sans" w:hAnsi="Open Sans" w:cs="Open Sans"/>
        </w:rPr>
        <w:t xml:space="preserve">hard </w:t>
      </w:r>
      <w:r>
        <w:rPr>
          <w:rFonts w:ascii="Open Sans" w:eastAsia="Open Sans" w:hAnsi="Open Sans" w:cs="Open Sans"/>
        </w:rPr>
        <w:t xml:space="preserve">deadlines for commissioning are given, resulting in a penalty or the risk of losing the contract if the deadline is not met. </w:t>
      </w:r>
    </w:p>
    <w:p w14:paraId="5D34B6E6" w14:textId="5193103B" w:rsidR="00E072F6" w:rsidRDefault="005B1CEE" w:rsidP="00D8496D">
      <w:pPr>
        <w:spacing w:before="120" w:after="120" w:line="240" w:lineRule="auto"/>
        <w:rPr>
          <w:rFonts w:ascii="Open Sans" w:eastAsia="Open Sans" w:hAnsi="Open Sans" w:cs="Open Sans"/>
        </w:rPr>
      </w:pPr>
      <w:r>
        <w:rPr>
          <w:rFonts w:ascii="Open Sans" w:eastAsia="Open Sans" w:hAnsi="Open Sans" w:cs="Open Sans"/>
        </w:rPr>
        <w:t xml:space="preserve">under the power CfD some technologies such as ACT had significant issues due to the very strict commissioning deadlines set in the contract </w:t>
      </w:r>
      <w:proofErr w:type="spellStart"/>
      <w:proofErr w:type="gramStart"/>
      <w:r>
        <w:rPr>
          <w:rFonts w:ascii="Open Sans" w:eastAsia="Open Sans" w:hAnsi="Open Sans" w:cs="Open Sans"/>
        </w:rPr>
        <w:t>ie</w:t>
      </w:r>
      <w:proofErr w:type="spellEnd"/>
      <w:proofErr w:type="gramEnd"/>
      <w:r>
        <w:rPr>
          <w:rFonts w:ascii="Open Sans" w:eastAsia="Open Sans" w:hAnsi="Open Sans" w:cs="Open Sans"/>
        </w:rPr>
        <w:t xml:space="preserve"> they need to commission a certain percentage of commissioning by certain dates and they may lose the contract if they can’t. This has been </w:t>
      </w:r>
      <w:r w:rsidR="004B4B0F">
        <w:rPr>
          <w:rFonts w:ascii="Open Sans" w:eastAsia="Open Sans" w:hAnsi="Open Sans" w:cs="Open Sans"/>
        </w:rPr>
        <w:t xml:space="preserve">a significant </w:t>
      </w:r>
      <w:r>
        <w:rPr>
          <w:rFonts w:ascii="Open Sans" w:eastAsia="Open Sans" w:hAnsi="Open Sans" w:cs="Open Sans"/>
        </w:rPr>
        <w:t xml:space="preserve">issue during ramp up when the output </w:t>
      </w:r>
      <w:r w:rsidR="004B4B0F">
        <w:rPr>
          <w:rFonts w:ascii="Open Sans" w:eastAsia="Open Sans" w:hAnsi="Open Sans" w:cs="Open Sans"/>
        </w:rPr>
        <w:t xml:space="preserve">of ACT plants </w:t>
      </w:r>
      <w:r w:rsidR="001121FF">
        <w:rPr>
          <w:rFonts w:ascii="Open Sans" w:eastAsia="Open Sans" w:hAnsi="Open Sans" w:cs="Open Sans"/>
        </w:rPr>
        <w:t>fluctuat</w:t>
      </w:r>
      <w:r w:rsidR="004B4B0F">
        <w:rPr>
          <w:rFonts w:ascii="Open Sans" w:eastAsia="Open Sans" w:hAnsi="Open Sans" w:cs="Open Sans"/>
        </w:rPr>
        <w:t>es</w:t>
      </w:r>
      <w:r w:rsidR="001121FF">
        <w:rPr>
          <w:rFonts w:ascii="Open Sans" w:eastAsia="Open Sans" w:hAnsi="Open Sans" w:cs="Open Sans"/>
        </w:rPr>
        <w:t>,</w:t>
      </w:r>
      <w:r>
        <w:rPr>
          <w:rFonts w:ascii="Open Sans" w:eastAsia="Open Sans" w:hAnsi="Open Sans" w:cs="Open Sans"/>
        </w:rPr>
        <w:t xml:space="preserve"> so it is paramount that flexibility is provided on commissioning window</w:t>
      </w:r>
      <w:r w:rsidR="00AE07F9">
        <w:rPr>
          <w:rFonts w:ascii="Open Sans" w:eastAsia="Open Sans" w:hAnsi="Open Sans" w:cs="Open Sans"/>
        </w:rPr>
        <w:t>s</w:t>
      </w:r>
      <w:r>
        <w:rPr>
          <w:rFonts w:ascii="Open Sans" w:eastAsia="Open Sans" w:hAnsi="Open Sans" w:cs="Open Sans"/>
        </w:rPr>
        <w:t xml:space="preserve">.  </w:t>
      </w:r>
    </w:p>
    <w:p w14:paraId="4B5BD134" w14:textId="4394ECE7" w:rsidR="00D8496D"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16. Do you agree with our minded to allocation of the risks presented? Please explain your arguments, including if any other key risks have not been identified and how they should be allocated. </w:t>
      </w:r>
    </w:p>
    <w:p w14:paraId="1D235842" w14:textId="77777777" w:rsidR="00936D2A" w:rsidRDefault="006A1894" w:rsidP="00D8496D">
      <w:pPr>
        <w:spacing w:before="120" w:after="120" w:line="240" w:lineRule="auto"/>
        <w:rPr>
          <w:rFonts w:ascii="Open Sans" w:eastAsia="Open Sans" w:hAnsi="Open Sans" w:cs="Open Sans"/>
        </w:rPr>
      </w:pPr>
      <w:r w:rsidRPr="006A1894">
        <w:rPr>
          <w:rFonts w:ascii="Open Sans" w:eastAsia="Open Sans" w:hAnsi="Open Sans" w:cs="Open Sans"/>
        </w:rPr>
        <w:t>We broadly agree with the risks highlighted in this section</w:t>
      </w:r>
      <w:r w:rsidR="004B4B0F">
        <w:rPr>
          <w:rFonts w:ascii="Open Sans" w:eastAsia="Open Sans" w:hAnsi="Open Sans" w:cs="Open Sans"/>
        </w:rPr>
        <w:t xml:space="preserve">. </w:t>
      </w:r>
    </w:p>
    <w:p w14:paraId="742163B3" w14:textId="75C43E44" w:rsidR="00F83EFF" w:rsidRDefault="00936D2A" w:rsidP="00D8496D">
      <w:pPr>
        <w:spacing w:before="120" w:after="120" w:line="240" w:lineRule="auto"/>
        <w:rPr>
          <w:rFonts w:ascii="Open Sans" w:eastAsia="Open Sans" w:hAnsi="Open Sans" w:cs="Open Sans"/>
        </w:rPr>
      </w:pPr>
      <w:r>
        <w:rPr>
          <w:rFonts w:ascii="Open Sans" w:eastAsia="Open Sans" w:hAnsi="Open Sans" w:cs="Open Sans"/>
        </w:rPr>
        <w:t>However, t</w:t>
      </w:r>
      <w:r w:rsidR="004B4B0F">
        <w:rPr>
          <w:rFonts w:ascii="Open Sans" w:eastAsia="Open Sans" w:hAnsi="Open Sans" w:cs="Open Sans"/>
        </w:rPr>
        <w:t xml:space="preserve">he </w:t>
      </w:r>
      <w:r w:rsidR="006A1894">
        <w:rPr>
          <w:rFonts w:ascii="Open Sans" w:eastAsia="Open Sans" w:hAnsi="Open Sans" w:cs="Open Sans"/>
        </w:rPr>
        <w:t xml:space="preserve">risk of an offtake falling through or </w:t>
      </w:r>
      <w:r w:rsidR="004B4B0F">
        <w:rPr>
          <w:rFonts w:ascii="Open Sans" w:eastAsia="Open Sans" w:hAnsi="Open Sans" w:cs="Open Sans"/>
        </w:rPr>
        <w:t xml:space="preserve">of </w:t>
      </w:r>
      <w:r w:rsidR="006A1894">
        <w:rPr>
          <w:rFonts w:ascii="Open Sans" w:eastAsia="Open Sans" w:hAnsi="Open Sans" w:cs="Open Sans"/>
        </w:rPr>
        <w:t xml:space="preserve">not finding any offtakers should also be included. </w:t>
      </w:r>
    </w:p>
    <w:p w14:paraId="4E57B9D7" w14:textId="19C2F989" w:rsidR="00F83EFF" w:rsidRDefault="00200282" w:rsidP="00D8496D">
      <w:pPr>
        <w:spacing w:before="120" w:after="120" w:line="240" w:lineRule="auto"/>
        <w:rPr>
          <w:rFonts w:ascii="Open Sans" w:eastAsiaTheme="minorHAnsi" w:hAnsi="Open Sans" w:cs="Open Sans"/>
          <w:b/>
          <w:bCs/>
          <w:color w:val="2F5496"/>
          <w:lang w:eastAsia="en-US"/>
        </w:rPr>
      </w:pPr>
      <w:r>
        <w:rPr>
          <w:rFonts w:ascii="Open Sans" w:eastAsia="Open Sans" w:hAnsi="Open Sans" w:cs="Open Sans"/>
        </w:rPr>
        <w:t xml:space="preserve">With regard to the risk </w:t>
      </w:r>
      <w:r w:rsidR="004B4B0F">
        <w:rPr>
          <w:rFonts w:ascii="Open Sans" w:eastAsia="Open Sans" w:hAnsi="Open Sans" w:cs="Open Sans"/>
        </w:rPr>
        <w:t xml:space="preserve">related to a </w:t>
      </w:r>
      <w:r>
        <w:rPr>
          <w:rFonts w:ascii="Open Sans" w:eastAsia="Open Sans" w:hAnsi="Open Sans" w:cs="Open Sans"/>
        </w:rPr>
        <w:t xml:space="preserve">change in law, we are concerned about the wording used around ‘unforeseeable </w:t>
      </w:r>
      <w:proofErr w:type="gramStart"/>
      <w:r>
        <w:rPr>
          <w:rFonts w:ascii="Open Sans" w:eastAsia="Open Sans" w:hAnsi="Open Sans" w:cs="Open Sans"/>
        </w:rPr>
        <w:t>changes’</w:t>
      </w:r>
      <w:proofErr w:type="gramEnd"/>
      <w:r>
        <w:rPr>
          <w:rFonts w:ascii="Open Sans" w:eastAsia="Open Sans" w:hAnsi="Open Sans" w:cs="Open Sans"/>
        </w:rPr>
        <w:t>. Clarity on how unforeseeable and foreseeable are defined need</w:t>
      </w:r>
      <w:r w:rsidR="004B4B0F">
        <w:rPr>
          <w:rFonts w:ascii="Open Sans" w:eastAsia="Open Sans" w:hAnsi="Open Sans" w:cs="Open Sans"/>
        </w:rPr>
        <w:t>s</w:t>
      </w:r>
      <w:r>
        <w:rPr>
          <w:rFonts w:ascii="Open Sans" w:eastAsia="Open Sans" w:hAnsi="Open Sans" w:cs="Open Sans"/>
        </w:rPr>
        <w:t xml:space="preserve"> to be provided</w:t>
      </w:r>
      <w:r w:rsidR="0059644B">
        <w:rPr>
          <w:rFonts w:ascii="Open Sans" w:eastAsia="Open Sans" w:hAnsi="Open Sans" w:cs="Open Sans"/>
        </w:rPr>
        <w:t xml:space="preserve">, this is set out for the power CfD </w:t>
      </w:r>
      <w:proofErr w:type="gramStart"/>
      <w:r w:rsidR="0059644B">
        <w:rPr>
          <w:rFonts w:ascii="Open Sans" w:eastAsia="Open Sans" w:hAnsi="Open Sans" w:cs="Open Sans"/>
        </w:rPr>
        <w:t>policy</w:t>
      </w:r>
      <w:proofErr w:type="gramEnd"/>
      <w:r w:rsidR="0059644B">
        <w:rPr>
          <w:rFonts w:ascii="Open Sans" w:eastAsia="Open Sans" w:hAnsi="Open Sans" w:cs="Open Sans"/>
        </w:rPr>
        <w:t xml:space="preserve"> and it would be useful to understand if the hydrogen mechanism would follow the same system</w:t>
      </w:r>
      <w:r>
        <w:rPr>
          <w:rFonts w:ascii="Open Sans" w:eastAsia="Open Sans" w:hAnsi="Open Sans" w:cs="Open Sans"/>
        </w:rPr>
        <w:t xml:space="preserve">. </w:t>
      </w:r>
    </w:p>
    <w:p w14:paraId="65CBFFF3" w14:textId="438A8FA3" w:rsidR="00D8496D"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17. Do you agree with our approach to seek to accommodate different sources of support? Please explain your arguments, including any considerations of unintended consequences linked to revenue stacking, and how might they be mitigated. </w:t>
      </w:r>
    </w:p>
    <w:p w14:paraId="00479436" w14:textId="5AE30F61" w:rsidR="000D0BEB" w:rsidRDefault="004B4B0F" w:rsidP="000D0BEB">
      <w:pPr>
        <w:spacing w:before="120" w:after="120" w:line="240" w:lineRule="auto"/>
        <w:rPr>
          <w:rFonts w:ascii="Open Sans" w:eastAsia="Open Sans" w:hAnsi="Open Sans" w:cs="Open Sans"/>
        </w:rPr>
      </w:pPr>
      <w:r>
        <w:rPr>
          <w:rFonts w:ascii="Open Sans" w:eastAsia="Open Sans" w:hAnsi="Open Sans" w:cs="Open Sans"/>
        </w:rPr>
        <w:t>W</w:t>
      </w:r>
      <w:r w:rsidR="000D0BEB" w:rsidRPr="000D0BEB">
        <w:rPr>
          <w:rFonts w:ascii="Open Sans" w:eastAsia="Open Sans" w:hAnsi="Open Sans" w:cs="Open Sans"/>
        </w:rPr>
        <w:t xml:space="preserve">e support the principle of </w:t>
      </w:r>
      <w:r w:rsidR="0059644B">
        <w:rPr>
          <w:rFonts w:ascii="Open Sans" w:eastAsia="Open Sans" w:hAnsi="Open Sans" w:cs="Open Sans"/>
        </w:rPr>
        <w:t xml:space="preserve">allowing </w:t>
      </w:r>
      <w:r w:rsidR="000D0BEB">
        <w:rPr>
          <w:rFonts w:ascii="Open Sans" w:eastAsia="Open Sans" w:hAnsi="Open Sans" w:cs="Open Sans"/>
        </w:rPr>
        <w:t>stacking</w:t>
      </w:r>
      <w:r w:rsidR="0059644B">
        <w:rPr>
          <w:rFonts w:ascii="Open Sans" w:eastAsia="Open Sans" w:hAnsi="Open Sans" w:cs="Open Sans"/>
        </w:rPr>
        <w:t xml:space="preserve"> of support</w:t>
      </w:r>
      <w:r w:rsidR="00A13606">
        <w:rPr>
          <w:rFonts w:ascii="Open Sans" w:eastAsia="Open Sans" w:hAnsi="Open Sans" w:cs="Open Sans"/>
        </w:rPr>
        <w:t>, given th</w:t>
      </w:r>
      <w:r>
        <w:rPr>
          <w:rFonts w:ascii="Open Sans" w:eastAsia="Open Sans" w:hAnsi="Open Sans" w:cs="Open Sans"/>
        </w:rPr>
        <w:t>e</w:t>
      </w:r>
      <w:r w:rsidR="00A13606">
        <w:rPr>
          <w:rFonts w:ascii="Open Sans" w:eastAsia="Open Sans" w:hAnsi="Open Sans" w:cs="Open Sans"/>
        </w:rPr>
        <w:t xml:space="preserve"> </w:t>
      </w:r>
      <w:r w:rsidR="0059644B">
        <w:rPr>
          <w:rFonts w:ascii="Open Sans" w:eastAsia="Open Sans" w:hAnsi="Open Sans" w:cs="Open Sans"/>
        </w:rPr>
        <w:t>cross-cutting</w:t>
      </w:r>
      <w:r w:rsidR="00A13606">
        <w:rPr>
          <w:rFonts w:ascii="Open Sans" w:eastAsia="Open Sans" w:hAnsi="Open Sans" w:cs="Open Sans"/>
        </w:rPr>
        <w:t xml:space="preserve"> nature of hydrogen. </w:t>
      </w:r>
    </w:p>
    <w:p w14:paraId="5946ED51" w14:textId="5E7579E1" w:rsidR="00E70478" w:rsidRDefault="00E70478" w:rsidP="000D0BEB">
      <w:pPr>
        <w:spacing w:before="120" w:after="120" w:line="240" w:lineRule="auto"/>
        <w:rPr>
          <w:rFonts w:ascii="Open Sans" w:eastAsia="Open Sans" w:hAnsi="Open Sans" w:cs="Open Sans"/>
        </w:rPr>
      </w:pPr>
      <w:r>
        <w:rPr>
          <w:rFonts w:ascii="Open Sans" w:eastAsia="Open Sans" w:hAnsi="Open Sans" w:cs="Open Sans"/>
        </w:rPr>
        <w:t>The interaction</w:t>
      </w:r>
      <w:r w:rsidR="00A13606">
        <w:rPr>
          <w:rFonts w:ascii="Open Sans" w:eastAsia="Open Sans" w:hAnsi="Open Sans" w:cs="Open Sans"/>
        </w:rPr>
        <w:t xml:space="preserve"> between the business model </w:t>
      </w:r>
      <w:r w:rsidR="0059644B">
        <w:rPr>
          <w:rFonts w:ascii="Open Sans" w:eastAsia="Open Sans" w:hAnsi="Open Sans" w:cs="Open Sans"/>
        </w:rPr>
        <w:t xml:space="preserve">support </w:t>
      </w:r>
      <w:r w:rsidR="00A13606">
        <w:rPr>
          <w:rFonts w:ascii="Open Sans" w:eastAsia="Open Sans" w:hAnsi="Open Sans" w:cs="Open Sans"/>
        </w:rPr>
        <w:t xml:space="preserve">and </w:t>
      </w:r>
      <w:r>
        <w:rPr>
          <w:rFonts w:ascii="Open Sans" w:eastAsia="Open Sans" w:hAnsi="Open Sans" w:cs="Open Sans"/>
        </w:rPr>
        <w:t xml:space="preserve">the RTFO </w:t>
      </w:r>
      <w:r w:rsidR="00A13606">
        <w:rPr>
          <w:rFonts w:ascii="Open Sans" w:eastAsia="Open Sans" w:hAnsi="Open Sans" w:cs="Open Sans"/>
        </w:rPr>
        <w:t>should be</w:t>
      </w:r>
      <w:r>
        <w:rPr>
          <w:rFonts w:ascii="Open Sans" w:eastAsia="Open Sans" w:hAnsi="Open Sans" w:cs="Open Sans"/>
        </w:rPr>
        <w:t xml:space="preserve"> fine in principle, especially </w:t>
      </w:r>
      <w:r w:rsidR="00A13606">
        <w:rPr>
          <w:rFonts w:ascii="Open Sans" w:eastAsia="Open Sans" w:hAnsi="Open Sans" w:cs="Open Sans"/>
        </w:rPr>
        <w:t xml:space="preserve">given that </w:t>
      </w:r>
      <w:r>
        <w:rPr>
          <w:rFonts w:ascii="Open Sans" w:eastAsia="Open Sans" w:hAnsi="Open Sans" w:cs="Open Sans"/>
        </w:rPr>
        <w:t xml:space="preserve">the RTFO is not a subsidy for producing </w:t>
      </w:r>
      <w:r w:rsidR="004B4B0F">
        <w:rPr>
          <w:rFonts w:ascii="Open Sans" w:eastAsia="Open Sans" w:hAnsi="Open Sans" w:cs="Open Sans"/>
        </w:rPr>
        <w:t>hydrogen</w:t>
      </w:r>
      <w:r>
        <w:rPr>
          <w:rFonts w:ascii="Open Sans" w:eastAsia="Open Sans" w:hAnsi="Open Sans" w:cs="Open Sans"/>
        </w:rPr>
        <w:t xml:space="preserve">, but </w:t>
      </w:r>
      <w:r w:rsidR="00A13606">
        <w:rPr>
          <w:rFonts w:ascii="Open Sans" w:eastAsia="Open Sans" w:hAnsi="Open Sans" w:cs="Open Sans"/>
        </w:rPr>
        <w:t>for driving its</w:t>
      </w:r>
      <w:r>
        <w:rPr>
          <w:rFonts w:ascii="Open Sans" w:eastAsia="Open Sans" w:hAnsi="Open Sans" w:cs="Open Sans"/>
        </w:rPr>
        <w:t xml:space="preserve"> use and supply of the fuel </w:t>
      </w:r>
      <w:r w:rsidR="004B4B0F">
        <w:rPr>
          <w:rFonts w:ascii="Open Sans" w:eastAsia="Open Sans" w:hAnsi="Open Sans" w:cs="Open Sans"/>
        </w:rPr>
        <w:t>to</w:t>
      </w:r>
      <w:r>
        <w:rPr>
          <w:rFonts w:ascii="Open Sans" w:eastAsia="Open Sans" w:hAnsi="Open Sans" w:cs="Open Sans"/>
        </w:rPr>
        <w:t xml:space="preserve"> the transport market</w:t>
      </w:r>
      <w:r w:rsidR="00936D2A">
        <w:rPr>
          <w:rFonts w:ascii="Open Sans" w:eastAsia="Open Sans" w:hAnsi="Open Sans" w:cs="Open Sans"/>
        </w:rPr>
        <w:t>. T</w:t>
      </w:r>
      <w:r w:rsidR="0059644B">
        <w:rPr>
          <w:rFonts w:ascii="Open Sans" w:eastAsia="Open Sans" w:hAnsi="Open Sans" w:cs="Open Sans"/>
        </w:rPr>
        <w:t xml:space="preserve">his should ensure it does not </w:t>
      </w:r>
      <w:r w:rsidR="00A13606">
        <w:rPr>
          <w:rFonts w:ascii="Open Sans" w:eastAsia="Open Sans" w:hAnsi="Open Sans" w:cs="Open Sans"/>
        </w:rPr>
        <w:t xml:space="preserve">overlap and </w:t>
      </w:r>
      <w:r>
        <w:rPr>
          <w:rFonts w:ascii="Open Sans" w:eastAsia="Open Sans" w:hAnsi="Open Sans" w:cs="Open Sans"/>
        </w:rPr>
        <w:t>fit</w:t>
      </w:r>
      <w:r w:rsidR="004B4B0F">
        <w:rPr>
          <w:rFonts w:ascii="Open Sans" w:eastAsia="Open Sans" w:hAnsi="Open Sans" w:cs="Open Sans"/>
        </w:rPr>
        <w:t>s</w:t>
      </w:r>
      <w:r>
        <w:rPr>
          <w:rFonts w:ascii="Open Sans" w:eastAsia="Open Sans" w:hAnsi="Open Sans" w:cs="Open Sans"/>
        </w:rPr>
        <w:t xml:space="preserve"> well with a business-led mechanism</w:t>
      </w:r>
      <w:r w:rsidR="00A13606">
        <w:rPr>
          <w:rFonts w:ascii="Open Sans" w:eastAsia="Open Sans" w:hAnsi="Open Sans" w:cs="Open Sans"/>
        </w:rPr>
        <w:t xml:space="preserve">, </w:t>
      </w:r>
      <w:proofErr w:type="gramStart"/>
      <w:r w:rsidR="00A13606">
        <w:rPr>
          <w:rFonts w:ascii="Open Sans" w:eastAsia="Open Sans" w:hAnsi="Open Sans" w:cs="Open Sans"/>
        </w:rPr>
        <w:t>as long as</w:t>
      </w:r>
      <w:proofErr w:type="gramEnd"/>
      <w:r w:rsidR="00A13606">
        <w:rPr>
          <w:rFonts w:ascii="Open Sans" w:eastAsia="Open Sans" w:hAnsi="Open Sans" w:cs="Open Sans"/>
        </w:rPr>
        <w:t xml:space="preserve"> the risk for double counting is minimised. However, the interaction needs to be </w:t>
      </w:r>
      <w:r w:rsidR="004B4B0F">
        <w:rPr>
          <w:rFonts w:ascii="Open Sans" w:eastAsia="Open Sans" w:hAnsi="Open Sans" w:cs="Open Sans"/>
        </w:rPr>
        <w:t xml:space="preserve">tested first to ensure it is workable. </w:t>
      </w:r>
    </w:p>
    <w:p w14:paraId="6F258797" w14:textId="26E3F508" w:rsidR="00A13606" w:rsidRDefault="00A13606" w:rsidP="000D0BEB">
      <w:pPr>
        <w:spacing w:before="120" w:after="120" w:line="240" w:lineRule="auto"/>
        <w:rPr>
          <w:rFonts w:ascii="Open Sans" w:eastAsia="Open Sans" w:hAnsi="Open Sans" w:cs="Open Sans"/>
        </w:rPr>
      </w:pPr>
      <w:r>
        <w:rPr>
          <w:rFonts w:ascii="Open Sans" w:eastAsia="Open Sans" w:hAnsi="Open Sans" w:cs="Open Sans"/>
        </w:rPr>
        <w:t xml:space="preserve">For biomethane, Ofgem and </w:t>
      </w:r>
      <w:proofErr w:type="spellStart"/>
      <w:r>
        <w:rPr>
          <w:rFonts w:ascii="Open Sans" w:eastAsia="Open Sans" w:hAnsi="Open Sans" w:cs="Open Sans"/>
        </w:rPr>
        <w:t>DfT</w:t>
      </w:r>
      <w:proofErr w:type="spellEnd"/>
      <w:r>
        <w:rPr>
          <w:rFonts w:ascii="Open Sans" w:eastAsia="Open Sans" w:hAnsi="Open Sans" w:cs="Open Sans"/>
        </w:rPr>
        <w:t xml:space="preserve"> have put in place some protocols to ensure it can be verified that for the same consignment of biomethane both RHI and RTFCs have not been claimed. These protocols have the potential to </w:t>
      </w:r>
      <w:r w:rsidR="004B4B0F">
        <w:rPr>
          <w:rFonts w:ascii="Open Sans" w:eastAsia="Open Sans" w:hAnsi="Open Sans" w:cs="Open Sans"/>
        </w:rPr>
        <w:t>become quite</w:t>
      </w:r>
      <w:r>
        <w:rPr>
          <w:rFonts w:ascii="Open Sans" w:eastAsia="Open Sans" w:hAnsi="Open Sans" w:cs="Open Sans"/>
        </w:rPr>
        <w:t xml:space="preserve"> complicated, so it is important that if interaction is allowed, a workable verification system is put in place.  </w:t>
      </w:r>
    </w:p>
    <w:p w14:paraId="231ED820" w14:textId="220EF89A" w:rsidR="00E70478" w:rsidRDefault="00A13606" w:rsidP="000D0BEB">
      <w:pPr>
        <w:spacing w:before="120" w:after="120" w:line="240" w:lineRule="auto"/>
        <w:rPr>
          <w:rFonts w:ascii="Open Sans" w:eastAsia="Open Sans" w:hAnsi="Open Sans" w:cs="Open Sans"/>
        </w:rPr>
      </w:pPr>
      <w:r>
        <w:rPr>
          <w:rFonts w:ascii="Open Sans" w:eastAsia="Open Sans" w:hAnsi="Open Sans" w:cs="Open Sans"/>
        </w:rPr>
        <w:t xml:space="preserve">It is also crucial that rules under the producer-led revenue scheme and the RTFO are aligned as much as possible. So, for example, additionality rules and requirements to </w:t>
      </w:r>
      <w:r>
        <w:rPr>
          <w:rFonts w:ascii="Open Sans" w:eastAsia="Open Sans" w:hAnsi="Open Sans" w:cs="Open Sans"/>
        </w:rPr>
        <w:lastRenderedPageBreak/>
        <w:t>account for the electricity used from electrolysers</w:t>
      </w:r>
      <w:r w:rsidR="004B4B0F">
        <w:rPr>
          <w:rFonts w:ascii="Open Sans" w:eastAsia="Open Sans" w:hAnsi="Open Sans" w:cs="Open Sans"/>
        </w:rPr>
        <w:t xml:space="preserve"> set out in </w:t>
      </w:r>
      <w:r w:rsidR="0059644B">
        <w:rPr>
          <w:rFonts w:ascii="Open Sans" w:eastAsia="Open Sans" w:hAnsi="Open Sans" w:cs="Open Sans"/>
        </w:rPr>
        <w:t xml:space="preserve">the </w:t>
      </w:r>
      <w:r w:rsidR="004B4B0F">
        <w:rPr>
          <w:rFonts w:ascii="Open Sans" w:eastAsia="Open Sans" w:hAnsi="Open Sans" w:cs="Open Sans"/>
        </w:rPr>
        <w:t xml:space="preserve">BEIS revenue scheme </w:t>
      </w:r>
      <w:r>
        <w:rPr>
          <w:rFonts w:ascii="Open Sans" w:eastAsia="Open Sans" w:hAnsi="Open Sans" w:cs="Open Sans"/>
        </w:rPr>
        <w:t>will need to be aligned</w:t>
      </w:r>
      <w:r w:rsidR="004B4B0F">
        <w:rPr>
          <w:rFonts w:ascii="Open Sans" w:eastAsia="Open Sans" w:hAnsi="Open Sans" w:cs="Open Sans"/>
        </w:rPr>
        <w:t xml:space="preserve"> with those in the RTFO (which come from </w:t>
      </w:r>
      <w:r w:rsidR="0059644B">
        <w:rPr>
          <w:rFonts w:ascii="Open Sans" w:eastAsia="Open Sans" w:hAnsi="Open Sans" w:cs="Open Sans"/>
        </w:rPr>
        <w:t xml:space="preserve">the EU </w:t>
      </w:r>
      <w:r w:rsidR="004B4B0F">
        <w:rPr>
          <w:rFonts w:ascii="Open Sans" w:eastAsia="Open Sans" w:hAnsi="Open Sans" w:cs="Open Sans"/>
        </w:rPr>
        <w:t>RED</w:t>
      </w:r>
      <w:r w:rsidR="0059644B">
        <w:rPr>
          <w:rFonts w:ascii="Open Sans" w:eastAsia="Open Sans" w:hAnsi="Open Sans" w:cs="Open Sans"/>
        </w:rPr>
        <w:t xml:space="preserve"> I policy</w:t>
      </w:r>
      <w:r w:rsidR="004B4B0F">
        <w:rPr>
          <w:rFonts w:ascii="Open Sans" w:eastAsia="Open Sans" w:hAnsi="Open Sans" w:cs="Open Sans"/>
        </w:rPr>
        <w:t xml:space="preserve">). </w:t>
      </w:r>
    </w:p>
    <w:p w14:paraId="6A078BE0" w14:textId="5BD19869" w:rsidR="006B362F" w:rsidRPr="000D0BEB" w:rsidRDefault="006B362F" w:rsidP="000D0BEB">
      <w:pPr>
        <w:spacing w:before="120" w:after="120" w:line="240" w:lineRule="auto"/>
        <w:rPr>
          <w:rFonts w:ascii="Open Sans" w:eastAsia="Open Sans" w:hAnsi="Open Sans" w:cs="Open Sans"/>
        </w:rPr>
      </w:pPr>
      <w:r>
        <w:rPr>
          <w:rFonts w:ascii="Open Sans" w:eastAsia="Open Sans" w:hAnsi="Open Sans" w:cs="Open Sans"/>
        </w:rPr>
        <w:t xml:space="preserve">It is not clear whether Government has considered interaction with the UK ETS </w:t>
      </w:r>
      <w:proofErr w:type="gramStart"/>
      <w:r>
        <w:rPr>
          <w:rFonts w:ascii="Open Sans" w:eastAsia="Open Sans" w:hAnsi="Open Sans" w:cs="Open Sans"/>
        </w:rPr>
        <w:t>e.g.</w:t>
      </w:r>
      <w:proofErr w:type="gramEnd"/>
      <w:r>
        <w:rPr>
          <w:rFonts w:ascii="Open Sans" w:eastAsia="Open Sans" w:hAnsi="Open Sans" w:cs="Open Sans"/>
        </w:rPr>
        <w:t xml:space="preserve"> how the carbon price</w:t>
      </w:r>
      <w:r w:rsidR="004B4B0F">
        <w:rPr>
          <w:rFonts w:ascii="Open Sans" w:eastAsia="Open Sans" w:hAnsi="Open Sans" w:cs="Open Sans"/>
        </w:rPr>
        <w:t xml:space="preserve"> is factored in</w:t>
      </w:r>
      <w:r>
        <w:rPr>
          <w:rFonts w:ascii="Open Sans" w:eastAsia="Open Sans" w:hAnsi="Open Sans" w:cs="Open Sans"/>
        </w:rPr>
        <w:t xml:space="preserve"> </w:t>
      </w:r>
      <w:r w:rsidR="004B4B0F">
        <w:rPr>
          <w:rFonts w:ascii="Open Sans" w:eastAsia="Open Sans" w:hAnsi="Open Sans" w:cs="Open Sans"/>
        </w:rPr>
        <w:t xml:space="preserve">to </w:t>
      </w:r>
      <w:r>
        <w:rPr>
          <w:rFonts w:ascii="Open Sans" w:eastAsia="Open Sans" w:hAnsi="Open Sans" w:cs="Open Sans"/>
        </w:rPr>
        <w:t xml:space="preserve">ensure the producer is not double rewarded. </w:t>
      </w:r>
      <w:r w:rsidR="00936D2A">
        <w:rPr>
          <w:rFonts w:ascii="Open Sans" w:eastAsia="Open Sans" w:hAnsi="Open Sans" w:cs="Open Sans"/>
        </w:rPr>
        <w:t xml:space="preserve">This should therefore be clarified by BEIS. </w:t>
      </w:r>
    </w:p>
    <w:p w14:paraId="43B49BC2" w14:textId="77777777" w:rsidR="00D8496D" w:rsidRDefault="00D8496D" w:rsidP="00D8496D">
      <w:pPr>
        <w:spacing w:before="120" w:after="120" w:line="240" w:lineRule="auto"/>
        <w:rPr>
          <w:rFonts w:ascii="Open Sans" w:eastAsiaTheme="minorHAnsi" w:hAnsi="Open Sans" w:cs="Open Sans"/>
          <w:b/>
          <w:bCs/>
          <w:color w:val="2F5496"/>
          <w:lang w:eastAsia="en-US"/>
        </w:rPr>
      </w:pPr>
    </w:p>
    <w:p w14:paraId="0633ECDA" w14:textId="77777777" w:rsidR="000D0BEB"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Section 8 </w:t>
      </w:r>
    </w:p>
    <w:p w14:paraId="53E96E43" w14:textId="038E53DD" w:rsidR="00853995"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18. What are your views on the most appropriate allocation mechanism for the hydrogen business model contract, both near term (for projects outside the CCUS cluster sequencing process) and longer term (for all technologies/projects)? </w:t>
      </w:r>
    </w:p>
    <w:p w14:paraId="003750E7" w14:textId="12D0CEA9" w:rsidR="00C72024" w:rsidRDefault="0059644B" w:rsidP="00D8496D">
      <w:pPr>
        <w:spacing w:before="120" w:after="120" w:line="240" w:lineRule="auto"/>
        <w:rPr>
          <w:rFonts w:ascii="Open Sans" w:eastAsia="Open Sans" w:hAnsi="Open Sans" w:cs="Open Sans"/>
        </w:rPr>
      </w:pPr>
      <w:r>
        <w:rPr>
          <w:rFonts w:ascii="Open Sans" w:eastAsia="Open Sans" w:hAnsi="Open Sans" w:cs="Open Sans"/>
        </w:rPr>
        <w:t>Our m</w:t>
      </w:r>
      <w:r w:rsidRPr="004C3730">
        <w:rPr>
          <w:rFonts w:ascii="Open Sans" w:eastAsia="Open Sans" w:hAnsi="Open Sans" w:cs="Open Sans"/>
        </w:rPr>
        <w:t xml:space="preserve">embers </w:t>
      </w:r>
      <w:r w:rsidR="004C3730" w:rsidRPr="004C3730">
        <w:rPr>
          <w:rFonts w:ascii="Open Sans" w:eastAsia="Open Sans" w:hAnsi="Open Sans" w:cs="Open Sans"/>
        </w:rPr>
        <w:t xml:space="preserve">overall </w:t>
      </w:r>
      <w:r w:rsidR="004C3730">
        <w:rPr>
          <w:rFonts w:ascii="Open Sans" w:eastAsia="Open Sans" w:hAnsi="Open Sans" w:cs="Open Sans"/>
        </w:rPr>
        <w:t xml:space="preserve">agree that it would be sensible to start with </w:t>
      </w:r>
      <w:r w:rsidR="004B4B0F">
        <w:rPr>
          <w:rFonts w:ascii="Open Sans" w:eastAsia="Open Sans" w:hAnsi="Open Sans" w:cs="Open Sans"/>
        </w:rPr>
        <w:t xml:space="preserve">a </w:t>
      </w:r>
      <w:r w:rsidR="004C3730">
        <w:rPr>
          <w:rFonts w:ascii="Open Sans" w:eastAsia="Open Sans" w:hAnsi="Open Sans" w:cs="Open Sans"/>
        </w:rPr>
        <w:t xml:space="preserve">bilateral </w:t>
      </w:r>
      <w:r w:rsidR="004B4B0F">
        <w:rPr>
          <w:rFonts w:ascii="Open Sans" w:eastAsia="Open Sans" w:hAnsi="Open Sans" w:cs="Open Sans"/>
        </w:rPr>
        <w:t xml:space="preserve">agreement </w:t>
      </w:r>
      <w:r w:rsidR="004C3730">
        <w:rPr>
          <w:rFonts w:ascii="Open Sans" w:eastAsia="Open Sans" w:hAnsi="Open Sans" w:cs="Open Sans"/>
        </w:rPr>
        <w:t xml:space="preserve">and move to </w:t>
      </w:r>
      <w:r w:rsidR="004B4B0F">
        <w:rPr>
          <w:rFonts w:ascii="Open Sans" w:eastAsia="Open Sans" w:hAnsi="Open Sans" w:cs="Open Sans"/>
        </w:rPr>
        <w:t xml:space="preserve">a </w:t>
      </w:r>
      <w:r w:rsidR="004C3730">
        <w:rPr>
          <w:rFonts w:ascii="Open Sans" w:eastAsia="Open Sans" w:hAnsi="Open Sans" w:cs="Open Sans"/>
        </w:rPr>
        <w:t xml:space="preserve">competitive auction </w:t>
      </w:r>
      <w:proofErr w:type="gramStart"/>
      <w:r w:rsidR="004B4B0F">
        <w:rPr>
          <w:rFonts w:ascii="Open Sans" w:eastAsia="Open Sans" w:hAnsi="Open Sans" w:cs="Open Sans"/>
        </w:rPr>
        <w:t>at a later time</w:t>
      </w:r>
      <w:proofErr w:type="gramEnd"/>
      <w:r w:rsidR="004B4B0F">
        <w:rPr>
          <w:rFonts w:ascii="Open Sans" w:eastAsia="Open Sans" w:hAnsi="Open Sans" w:cs="Open Sans"/>
        </w:rPr>
        <w:t xml:space="preserve">. </w:t>
      </w:r>
      <w:r w:rsidR="004C3730">
        <w:rPr>
          <w:rFonts w:ascii="Open Sans" w:eastAsia="Open Sans" w:hAnsi="Open Sans" w:cs="Open Sans"/>
        </w:rPr>
        <w:t xml:space="preserve"> </w:t>
      </w:r>
    </w:p>
    <w:p w14:paraId="4DEE20C0" w14:textId="25845CF4" w:rsidR="004C3730" w:rsidRDefault="004C3730" w:rsidP="004C3730">
      <w:pPr>
        <w:spacing w:before="120" w:after="120" w:line="240" w:lineRule="auto"/>
        <w:rPr>
          <w:rFonts w:ascii="Open Sans" w:eastAsia="Open Sans" w:hAnsi="Open Sans" w:cs="Open Sans"/>
        </w:rPr>
      </w:pPr>
      <w:r>
        <w:rPr>
          <w:rFonts w:ascii="Open Sans" w:eastAsia="Open Sans" w:hAnsi="Open Sans" w:cs="Open Sans"/>
        </w:rPr>
        <w:t>However, there needs to much more clarity</w:t>
      </w:r>
      <w:r w:rsidR="0057062A">
        <w:rPr>
          <w:rFonts w:ascii="Open Sans" w:eastAsia="Open Sans" w:hAnsi="Open Sans" w:cs="Open Sans"/>
        </w:rPr>
        <w:t xml:space="preserve"> up front</w:t>
      </w:r>
      <w:r>
        <w:rPr>
          <w:rFonts w:ascii="Open Sans" w:eastAsia="Open Sans" w:hAnsi="Open Sans" w:cs="Open Sans"/>
        </w:rPr>
        <w:t xml:space="preserve"> on what that bilateral process is and a set </w:t>
      </w:r>
      <w:r w:rsidR="004B4B0F">
        <w:rPr>
          <w:rFonts w:ascii="Open Sans" w:eastAsia="Open Sans" w:hAnsi="Open Sans" w:cs="Open Sans"/>
        </w:rPr>
        <w:t>of</w:t>
      </w:r>
      <w:r>
        <w:rPr>
          <w:rFonts w:ascii="Open Sans" w:eastAsia="Open Sans" w:hAnsi="Open Sans" w:cs="Open Sans"/>
        </w:rPr>
        <w:t xml:space="preserve"> clear, objective criteria for this process. W</w:t>
      </w:r>
      <w:r w:rsidRPr="004C3730">
        <w:rPr>
          <w:rFonts w:ascii="Open Sans" w:eastAsia="Open Sans" w:hAnsi="Open Sans" w:cs="Open Sans"/>
        </w:rPr>
        <w:t xml:space="preserve">ithout objective criteria, </w:t>
      </w:r>
      <w:r>
        <w:rPr>
          <w:rFonts w:ascii="Open Sans" w:eastAsia="Open Sans" w:hAnsi="Open Sans" w:cs="Open Sans"/>
        </w:rPr>
        <w:t xml:space="preserve">there is a risk that </w:t>
      </w:r>
      <w:r w:rsidRPr="004C3730">
        <w:rPr>
          <w:rFonts w:ascii="Open Sans" w:eastAsia="Open Sans" w:hAnsi="Open Sans" w:cs="Open Sans"/>
        </w:rPr>
        <w:t>bilateral contracts will go to the developers who are most successful in lobbying government</w:t>
      </w:r>
      <w:r>
        <w:rPr>
          <w:rFonts w:ascii="Open Sans" w:eastAsia="Open Sans" w:hAnsi="Open Sans" w:cs="Open Sans"/>
        </w:rPr>
        <w:t xml:space="preserve">. </w:t>
      </w:r>
      <w:r w:rsidR="0057062A">
        <w:rPr>
          <w:rFonts w:ascii="Open Sans" w:eastAsia="Open Sans" w:hAnsi="Open Sans" w:cs="Open Sans"/>
        </w:rPr>
        <w:t>The</w:t>
      </w:r>
      <w:r w:rsidR="0057062A" w:rsidRPr="0057062A">
        <w:rPr>
          <w:rFonts w:ascii="Open Sans" w:eastAsia="Open Sans" w:hAnsi="Open Sans" w:cs="Open Sans"/>
        </w:rPr>
        <w:t xml:space="preserve"> bilateral process might also choose to target a range of technologies - or even other factors such as spread across geographical locations, size of plant etc</w:t>
      </w:r>
      <w:r w:rsidR="0059644B">
        <w:rPr>
          <w:rFonts w:ascii="Open Sans" w:eastAsia="Open Sans" w:hAnsi="Open Sans" w:cs="Open Sans"/>
        </w:rPr>
        <w:t xml:space="preserve">. </w:t>
      </w:r>
    </w:p>
    <w:p w14:paraId="79CF56EE" w14:textId="16537B6B" w:rsidR="0057062A" w:rsidRPr="004C3730" w:rsidRDefault="0057062A" w:rsidP="004C3730">
      <w:pPr>
        <w:spacing w:before="120" w:after="120" w:line="240" w:lineRule="auto"/>
        <w:rPr>
          <w:rFonts w:ascii="Open Sans" w:eastAsia="Open Sans" w:hAnsi="Open Sans" w:cs="Open Sans"/>
        </w:rPr>
      </w:pPr>
      <w:r>
        <w:rPr>
          <w:rFonts w:ascii="Open Sans" w:eastAsia="Open Sans" w:hAnsi="Open Sans" w:cs="Open Sans"/>
        </w:rPr>
        <w:t xml:space="preserve">The detail needs to </w:t>
      </w:r>
      <w:r w:rsidR="004B4B0F">
        <w:rPr>
          <w:rFonts w:ascii="Open Sans" w:eastAsia="Open Sans" w:hAnsi="Open Sans" w:cs="Open Sans"/>
        </w:rPr>
        <w:t xml:space="preserve">be set out and </w:t>
      </w:r>
      <w:r w:rsidR="00EE454B">
        <w:rPr>
          <w:rFonts w:ascii="Open Sans" w:eastAsia="Open Sans" w:hAnsi="Open Sans" w:cs="Open Sans"/>
        </w:rPr>
        <w:t xml:space="preserve">be </w:t>
      </w:r>
      <w:r w:rsidR="004B4B0F">
        <w:rPr>
          <w:rFonts w:ascii="Open Sans" w:eastAsia="Open Sans" w:hAnsi="Open Sans" w:cs="Open Sans"/>
        </w:rPr>
        <w:t>visible to developers</w:t>
      </w:r>
      <w:r>
        <w:rPr>
          <w:rFonts w:ascii="Open Sans" w:eastAsia="Open Sans" w:hAnsi="Open Sans" w:cs="Open Sans"/>
        </w:rPr>
        <w:t xml:space="preserve"> up front</w:t>
      </w:r>
      <w:r w:rsidR="000B6FD2">
        <w:rPr>
          <w:rFonts w:ascii="Open Sans" w:eastAsia="Open Sans" w:hAnsi="Open Sans" w:cs="Open Sans"/>
        </w:rPr>
        <w:t>. Developers shouldn’t be invited to apply for a contract</w:t>
      </w:r>
      <w:r>
        <w:rPr>
          <w:rFonts w:ascii="Open Sans" w:eastAsia="Open Sans" w:hAnsi="Open Sans" w:cs="Open Sans"/>
        </w:rPr>
        <w:t xml:space="preserve"> </w:t>
      </w:r>
      <w:r w:rsidR="000B6FD2">
        <w:rPr>
          <w:rFonts w:ascii="Open Sans" w:eastAsia="Open Sans" w:hAnsi="Open Sans" w:cs="Open Sans"/>
        </w:rPr>
        <w:t xml:space="preserve">and then incur significant legal costs to </w:t>
      </w:r>
      <w:r>
        <w:rPr>
          <w:rFonts w:ascii="Open Sans" w:eastAsia="Open Sans" w:hAnsi="Open Sans" w:cs="Open Sans"/>
        </w:rPr>
        <w:t xml:space="preserve">learn down the line what the </w:t>
      </w:r>
      <w:r w:rsidR="000B6FD2">
        <w:rPr>
          <w:rFonts w:ascii="Open Sans" w:eastAsia="Open Sans" w:hAnsi="Open Sans" w:cs="Open Sans"/>
        </w:rPr>
        <w:t xml:space="preserve">process and eligibility </w:t>
      </w:r>
      <w:r>
        <w:rPr>
          <w:rFonts w:ascii="Open Sans" w:eastAsia="Open Sans" w:hAnsi="Open Sans" w:cs="Open Sans"/>
        </w:rPr>
        <w:t>criteria</w:t>
      </w:r>
      <w:r w:rsidR="00EE454B">
        <w:rPr>
          <w:rFonts w:ascii="Open Sans" w:eastAsia="Open Sans" w:hAnsi="Open Sans" w:cs="Open Sans"/>
        </w:rPr>
        <w:t xml:space="preserve"> are</w:t>
      </w:r>
      <w:r w:rsidR="000B6FD2">
        <w:rPr>
          <w:rFonts w:ascii="Open Sans" w:eastAsia="Open Sans" w:hAnsi="Open Sans" w:cs="Open Sans"/>
        </w:rPr>
        <w:t xml:space="preserve">. </w:t>
      </w:r>
    </w:p>
    <w:p w14:paraId="1C53B861" w14:textId="71C9984D" w:rsidR="00C72024" w:rsidRPr="004C3730" w:rsidRDefault="0057062A" w:rsidP="00D8496D">
      <w:pPr>
        <w:spacing w:before="120" w:after="120" w:line="240" w:lineRule="auto"/>
        <w:rPr>
          <w:rFonts w:ascii="Open Sans" w:eastAsia="Open Sans" w:hAnsi="Open Sans" w:cs="Open Sans"/>
        </w:rPr>
      </w:pPr>
      <w:r>
        <w:rPr>
          <w:rFonts w:ascii="Open Sans" w:eastAsia="Open Sans" w:hAnsi="Open Sans" w:cs="Open Sans"/>
        </w:rPr>
        <w:t xml:space="preserve">As an example, Government should include criteria such as </w:t>
      </w:r>
      <w:r w:rsidR="00C72024" w:rsidRPr="004C3730">
        <w:rPr>
          <w:rFonts w:ascii="Open Sans" w:eastAsia="Open Sans" w:hAnsi="Open Sans" w:cs="Open Sans"/>
        </w:rPr>
        <w:t xml:space="preserve">Supply Chain </w:t>
      </w:r>
      <w:r>
        <w:rPr>
          <w:rFonts w:ascii="Open Sans" w:eastAsia="Open Sans" w:hAnsi="Open Sans" w:cs="Open Sans"/>
        </w:rPr>
        <w:t xml:space="preserve">sustainability and </w:t>
      </w:r>
      <w:r w:rsidR="00C72024" w:rsidRPr="004C3730">
        <w:rPr>
          <w:rFonts w:ascii="Open Sans" w:eastAsia="Open Sans" w:hAnsi="Open Sans" w:cs="Open Sans"/>
        </w:rPr>
        <w:t xml:space="preserve">awarding </w:t>
      </w:r>
      <w:r>
        <w:rPr>
          <w:rFonts w:ascii="Open Sans" w:eastAsia="Open Sans" w:hAnsi="Open Sans" w:cs="Open Sans"/>
        </w:rPr>
        <w:t xml:space="preserve">contracts to </w:t>
      </w:r>
      <w:r w:rsidR="00C72024" w:rsidRPr="004C3730">
        <w:rPr>
          <w:rFonts w:ascii="Open Sans" w:eastAsia="Open Sans" w:hAnsi="Open Sans" w:cs="Open Sans"/>
        </w:rPr>
        <w:t>projects illustrating added value to UK from local manufacturing</w:t>
      </w:r>
      <w:r>
        <w:rPr>
          <w:rFonts w:ascii="Open Sans" w:eastAsia="Open Sans" w:hAnsi="Open Sans" w:cs="Open Sans"/>
        </w:rPr>
        <w:t xml:space="preserve">. </w:t>
      </w:r>
      <w:r w:rsidR="00EE454B">
        <w:rPr>
          <w:rFonts w:ascii="Open Sans" w:eastAsia="Open Sans" w:hAnsi="Open Sans" w:cs="Open Sans"/>
        </w:rPr>
        <w:t xml:space="preserve">  This can be adapted from the relatively successful Supply Chain Action Plans for the power CfD that has driven huge investment in offshore wind supply chains in the Humber and Tees </w:t>
      </w:r>
      <w:proofErr w:type="gramStart"/>
      <w:r w:rsidR="00EE454B">
        <w:rPr>
          <w:rFonts w:ascii="Open Sans" w:eastAsia="Open Sans" w:hAnsi="Open Sans" w:cs="Open Sans"/>
        </w:rPr>
        <w:t>valley in particular</w:t>
      </w:r>
      <w:proofErr w:type="gramEnd"/>
      <w:r w:rsidR="00EE454B">
        <w:rPr>
          <w:rFonts w:ascii="Open Sans" w:eastAsia="Open Sans" w:hAnsi="Open Sans" w:cs="Open Sans"/>
        </w:rPr>
        <w:t xml:space="preserve">.  </w:t>
      </w:r>
    </w:p>
    <w:p w14:paraId="4C98AF3B" w14:textId="77777777" w:rsidR="00F449D8" w:rsidRDefault="00F449D8" w:rsidP="00D8496D">
      <w:pPr>
        <w:spacing w:before="120" w:after="120" w:line="240" w:lineRule="auto"/>
        <w:rPr>
          <w:rFonts w:ascii="Open Sans" w:eastAsiaTheme="minorHAnsi" w:hAnsi="Open Sans" w:cs="Open Sans"/>
          <w:b/>
          <w:bCs/>
          <w:color w:val="2F5496"/>
          <w:lang w:eastAsia="en-US"/>
        </w:rPr>
      </w:pPr>
    </w:p>
    <w:p w14:paraId="305C2672" w14:textId="683822B7" w:rsidR="00853995"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Section 9 </w:t>
      </w:r>
    </w:p>
    <w:p w14:paraId="7ED1A865" w14:textId="77777777" w:rsidR="000D0BEB"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19. What are your views on the possible approaches to funding the proposed hydrogen business model? </w:t>
      </w:r>
    </w:p>
    <w:p w14:paraId="6F55AF6F" w14:textId="45E48023" w:rsidR="00E66A89" w:rsidRDefault="000B6FD2" w:rsidP="00E66A89">
      <w:pPr>
        <w:spacing w:before="120" w:after="120" w:line="240" w:lineRule="auto"/>
        <w:rPr>
          <w:rFonts w:ascii="Open Sans" w:eastAsia="Open Sans" w:hAnsi="Open Sans" w:cs="Open Sans"/>
        </w:rPr>
      </w:pPr>
      <w:r>
        <w:rPr>
          <w:rFonts w:ascii="Open Sans" w:eastAsia="Open Sans" w:hAnsi="Open Sans" w:cs="Open Sans"/>
        </w:rPr>
        <w:t>The REA recognises that there needs to be further</w:t>
      </w:r>
      <w:r w:rsidR="00E66A89">
        <w:rPr>
          <w:rFonts w:ascii="Open Sans" w:eastAsia="Open Sans" w:hAnsi="Open Sans" w:cs="Open Sans"/>
        </w:rPr>
        <w:t xml:space="preserve"> </w:t>
      </w:r>
      <w:r w:rsidR="00E66A89" w:rsidRPr="00E66A89">
        <w:rPr>
          <w:rFonts w:ascii="Open Sans" w:eastAsia="Open Sans" w:hAnsi="Open Sans" w:cs="Open Sans"/>
        </w:rPr>
        <w:t xml:space="preserve">debate about where policy costs </w:t>
      </w:r>
      <w:r>
        <w:rPr>
          <w:rFonts w:ascii="Open Sans" w:eastAsia="Open Sans" w:hAnsi="Open Sans" w:cs="Open Sans"/>
        </w:rPr>
        <w:t xml:space="preserve">currently </w:t>
      </w:r>
      <w:r w:rsidR="00E66A89" w:rsidRPr="00E66A89">
        <w:rPr>
          <w:rFonts w:ascii="Open Sans" w:eastAsia="Open Sans" w:hAnsi="Open Sans" w:cs="Open Sans"/>
        </w:rPr>
        <w:t xml:space="preserve">sit on bills </w:t>
      </w:r>
      <w:r>
        <w:rPr>
          <w:rFonts w:ascii="Open Sans" w:eastAsia="Open Sans" w:hAnsi="Open Sans" w:cs="Open Sans"/>
        </w:rPr>
        <w:t>and</w:t>
      </w:r>
      <w:r w:rsidR="00E66A89" w:rsidRPr="00E66A89">
        <w:rPr>
          <w:rFonts w:ascii="Open Sans" w:eastAsia="Open Sans" w:hAnsi="Open Sans" w:cs="Open Sans"/>
        </w:rPr>
        <w:t xml:space="preserve"> what the costs will be in the longer term</w:t>
      </w:r>
      <w:r w:rsidR="00E66A89">
        <w:rPr>
          <w:rFonts w:ascii="Open Sans" w:eastAsia="Open Sans" w:hAnsi="Open Sans" w:cs="Open Sans"/>
        </w:rPr>
        <w:t>. These c</w:t>
      </w:r>
      <w:r w:rsidR="00E66A89" w:rsidRPr="00E66A89">
        <w:rPr>
          <w:rFonts w:ascii="Open Sans" w:eastAsia="Open Sans" w:hAnsi="Open Sans" w:cs="Open Sans"/>
        </w:rPr>
        <w:t xml:space="preserve">osts must be considered against impacts on the fuel poor. </w:t>
      </w:r>
    </w:p>
    <w:p w14:paraId="028B1296" w14:textId="6F94ED0D" w:rsidR="00E66A89" w:rsidRPr="00E66A89" w:rsidRDefault="00E66A89" w:rsidP="00E66A89">
      <w:pPr>
        <w:spacing w:before="120" w:after="120" w:line="240" w:lineRule="auto"/>
        <w:rPr>
          <w:rFonts w:ascii="Open Sans" w:eastAsia="Open Sans" w:hAnsi="Open Sans" w:cs="Open Sans"/>
        </w:rPr>
      </w:pPr>
      <w:r>
        <w:rPr>
          <w:rFonts w:ascii="Open Sans" w:eastAsia="Open Sans" w:hAnsi="Open Sans" w:cs="Open Sans"/>
        </w:rPr>
        <w:t xml:space="preserve">The REA would encourage </w:t>
      </w:r>
      <w:r w:rsidR="000B6FD2">
        <w:rPr>
          <w:rFonts w:ascii="Open Sans" w:eastAsia="Open Sans" w:hAnsi="Open Sans" w:cs="Open Sans"/>
        </w:rPr>
        <w:t xml:space="preserve">the Government to consider whether the </w:t>
      </w:r>
      <w:r w:rsidR="000B6FD2" w:rsidRPr="00E66A89">
        <w:rPr>
          <w:rFonts w:ascii="Open Sans" w:eastAsia="Open Sans" w:hAnsi="Open Sans" w:cs="Open Sans"/>
        </w:rPr>
        <w:t xml:space="preserve">cost of green levies (LCF, ECO, </w:t>
      </w:r>
      <w:r w:rsidR="000B6FD2">
        <w:rPr>
          <w:rFonts w:ascii="Open Sans" w:eastAsia="Open Sans" w:hAnsi="Open Sans" w:cs="Open Sans"/>
        </w:rPr>
        <w:t xml:space="preserve">GGL and the Hydrogen Business Model) should be moved from energy bills to general taxation in the future, as this would be a more progressive system. </w:t>
      </w:r>
    </w:p>
    <w:p w14:paraId="5BAE5D31" w14:textId="129893C9" w:rsidR="006C2C6D" w:rsidRDefault="000B6FD2" w:rsidP="00E66A89">
      <w:pPr>
        <w:spacing w:before="120" w:after="120" w:line="240" w:lineRule="auto"/>
        <w:rPr>
          <w:rFonts w:ascii="Open Sans" w:eastAsia="Open Sans" w:hAnsi="Open Sans" w:cs="Open Sans"/>
        </w:rPr>
      </w:pPr>
      <w:r>
        <w:rPr>
          <w:rFonts w:ascii="Open Sans" w:eastAsia="Open Sans" w:hAnsi="Open Sans" w:cs="Open Sans"/>
        </w:rPr>
        <w:t xml:space="preserve">If it is decided that a levy is placed on gas bills, Government should ensure this is not regressive. The main criticism against the Green Gas Levy from consumers’ perspective has been the fact that it will initially be a flat rate </w:t>
      </w:r>
      <w:proofErr w:type="spellStart"/>
      <w:proofErr w:type="gramStart"/>
      <w:r>
        <w:rPr>
          <w:rFonts w:ascii="Open Sans" w:eastAsia="Open Sans" w:hAnsi="Open Sans" w:cs="Open Sans"/>
        </w:rPr>
        <w:t>ie</w:t>
      </w:r>
      <w:proofErr w:type="spellEnd"/>
      <w:proofErr w:type="gramEnd"/>
      <w:r>
        <w:rPr>
          <w:rFonts w:ascii="Open Sans" w:eastAsia="Open Sans" w:hAnsi="Open Sans" w:cs="Open Sans"/>
        </w:rPr>
        <w:t xml:space="preserve"> regardless of the volume of gas consumer, everyone will pay the same flat rate. Lessons from the Green Gas Levy </w:t>
      </w:r>
      <w:r>
        <w:rPr>
          <w:rFonts w:ascii="Open Sans" w:eastAsia="Open Sans" w:hAnsi="Open Sans" w:cs="Open Sans"/>
        </w:rPr>
        <w:lastRenderedPageBreak/>
        <w:t xml:space="preserve">should be learned to ensure any additional levy on gas bills is fair and doesn’t disproportionately affect certain consumers.  </w:t>
      </w:r>
    </w:p>
    <w:p w14:paraId="026A5419" w14:textId="3B5707D9" w:rsidR="000B6FD2" w:rsidRDefault="00F449D8" w:rsidP="00E66A89">
      <w:pPr>
        <w:spacing w:before="120" w:after="120" w:line="240" w:lineRule="auto"/>
        <w:rPr>
          <w:rFonts w:ascii="Open Sans" w:eastAsia="Open Sans" w:hAnsi="Open Sans" w:cs="Open Sans"/>
        </w:rPr>
      </w:pPr>
      <w:r>
        <w:rPr>
          <w:rFonts w:ascii="Open Sans" w:eastAsia="Open Sans" w:hAnsi="Open Sans" w:cs="Open Sans"/>
        </w:rPr>
        <w:t xml:space="preserve">It is worth pointing </w:t>
      </w:r>
      <w:r w:rsidR="00EE454B">
        <w:rPr>
          <w:rFonts w:ascii="Open Sans" w:eastAsia="Open Sans" w:hAnsi="Open Sans" w:cs="Open Sans"/>
        </w:rPr>
        <w:t>out that n</w:t>
      </w:r>
      <w:r w:rsidR="000B6FD2">
        <w:rPr>
          <w:rFonts w:ascii="Open Sans" w:eastAsia="Open Sans" w:hAnsi="Open Sans" w:cs="Open Sans"/>
        </w:rPr>
        <w:t>ot all hydrogen will be supplied through the gas network, and unlike the Green Gas Support Scheme, the producer-led revenue scheme is not a scheme to encourage decarbonisation of the gas network, so it</w:t>
      </w:r>
      <w:r w:rsidR="00EE454B">
        <w:rPr>
          <w:rFonts w:ascii="Open Sans" w:eastAsia="Open Sans" w:hAnsi="Open Sans" w:cs="Open Sans"/>
        </w:rPr>
        <w:t xml:space="preserve"> may</w:t>
      </w:r>
      <w:r w:rsidR="000B6FD2">
        <w:rPr>
          <w:rFonts w:ascii="Open Sans" w:eastAsia="Open Sans" w:hAnsi="Open Sans" w:cs="Open Sans"/>
        </w:rPr>
        <w:t xml:space="preserve"> be more problematic to place the cost on gas consumers. </w:t>
      </w:r>
    </w:p>
    <w:p w14:paraId="4DACD350" w14:textId="77777777" w:rsidR="000B6FD2" w:rsidRPr="00E66A89" w:rsidRDefault="000B6FD2" w:rsidP="00E66A89">
      <w:pPr>
        <w:spacing w:before="120" w:after="120" w:line="240" w:lineRule="auto"/>
        <w:rPr>
          <w:rFonts w:ascii="Open Sans" w:eastAsia="Open Sans" w:hAnsi="Open Sans" w:cs="Open Sans"/>
        </w:rPr>
      </w:pPr>
    </w:p>
    <w:p w14:paraId="57B34340" w14:textId="77777777" w:rsidR="00FD2FBF"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Section 10 </w:t>
      </w:r>
    </w:p>
    <w:p w14:paraId="79AF5AF4" w14:textId="77777777" w:rsidR="00FD2FBF"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 xml:space="preserve">20. Do you agree with our proposal to allow projects to factor in small-scale hydrogen distribution and storage costs as part of projects’ overall costs of production when bidding for business model support? Please explain your arguments, including any considerations relating to avoiding market distortions and facilitating future expansion of the hydrogen economy. </w:t>
      </w:r>
    </w:p>
    <w:p w14:paraId="2828B183" w14:textId="418F488D" w:rsidR="00FD2FBF" w:rsidRDefault="0047072D" w:rsidP="00D8496D">
      <w:pPr>
        <w:spacing w:before="120" w:after="120" w:line="240" w:lineRule="auto"/>
        <w:rPr>
          <w:rFonts w:ascii="Open Sans" w:eastAsiaTheme="minorHAnsi" w:hAnsi="Open Sans" w:cs="Open Sans"/>
          <w:b/>
          <w:bCs/>
          <w:color w:val="2F5496"/>
          <w:lang w:eastAsia="en-US"/>
        </w:rPr>
      </w:pPr>
      <w:r w:rsidRPr="0047072D">
        <w:rPr>
          <w:rFonts w:ascii="Open Sans" w:eastAsia="Open Sans" w:hAnsi="Open Sans" w:cs="Open Sans"/>
        </w:rPr>
        <w:t xml:space="preserve">Yes. </w:t>
      </w:r>
      <w:r>
        <w:rPr>
          <w:rFonts w:ascii="Open Sans" w:eastAsia="Open Sans" w:hAnsi="Open Sans" w:cs="Open Sans"/>
        </w:rPr>
        <w:t xml:space="preserve">Projects should be able to price </w:t>
      </w:r>
      <w:r w:rsidR="000856C5">
        <w:rPr>
          <w:rFonts w:ascii="Open Sans" w:eastAsia="Open Sans" w:hAnsi="Open Sans" w:cs="Open Sans"/>
        </w:rPr>
        <w:t xml:space="preserve">storage </w:t>
      </w:r>
      <w:r>
        <w:rPr>
          <w:rFonts w:ascii="Open Sans" w:eastAsia="Open Sans" w:hAnsi="Open Sans" w:cs="Open Sans"/>
        </w:rPr>
        <w:t>in if it is part of their costs, especially in the early days of development</w:t>
      </w:r>
      <w:r w:rsidR="000856C5">
        <w:rPr>
          <w:rFonts w:ascii="Open Sans" w:eastAsia="Open Sans" w:hAnsi="Open Sans" w:cs="Open Sans"/>
        </w:rPr>
        <w:t xml:space="preserve">. </w:t>
      </w:r>
      <w:r w:rsidR="00EE454B">
        <w:rPr>
          <w:rFonts w:ascii="Open Sans" w:eastAsia="Open Sans" w:hAnsi="Open Sans" w:cs="Open Sans"/>
        </w:rPr>
        <w:t xml:space="preserve"> The events of recent months in the gas markets have highlighted the dangers of insufficient storage in the energy system.  </w:t>
      </w:r>
    </w:p>
    <w:p w14:paraId="291786C5" w14:textId="7889BED3" w:rsidR="003845C1" w:rsidRDefault="003845C1" w:rsidP="00D8496D">
      <w:pPr>
        <w:spacing w:before="120" w:after="120" w:line="240" w:lineRule="auto"/>
        <w:rPr>
          <w:rFonts w:ascii="Open Sans" w:eastAsiaTheme="minorHAnsi" w:hAnsi="Open Sans" w:cs="Open Sans"/>
          <w:b/>
          <w:bCs/>
          <w:color w:val="2F5496"/>
          <w:lang w:eastAsia="en-US"/>
        </w:rPr>
      </w:pPr>
      <w:r w:rsidRPr="003845C1">
        <w:rPr>
          <w:rFonts w:ascii="Open Sans" w:eastAsiaTheme="minorHAnsi" w:hAnsi="Open Sans" w:cs="Open Sans"/>
          <w:b/>
          <w:bCs/>
          <w:color w:val="2F5496"/>
          <w:lang w:eastAsia="en-US"/>
        </w:rPr>
        <w:t>21. Do you consider that bespoke funding model(s) might be needed to enable investments in larger-scale, shared hydrogen networks and storage? If so, which model(s) might be best suited to bring forward projects? Evidence provided under this question will be used to inform our forthcoming reviews.</w:t>
      </w:r>
    </w:p>
    <w:p w14:paraId="576AA2C1" w14:textId="35780E99" w:rsidR="0047072D" w:rsidRDefault="0047072D" w:rsidP="00D8496D">
      <w:pPr>
        <w:spacing w:before="120" w:after="120" w:line="240" w:lineRule="auto"/>
        <w:rPr>
          <w:rFonts w:ascii="Open Sans" w:eastAsia="Open Sans" w:hAnsi="Open Sans" w:cs="Open Sans"/>
        </w:rPr>
      </w:pPr>
      <w:r w:rsidRPr="0047072D">
        <w:rPr>
          <w:rFonts w:ascii="Open Sans" w:eastAsia="Open Sans" w:hAnsi="Open Sans" w:cs="Open Sans"/>
        </w:rPr>
        <w:t>Y</w:t>
      </w:r>
      <w:r w:rsidR="000856C5">
        <w:rPr>
          <w:rFonts w:ascii="Open Sans" w:eastAsia="Open Sans" w:hAnsi="Open Sans" w:cs="Open Sans"/>
        </w:rPr>
        <w:t xml:space="preserve">es.  </w:t>
      </w:r>
    </w:p>
    <w:p w14:paraId="6B9EB254" w14:textId="22C31EAC" w:rsidR="0047072D" w:rsidRDefault="0047072D" w:rsidP="00D8496D">
      <w:pPr>
        <w:spacing w:before="120" w:after="120" w:line="240" w:lineRule="auto"/>
        <w:rPr>
          <w:rFonts w:ascii="Open Sans" w:eastAsia="Open Sans" w:hAnsi="Open Sans" w:cs="Open Sans"/>
        </w:rPr>
      </w:pPr>
      <w:r>
        <w:rPr>
          <w:rFonts w:ascii="Open Sans" w:eastAsia="Open Sans" w:hAnsi="Open Sans" w:cs="Open Sans"/>
        </w:rPr>
        <w:t>Pipeline</w:t>
      </w:r>
      <w:r w:rsidR="000B6FD2">
        <w:rPr>
          <w:rFonts w:ascii="Open Sans" w:eastAsia="Open Sans" w:hAnsi="Open Sans" w:cs="Open Sans"/>
        </w:rPr>
        <w:t xml:space="preserve">s and </w:t>
      </w:r>
      <w:r>
        <w:rPr>
          <w:rFonts w:ascii="Open Sans" w:eastAsia="Open Sans" w:hAnsi="Open Sans" w:cs="Open Sans"/>
        </w:rPr>
        <w:t>network</w:t>
      </w:r>
      <w:r w:rsidR="000B6FD2">
        <w:rPr>
          <w:rFonts w:ascii="Open Sans" w:eastAsia="Open Sans" w:hAnsi="Open Sans" w:cs="Open Sans"/>
        </w:rPr>
        <w:t>s</w:t>
      </w:r>
      <w:r>
        <w:rPr>
          <w:rFonts w:ascii="Open Sans" w:eastAsia="Open Sans" w:hAnsi="Open Sans" w:cs="Open Sans"/>
        </w:rPr>
        <w:t xml:space="preserve"> take a long time to develop </w:t>
      </w:r>
      <w:r w:rsidR="000B6FD2">
        <w:rPr>
          <w:rFonts w:ascii="Open Sans" w:eastAsia="Open Sans" w:hAnsi="Open Sans" w:cs="Open Sans"/>
        </w:rPr>
        <w:t xml:space="preserve">and build </w:t>
      </w:r>
      <w:r>
        <w:rPr>
          <w:rFonts w:ascii="Open Sans" w:eastAsia="Open Sans" w:hAnsi="Open Sans" w:cs="Open Sans"/>
        </w:rPr>
        <w:t>so it would be difficult to capture this in the business model</w:t>
      </w:r>
      <w:r w:rsidR="000B6FD2">
        <w:rPr>
          <w:rFonts w:ascii="Open Sans" w:eastAsia="Open Sans" w:hAnsi="Open Sans" w:cs="Open Sans"/>
        </w:rPr>
        <w:t xml:space="preserve"> if we want this to be delivered quickly. </w:t>
      </w:r>
    </w:p>
    <w:p w14:paraId="00000026" w14:textId="77777777" w:rsidR="00A27EDE" w:rsidRDefault="00A27EDE" w:rsidP="003845C1">
      <w:pPr>
        <w:spacing w:before="120" w:after="120" w:line="240" w:lineRule="auto"/>
        <w:rPr>
          <w:rFonts w:ascii="Open Sans" w:eastAsia="Open Sans" w:hAnsi="Open Sans" w:cs="Open Sans"/>
        </w:rPr>
      </w:pPr>
    </w:p>
    <w:sectPr w:rsidR="00A27EDE">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9BD7" w14:textId="77777777" w:rsidR="00FD2FBF" w:rsidRDefault="00FD2FBF" w:rsidP="00FD2FBF">
      <w:pPr>
        <w:spacing w:line="240" w:lineRule="auto"/>
      </w:pPr>
      <w:r>
        <w:separator/>
      </w:r>
    </w:p>
  </w:endnote>
  <w:endnote w:type="continuationSeparator" w:id="0">
    <w:p w14:paraId="39D828F7" w14:textId="77777777" w:rsidR="00FD2FBF" w:rsidRDefault="00FD2FBF" w:rsidP="00FD2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262586"/>
      <w:docPartObj>
        <w:docPartGallery w:val="Page Numbers (Bottom of Page)"/>
        <w:docPartUnique/>
      </w:docPartObj>
    </w:sdtPr>
    <w:sdtEndPr>
      <w:rPr>
        <w:noProof/>
      </w:rPr>
    </w:sdtEndPr>
    <w:sdtContent>
      <w:p w14:paraId="7EF41CDC" w14:textId="18D0A707" w:rsidR="00FD2FBF" w:rsidRDefault="00FD2F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788B7F" w14:textId="77777777" w:rsidR="00FD2FBF" w:rsidRDefault="00FD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DE69" w14:textId="77777777" w:rsidR="00FD2FBF" w:rsidRDefault="00FD2FBF" w:rsidP="00FD2FBF">
      <w:pPr>
        <w:spacing w:line="240" w:lineRule="auto"/>
      </w:pPr>
      <w:r>
        <w:separator/>
      </w:r>
    </w:p>
  </w:footnote>
  <w:footnote w:type="continuationSeparator" w:id="0">
    <w:p w14:paraId="3792FB52" w14:textId="77777777" w:rsidR="00FD2FBF" w:rsidRDefault="00FD2FBF" w:rsidP="00FD2FBF">
      <w:pPr>
        <w:spacing w:line="240" w:lineRule="auto"/>
      </w:pPr>
      <w:r>
        <w:continuationSeparator/>
      </w:r>
    </w:p>
  </w:footnote>
  <w:footnote w:id="1">
    <w:p w14:paraId="131BFCAB" w14:textId="572971E9" w:rsidR="00936D2A" w:rsidRDefault="00936D2A">
      <w:pPr>
        <w:pStyle w:val="FootnoteText"/>
      </w:pPr>
      <w:r>
        <w:rPr>
          <w:rStyle w:val="FootnoteReference"/>
        </w:rPr>
        <w:footnoteRef/>
      </w:r>
      <w:r>
        <w:t xml:space="preserve"> </w:t>
      </w:r>
      <w:r w:rsidRPr="00D260CD">
        <w:rPr>
          <w:rFonts w:ascii="Open Sans" w:eastAsia="Open Sans" w:hAnsi="Open Sans" w:cs="Open Sans"/>
          <w:sz w:val="22"/>
          <w:szCs w:val="22"/>
        </w:rPr>
        <w:t xml:space="preserve"> </w:t>
      </w:r>
      <w:r>
        <w:rPr>
          <w:rFonts w:ascii="Open Sans" w:eastAsia="Open Sans" w:hAnsi="Open Sans" w:cs="Open Sans"/>
          <w:sz w:val="18"/>
          <w:szCs w:val="18"/>
        </w:rPr>
        <w:t>When charging and discharging from the grid, storage devices in the past were paying fees for both these activities on a gross basis. However, there have been grid modifications made that allow them to be charged only on a net usage basis. This recognises the fact these devices are aiding the electricity system flexibility. A similar approach needs to be applied to hydrogen electrolysers that are grid connected.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04E8" w14:textId="19C9D017" w:rsidR="00FD2FBF" w:rsidRPr="00F449D8" w:rsidRDefault="00F93C17" w:rsidP="00F449D8">
    <w:pPr>
      <w:pStyle w:val="Header"/>
      <w:rPr>
        <w:rFonts w:ascii="Open Sans" w:hAnsi="Open Sans" w:cs="Open Sans"/>
        <w:sz w:val="20"/>
        <w:szCs w:val="20"/>
      </w:rPr>
    </w:pPr>
    <w:r w:rsidRPr="00F449D8">
      <w:rPr>
        <w:rFonts w:ascii="Open Sans" w:hAnsi="Open Sans" w:cs="Open Sans"/>
        <w:sz w:val="20"/>
        <w:szCs w:val="20"/>
      </w:rPr>
      <w:t>REA, first draft, 05/10/2021</w:t>
    </w:r>
  </w:p>
  <w:p w14:paraId="6DE0CF7C" w14:textId="77777777" w:rsidR="00FD2FBF" w:rsidRDefault="00FD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034"/>
    <w:multiLevelType w:val="hybridMultilevel"/>
    <w:tmpl w:val="153C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73DC7"/>
    <w:multiLevelType w:val="multilevel"/>
    <w:tmpl w:val="8D3EF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706D4C"/>
    <w:multiLevelType w:val="multilevel"/>
    <w:tmpl w:val="89CCD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A96C9E"/>
    <w:multiLevelType w:val="hybridMultilevel"/>
    <w:tmpl w:val="76CC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C6B0C"/>
    <w:multiLevelType w:val="multilevel"/>
    <w:tmpl w:val="E3F6E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E95D00"/>
    <w:multiLevelType w:val="multilevel"/>
    <w:tmpl w:val="43A2F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C66415"/>
    <w:multiLevelType w:val="hybridMultilevel"/>
    <w:tmpl w:val="79DE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076C77"/>
    <w:multiLevelType w:val="multilevel"/>
    <w:tmpl w:val="D9D8B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730032"/>
    <w:multiLevelType w:val="multilevel"/>
    <w:tmpl w:val="568A5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6426D3"/>
    <w:multiLevelType w:val="multilevel"/>
    <w:tmpl w:val="4A922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017F9E"/>
    <w:multiLevelType w:val="multilevel"/>
    <w:tmpl w:val="56D8F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D04F9B"/>
    <w:multiLevelType w:val="hybridMultilevel"/>
    <w:tmpl w:val="79E0ED2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594D52"/>
    <w:multiLevelType w:val="hybridMultilevel"/>
    <w:tmpl w:val="72AEE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32AFF"/>
    <w:multiLevelType w:val="multilevel"/>
    <w:tmpl w:val="81588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B56FDC"/>
    <w:multiLevelType w:val="multilevel"/>
    <w:tmpl w:val="5ADC1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05765C"/>
    <w:multiLevelType w:val="hybridMultilevel"/>
    <w:tmpl w:val="BC5A7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10"/>
  </w:num>
  <w:num w:numId="5">
    <w:abstractNumId w:val="13"/>
  </w:num>
  <w:num w:numId="6">
    <w:abstractNumId w:val="7"/>
  </w:num>
  <w:num w:numId="7">
    <w:abstractNumId w:val="8"/>
  </w:num>
  <w:num w:numId="8">
    <w:abstractNumId w:val="2"/>
  </w:num>
  <w:num w:numId="9">
    <w:abstractNumId w:val="14"/>
  </w:num>
  <w:num w:numId="10">
    <w:abstractNumId w:val="9"/>
  </w:num>
  <w:num w:numId="11">
    <w:abstractNumId w:val="12"/>
  </w:num>
  <w:num w:numId="12">
    <w:abstractNumId w:val="11"/>
  </w:num>
  <w:num w:numId="13">
    <w:abstractNumId w:val="15"/>
  </w:num>
  <w:num w:numId="14">
    <w:abstractNumId w:val="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DE"/>
    <w:rsid w:val="00037679"/>
    <w:rsid w:val="000810C2"/>
    <w:rsid w:val="000856C5"/>
    <w:rsid w:val="000A4688"/>
    <w:rsid w:val="000B6FD2"/>
    <w:rsid w:val="000C4CE9"/>
    <w:rsid w:val="000D0BEB"/>
    <w:rsid w:val="000D5319"/>
    <w:rsid w:val="00102666"/>
    <w:rsid w:val="00105091"/>
    <w:rsid w:val="001121FF"/>
    <w:rsid w:val="00153E18"/>
    <w:rsid w:val="00163B93"/>
    <w:rsid w:val="00167ED4"/>
    <w:rsid w:val="00185CF3"/>
    <w:rsid w:val="00192367"/>
    <w:rsid w:val="001C4DA5"/>
    <w:rsid w:val="001D2D51"/>
    <w:rsid w:val="001E080C"/>
    <w:rsid w:val="001F18B2"/>
    <w:rsid w:val="00200282"/>
    <w:rsid w:val="00203B07"/>
    <w:rsid w:val="002703E1"/>
    <w:rsid w:val="00274300"/>
    <w:rsid w:val="002A2DFD"/>
    <w:rsid w:val="002A3F3B"/>
    <w:rsid w:val="00302AEA"/>
    <w:rsid w:val="003845C1"/>
    <w:rsid w:val="0039101B"/>
    <w:rsid w:val="003A162B"/>
    <w:rsid w:val="003B1823"/>
    <w:rsid w:val="003C2943"/>
    <w:rsid w:val="003C7A5D"/>
    <w:rsid w:val="00414AF6"/>
    <w:rsid w:val="0047072D"/>
    <w:rsid w:val="004B4B0F"/>
    <w:rsid w:val="004C3730"/>
    <w:rsid w:val="004E03F0"/>
    <w:rsid w:val="00515276"/>
    <w:rsid w:val="00541DBE"/>
    <w:rsid w:val="00547902"/>
    <w:rsid w:val="0056257E"/>
    <w:rsid w:val="0057062A"/>
    <w:rsid w:val="0059644B"/>
    <w:rsid w:val="005B1A42"/>
    <w:rsid w:val="005B1CEE"/>
    <w:rsid w:val="005C164A"/>
    <w:rsid w:val="005D7B82"/>
    <w:rsid w:val="005E39F9"/>
    <w:rsid w:val="005F6074"/>
    <w:rsid w:val="006117D9"/>
    <w:rsid w:val="00633915"/>
    <w:rsid w:val="00695C9C"/>
    <w:rsid w:val="006A1894"/>
    <w:rsid w:val="006A53E8"/>
    <w:rsid w:val="006B362F"/>
    <w:rsid w:val="006C2C6D"/>
    <w:rsid w:val="006E5F25"/>
    <w:rsid w:val="006F554E"/>
    <w:rsid w:val="00727416"/>
    <w:rsid w:val="00734946"/>
    <w:rsid w:val="00762058"/>
    <w:rsid w:val="007D07F5"/>
    <w:rsid w:val="007F1353"/>
    <w:rsid w:val="007F3097"/>
    <w:rsid w:val="00821CEB"/>
    <w:rsid w:val="008316B9"/>
    <w:rsid w:val="00853995"/>
    <w:rsid w:val="00854DDB"/>
    <w:rsid w:val="0089403A"/>
    <w:rsid w:val="00936D2A"/>
    <w:rsid w:val="009D36E9"/>
    <w:rsid w:val="00A13606"/>
    <w:rsid w:val="00A2451F"/>
    <w:rsid w:val="00A27EDE"/>
    <w:rsid w:val="00A77A96"/>
    <w:rsid w:val="00A83B97"/>
    <w:rsid w:val="00AE07F9"/>
    <w:rsid w:val="00AF59FD"/>
    <w:rsid w:val="00B00CCE"/>
    <w:rsid w:val="00B015FC"/>
    <w:rsid w:val="00B04356"/>
    <w:rsid w:val="00B748D0"/>
    <w:rsid w:val="00C616CA"/>
    <w:rsid w:val="00C61B7D"/>
    <w:rsid w:val="00C62C5A"/>
    <w:rsid w:val="00C66465"/>
    <w:rsid w:val="00C72024"/>
    <w:rsid w:val="00C82099"/>
    <w:rsid w:val="00C824F7"/>
    <w:rsid w:val="00C903A3"/>
    <w:rsid w:val="00CF4822"/>
    <w:rsid w:val="00D11A69"/>
    <w:rsid w:val="00D7003B"/>
    <w:rsid w:val="00D802C3"/>
    <w:rsid w:val="00D8496D"/>
    <w:rsid w:val="00D947FB"/>
    <w:rsid w:val="00DB7889"/>
    <w:rsid w:val="00E072F6"/>
    <w:rsid w:val="00E534C4"/>
    <w:rsid w:val="00E553F3"/>
    <w:rsid w:val="00E61916"/>
    <w:rsid w:val="00E66A89"/>
    <w:rsid w:val="00E70478"/>
    <w:rsid w:val="00E84030"/>
    <w:rsid w:val="00ED23CE"/>
    <w:rsid w:val="00EE454B"/>
    <w:rsid w:val="00EF3EED"/>
    <w:rsid w:val="00F003B1"/>
    <w:rsid w:val="00F05437"/>
    <w:rsid w:val="00F449D8"/>
    <w:rsid w:val="00F455AA"/>
    <w:rsid w:val="00F82872"/>
    <w:rsid w:val="00F83EFF"/>
    <w:rsid w:val="00F850D5"/>
    <w:rsid w:val="00F93C17"/>
    <w:rsid w:val="00FA2B25"/>
    <w:rsid w:val="00FD2FBF"/>
    <w:rsid w:val="00FE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A529"/>
  <w15:docId w15:val="{4C3C84A3-0EF2-403F-81E8-91D9FBB2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845C1"/>
    <w:pPr>
      <w:ind w:left="720"/>
      <w:contextualSpacing/>
    </w:pPr>
  </w:style>
  <w:style w:type="paragraph" w:styleId="Header">
    <w:name w:val="header"/>
    <w:basedOn w:val="Normal"/>
    <w:link w:val="HeaderChar"/>
    <w:uiPriority w:val="99"/>
    <w:unhideWhenUsed/>
    <w:rsid w:val="00FD2FBF"/>
    <w:pPr>
      <w:tabs>
        <w:tab w:val="center" w:pos="4513"/>
        <w:tab w:val="right" w:pos="9026"/>
      </w:tabs>
      <w:spacing w:line="240" w:lineRule="auto"/>
    </w:pPr>
  </w:style>
  <w:style w:type="character" w:customStyle="1" w:styleId="HeaderChar">
    <w:name w:val="Header Char"/>
    <w:basedOn w:val="DefaultParagraphFont"/>
    <w:link w:val="Header"/>
    <w:uiPriority w:val="99"/>
    <w:rsid w:val="00FD2FBF"/>
  </w:style>
  <w:style w:type="paragraph" w:styleId="Footer">
    <w:name w:val="footer"/>
    <w:basedOn w:val="Normal"/>
    <w:link w:val="FooterChar"/>
    <w:uiPriority w:val="99"/>
    <w:unhideWhenUsed/>
    <w:rsid w:val="00FD2FBF"/>
    <w:pPr>
      <w:tabs>
        <w:tab w:val="center" w:pos="4513"/>
        <w:tab w:val="right" w:pos="9026"/>
      </w:tabs>
      <w:spacing w:line="240" w:lineRule="auto"/>
    </w:pPr>
  </w:style>
  <w:style w:type="character" w:customStyle="1" w:styleId="FooterChar">
    <w:name w:val="Footer Char"/>
    <w:basedOn w:val="DefaultParagraphFont"/>
    <w:link w:val="Footer"/>
    <w:uiPriority w:val="99"/>
    <w:rsid w:val="00FD2FBF"/>
  </w:style>
  <w:style w:type="character" w:styleId="CommentReference">
    <w:name w:val="annotation reference"/>
    <w:basedOn w:val="DefaultParagraphFont"/>
    <w:uiPriority w:val="99"/>
    <w:semiHidden/>
    <w:unhideWhenUsed/>
    <w:rsid w:val="001D2D51"/>
    <w:rPr>
      <w:sz w:val="16"/>
      <w:szCs w:val="16"/>
    </w:rPr>
  </w:style>
  <w:style w:type="paragraph" w:styleId="CommentText">
    <w:name w:val="annotation text"/>
    <w:basedOn w:val="Normal"/>
    <w:link w:val="CommentTextChar"/>
    <w:uiPriority w:val="99"/>
    <w:semiHidden/>
    <w:unhideWhenUsed/>
    <w:rsid w:val="001D2D51"/>
    <w:pPr>
      <w:spacing w:line="240" w:lineRule="auto"/>
    </w:pPr>
    <w:rPr>
      <w:sz w:val="20"/>
      <w:szCs w:val="20"/>
    </w:rPr>
  </w:style>
  <w:style w:type="character" w:customStyle="1" w:styleId="CommentTextChar">
    <w:name w:val="Comment Text Char"/>
    <w:basedOn w:val="DefaultParagraphFont"/>
    <w:link w:val="CommentText"/>
    <w:uiPriority w:val="99"/>
    <w:semiHidden/>
    <w:rsid w:val="001D2D51"/>
    <w:rPr>
      <w:sz w:val="20"/>
      <w:szCs w:val="20"/>
    </w:rPr>
  </w:style>
  <w:style w:type="paragraph" w:styleId="CommentSubject">
    <w:name w:val="annotation subject"/>
    <w:basedOn w:val="CommentText"/>
    <w:next w:val="CommentText"/>
    <w:link w:val="CommentSubjectChar"/>
    <w:uiPriority w:val="99"/>
    <w:semiHidden/>
    <w:unhideWhenUsed/>
    <w:rsid w:val="001D2D51"/>
    <w:rPr>
      <w:b/>
      <w:bCs/>
    </w:rPr>
  </w:style>
  <w:style w:type="character" w:customStyle="1" w:styleId="CommentSubjectChar">
    <w:name w:val="Comment Subject Char"/>
    <w:basedOn w:val="CommentTextChar"/>
    <w:link w:val="CommentSubject"/>
    <w:uiPriority w:val="99"/>
    <w:semiHidden/>
    <w:rsid w:val="001D2D51"/>
    <w:rPr>
      <w:b/>
      <w:bCs/>
      <w:sz w:val="20"/>
      <w:szCs w:val="20"/>
    </w:rPr>
  </w:style>
  <w:style w:type="paragraph" w:styleId="FootnoteText">
    <w:name w:val="footnote text"/>
    <w:basedOn w:val="Normal"/>
    <w:link w:val="FootnoteTextChar"/>
    <w:uiPriority w:val="99"/>
    <w:semiHidden/>
    <w:unhideWhenUsed/>
    <w:rsid w:val="00936D2A"/>
    <w:pPr>
      <w:spacing w:line="240" w:lineRule="auto"/>
    </w:pPr>
    <w:rPr>
      <w:sz w:val="20"/>
      <w:szCs w:val="20"/>
    </w:rPr>
  </w:style>
  <w:style w:type="character" w:customStyle="1" w:styleId="FootnoteTextChar">
    <w:name w:val="Footnote Text Char"/>
    <w:basedOn w:val="DefaultParagraphFont"/>
    <w:link w:val="FootnoteText"/>
    <w:uiPriority w:val="99"/>
    <w:semiHidden/>
    <w:rsid w:val="00936D2A"/>
    <w:rPr>
      <w:sz w:val="20"/>
      <w:szCs w:val="20"/>
    </w:rPr>
  </w:style>
  <w:style w:type="character" w:styleId="FootnoteReference">
    <w:name w:val="footnote reference"/>
    <w:basedOn w:val="DefaultParagraphFont"/>
    <w:uiPriority w:val="99"/>
    <w:semiHidden/>
    <w:unhideWhenUsed/>
    <w:rsid w:val="00936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683A-1128-4E05-ADF9-03F3BAD2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4017</Words>
  <Characters>22901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Zennaro;Pablo John</dc:creator>
  <cp:lastModifiedBy>Kiara Zennaro</cp:lastModifiedBy>
  <cp:revision>9</cp:revision>
  <dcterms:created xsi:type="dcterms:W3CDTF">2021-10-05T09:31:00Z</dcterms:created>
  <dcterms:modified xsi:type="dcterms:W3CDTF">2021-10-05T10:27:00Z</dcterms:modified>
</cp:coreProperties>
</file>