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sz w:val="20"/>
          <w:szCs w:val="20"/>
        </w:rPr>
      </w:pPr>
      <w:r w:rsidDel="00000000" w:rsidR="00000000" w:rsidRPr="00000000">
        <w:rPr>
          <w:b w:val="1"/>
          <w:sz w:val="20"/>
          <w:szCs w:val="20"/>
          <w:rtl w:val="0"/>
        </w:rPr>
        <w:t xml:space="preserve">Lord Callanan</w:t>
      </w:r>
    </w:p>
    <w:p w:rsidR="00000000" w:rsidDel="00000000" w:rsidP="00000000" w:rsidRDefault="00000000" w:rsidRPr="00000000" w14:paraId="00000002">
      <w:pPr>
        <w:spacing w:after="0" w:line="240" w:lineRule="auto"/>
        <w:rPr>
          <w:sz w:val="20"/>
          <w:szCs w:val="20"/>
        </w:rPr>
      </w:pPr>
      <w:r w:rsidDel="00000000" w:rsidR="00000000" w:rsidRPr="00000000">
        <w:rPr>
          <w:sz w:val="20"/>
          <w:szCs w:val="20"/>
          <w:rtl w:val="0"/>
        </w:rPr>
        <w:t xml:space="preserve">Department for Business, Energy and Industrial Strategy</w:t>
      </w:r>
    </w:p>
    <w:p w:rsidR="00000000" w:rsidDel="00000000" w:rsidP="00000000" w:rsidRDefault="00000000" w:rsidRPr="00000000" w14:paraId="00000003">
      <w:pPr>
        <w:spacing w:after="0" w:line="240" w:lineRule="auto"/>
        <w:rPr>
          <w:sz w:val="20"/>
          <w:szCs w:val="20"/>
        </w:rPr>
      </w:pPr>
      <w:r w:rsidDel="00000000" w:rsidR="00000000" w:rsidRPr="00000000">
        <w:rPr>
          <w:sz w:val="20"/>
          <w:szCs w:val="20"/>
          <w:rtl w:val="0"/>
        </w:rPr>
        <w:t xml:space="preserve">London</w:t>
      </w:r>
    </w:p>
    <w:p w:rsidR="00000000" w:rsidDel="00000000" w:rsidP="00000000" w:rsidRDefault="00000000" w:rsidRPr="00000000" w14:paraId="00000004">
      <w:pPr>
        <w:spacing w:after="0" w:line="240" w:lineRule="auto"/>
        <w:rPr>
          <w:b w:val="1"/>
          <w:sz w:val="20"/>
          <w:szCs w:val="20"/>
        </w:rPr>
      </w:pPr>
      <w:r w:rsidDel="00000000" w:rsidR="00000000" w:rsidRPr="00000000">
        <w:rPr>
          <w:sz w:val="20"/>
          <w:szCs w:val="20"/>
          <w:rtl w:val="0"/>
        </w:rPr>
        <w:t xml:space="preserve">SW1H 0ET</w:t>
      </w:r>
      <w:r w:rsidDel="00000000" w:rsidR="00000000" w:rsidRPr="00000000">
        <w:rPr>
          <w:rtl w:val="0"/>
        </w:rPr>
      </w:r>
    </w:p>
    <w:p w:rsidR="00000000" w:rsidDel="00000000" w:rsidP="00000000" w:rsidRDefault="00000000" w:rsidRPr="00000000" w14:paraId="00000005">
      <w:pPr>
        <w:jc w:val="right"/>
        <w:rPr>
          <w:sz w:val="20"/>
          <w:szCs w:val="20"/>
        </w:rPr>
      </w:pPr>
      <w:r w:rsidDel="00000000" w:rsidR="00000000" w:rsidRPr="00000000">
        <w:rPr>
          <w:sz w:val="20"/>
          <w:szCs w:val="20"/>
          <w:rtl w:val="0"/>
        </w:rPr>
        <w:tab/>
        <w:tab/>
        <w:tab/>
        <w:tab/>
        <w:tab/>
        <w:tab/>
        <w:tab/>
        <w:tab/>
        <w:tab/>
        <w:tab/>
        <w:t xml:space="preserve">23 May 2022</w:t>
      </w:r>
    </w:p>
    <w:p w:rsidR="00000000" w:rsidDel="00000000" w:rsidP="00000000" w:rsidRDefault="00000000" w:rsidRPr="00000000" w14:paraId="00000006">
      <w:pPr>
        <w:rPr>
          <w:b w:val="1"/>
          <w:sz w:val="20"/>
          <w:szCs w:val="20"/>
        </w:rPr>
      </w:pPr>
      <w:r w:rsidDel="00000000" w:rsidR="00000000" w:rsidRPr="00000000">
        <w:rPr>
          <w:sz w:val="20"/>
          <w:szCs w:val="20"/>
          <w:rtl w:val="0"/>
        </w:rPr>
        <w:t xml:space="preserve">Dear Lord Callanan</w:t>
      </w:r>
      <w:r w:rsidDel="00000000" w:rsidR="00000000" w:rsidRPr="00000000">
        <w:rPr>
          <w:rtl w:val="0"/>
        </w:rPr>
      </w:r>
    </w:p>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Market Based Mechanism Consultation Response</w:t>
      </w:r>
    </w:p>
    <w:p w:rsidR="00000000" w:rsidDel="00000000" w:rsidP="00000000" w:rsidRDefault="00000000" w:rsidRPr="00000000" w14:paraId="00000008">
      <w:pPr>
        <w:spacing w:after="0" w:line="240" w:lineRule="auto"/>
        <w:jc w:val="both"/>
        <w:rPr>
          <w:sz w:val="20"/>
          <w:szCs w:val="20"/>
        </w:rPr>
      </w:pPr>
      <w:r w:rsidDel="00000000" w:rsidR="00000000" w:rsidRPr="00000000">
        <w:rPr>
          <w:sz w:val="20"/>
          <w:szCs w:val="20"/>
          <w:rtl w:val="0"/>
        </w:rPr>
        <w:t xml:space="preserve">I am writing to you from the Association for Renewable Energy and Clean Technology (REA), following the Government’s response to its consultation on a Market Based Mechanism for Low Carbon Heat. We welcome strong action on the UK’s fossil heating industry, who are responsible for much of the UK’s overall emissions. However, we do have a number of concerns that we would like to discuss with you.</w:t>
      </w:r>
    </w:p>
    <w:p w:rsidR="00000000" w:rsidDel="00000000" w:rsidP="00000000" w:rsidRDefault="00000000" w:rsidRPr="00000000" w14:paraId="0000000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A">
      <w:pPr>
        <w:spacing w:after="0" w:line="240" w:lineRule="auto"/>
        <w:jc w:val="both"/>
        <w:rPr>
          <w:sz w:val="20"/>
          <w:szCs w:val="20"/>
        </w:rPr>
      </w:pPr>
      <w:r w:rsidDel="00000000" w:rsidR="00000000" w:rsidRPr="00000000">
        <w:rPr>
          <w:sz w:val="20"/>
          <w:szCs w:val="20"/>
          <w:rtl w:val="0"/>
        </w:rPr>
        <w:t xml:space="preserve">Firstly, we are disappointed the mechanism will only be used to support heat pumps, excluding a great deal of alternative decarbonisation technologies. Delta-EE research has shown that around 20% of off-grid UK buildings are not suitable for heat pumps</w:t>
      </w:r>
      <w:r w:rsidDel="00000000" w:rsidR="00000000" w:rsidRPr="00000000">
        <w:rPr>
          <w:sz w:val="20"/>
          <w:szCs w:val="20"/>
          <w:vertAlign w:val="superscript"/>
        </w:rPr>
        <w:footnoteReference w:customMarkFollows="0" w:id="0"/>
      </w:r>
      <w:r w:rsidDel="00000000" w:rsidR="00000000" w:rsidRPr="00000000">
        <w:rPr>
          <w:sz w:val="20"/>
          <w:szCs w:val="20"/>
          <w:rtl w:val="0"/>
        </w:rPr>
        <w:t xml:space="preserve"> and alternative low-carbon technologies, such as biomass heat, would be most suitable for these properties. There is no silver bullet to heat decarbonisation, and by only supporting one form of renewable heating technology the government is harming consumers in rural and off-grid areas - people who will be most affected by the planned phase outs of fossil fuel heating. We strongly urge the government to reconsider and open the scope of the mechanism up to alternative low carbon fuels.</w:t>
      </w:r>
    </w:p>
    <w:p w:rsidR="00000000" w:rsidDel="00000000" w:rsidP="00000000" w:rsidRDefault="00000000" w:rsidRPr="00000000" w14:paraId="0000000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sz w:val="20"/>
          <w:szCs w:val="20"/>
        </w:rPr>
      </w:pPr>
      <w:r w:rsidDel="00000000" w:rsidR="00000000" w:rsidRPr="00000000">
        <w:rPr>
          <w:sz w:val="20"/>
          <w:szCs w:val="20"/>
          <w:rtl w:val="0"/>
        </w:rPr>
        <w:t xml:space="preserve">Secondly, we are concerned the mechanism is focused on the number of installations, rather than heat produced or emissions abated. Furthermore the mechanism does not have provision for the improvement of energy efficiency in UK buildings. In its current state this mechanism may lead to a great deal of the cheapest possible heat pumps being installed in properties without the energy efficiency measures to make them truly effective. We would urge the government to urgently deliver funding for energy efficiency, and to rebalance the mechanism's focus to be on carbon abated.</w:t>
      </w:r>
    </w:p>
    <w:p w:rsidR="00000000" w:rsidDel="00000000" w:rsidP="00000000" w:rsidRDefault="00000000" w:rsidRPr="00000000" w14:paraId="0000000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sz w:val="20"/>
          <w:szCs w:val="20"/>
        </w:rPr>
      </w:pPr>
      <w:r w:rsidDel="00000000" w:rsidR="00000000" w:rsidRPr="00000000">
        <w:rPr>
          <w:sz w:val="20"/>
          <w:szCs w:val="20"/>
          <w:rtl w:val="0"/>
        </w:rPr>
        <w:t xml:space="preserve">We hope we can work together to address the issues the mechanism faces and support a strong, diverse renewable heating sector. I look forward to meeting with you. </w:t>
      </w:r>
    </w:p>
    <w:p w:rsidR="00000000" w:rsidDel="00000000" w:rsidP="00000000" w:rsidRDefault="00000000" w:rsidRPr="00000000" w14:paraId="0000000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Yours sincerely,</w:t>
      </w:r>
    </w:p>
    <w:p w:rsidR="00000000" w:rsidDel="00000000" w:rsidP="00000000" w:rsidRDefault="00000000" w:rsidRPr="00000000" w14:paraId="00000011">
      <w:pPr>
        <w:spacing w:after="0" w:line="240" w:lineRule="auto"/>
        <w:rPr>
          <w:b w:val="1"/>
          <w:sz w:val="20"/>
          <w:szCs w:val="20"/>
        </w:rPr>
      </w:pPr>
      <w:r w:rsidDel="00000000" w:rsidR="00000000" w:rsidRPr="00000000">
        <w:rPr>
          <w:b w:val="1"/>
          <w:sz w:val="20"/>
          <w:szCs w:val="20"/>
          <w:rtl w:val="0"/>
        </w:rPr>
        <w:t xml:space="preserve">Dr Nina Skorupska CBE FEI, </w:t>
      </w:r>
    </w:p>
    <w:p w:rsidR="00000000" w:rsidDel="00000000" w:rsidP="00000000" w:rsidRDefault="00000000" w:rsidRPr="00000000" w14:paraId="00000012">
      <w:pPr>
        <w:spacing w:after="0" w:line="240" w:lineRule="auto"/>
        <w:rPr>
          <w:b w:val="1"/>
          <w:sz w:val="20"/>
          <w:szCs w:val="20"/>
        </w:rPr>
      </w:pPr>
      <w:r w:rsidDel="00000000" w:rsidR="00000000" w:rsidRPr="00000000">
        <w:rPr>
          <w:rtl w:val="0"/>
        </w:rPr>
      </w:r>
    </w:p>
    <w:p w:rsidR="00000000" w:rsidDel="00000000" w:rsidP="00000000" w:rsidRDefault="00000000" w:rsidRPr="00000000" w14:paraId="00000013">
      <w:pPr>
        <w:spacing w:after="0" w:line="240" w:lineRule="auto"/>
        <w:rPr>
          <w:sz w:val="20"/>
          <w:szCs w:val="20"/>
        </w:rPr>
      </w:pPr>
      <w:r w:rsidDel="00000000" w:rsidR="00000000" w:rsidRPr="00000000">
        <w:rPr>
          <w:b w:val="1"/>
          <w:sz w:val="20"/>
          <w:szCs w:val="20"/>
          <w:rtl w:val="0"/>
        </w:rPr>
        <w:t xml:space="preserve">Chief Executive, REA</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284" w:left="1440" w:right="1440" w:header="290" w:footer="3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Pr>
      <mc:AlternateContent>
        <mc:Choice Requires="wpg">
          <w:drawing>
            <wp:inline distB="0" distT="0" distL="0" distR="0">
              <wp:extent cx="6060440" cy="15875"/>
              <wp:effectExtent b="0" l="0" r="0" t="0"/>
              <wp:docPr id="1" name=""/>
              <a:graphic>
                <a:graphicData uri="http://schemas.microsoft.com/office/word/2010/wordprocessingGroup">
                  <wpg:wgp>
                    <wpg:cNvGrpSpPr/>
                    <wpg:grpSpPr>
                      <a:xfrm>
                        <a:off x="2315780" y="3772063"/>
                        <a:ext cx="6060440" cy="15875"/>
                        <a:chOff x="2315780" y="3772063"/>
                        <a:chExt cx="6060440" cy="15875"/>
                      </a:xfrm>
                    </wpg:grpSpPr>
                    <wpg:grpSp>
                      <wpg:cNvGrpSpPr/>
                      <wpg:grpSpPr>
                        <a:xfrm>
                          <a:off x="2315780" y="3772063"/>
                          <a:ext cx="6060440" cy="15875"/>
                          <a:chOff x="2315780" y="3772063"/>
                          <a:chExt cx="6060440" cy="15875"/>
                        </a:xfrm>
                      </wpg:grpSpPr>
                      <wps:wsp>
                        <wps:cNvSpPr/>
                        <wps:cNvPr id="3" name="Shape 3"/>
                        <wps:spPr>
                          <a:xfrm>
                            <a:off x="2315780" y="3772063"/>
                            <a:ext cx="6060425" cy="1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5780" y="3772063"/>
                            <a:ext cx="6060440" cy="15875"/>
                            <a:chOff x="2315780" y="3772063"/>
                            <a:chExt cx="6060440" cy="15875"/>
                          </a:xfrm>
                        </wpg:grpSpPr>
                        <wps:wsp>
                          <wps:cNvSpPr/>
                          <wps:cNvPr id="5" name="Shape 5"/>
                          <wps:spPr>
                            <a:xfrm>
                              <a:off x="2315780" y="3772063"/>
                              <a:ext cx="6060425" cy="1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5780" y="3772063"/>
                              <a:ext cx="6060440" cy="15875"/>
                              <a:chOff x="2315780" y="3772063"/>
                              <a:chExt cx="6060440" cy="15875"/>
                            </a:xfrm>
                          </wpg:grpSpPr>
                          <wps:wsp>
                            <wps:cNvSpPr/>
                            <wps:cNvPr id="7" name="Shape 7"/>
                            <wps:spPr>
                              <a:xfrm>
                                <a:off x="2315780" y="3772063"/>
                                <a:ext cx="6060425" cy="1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5780" y="3772063"/>
                                <a:ext cx="6060440" cy="15875"/>
                                <a:chOff x="2315780" y="3772063"/>
                                <a:chExt cx="6060440" cy="15875"/>
                              </a:xfrm>
                            </wpg:grpSpPr>
                            <wps:wsp>
                              <wps:cNvSpPr/>
                              <wps:cNvPr id="9" name="Shape 9"/>
                              <wps:spPr>
                                <a:xfrm>
                                  <a:off x="2315780" y="3772063"/>
                                  <a:ext cx="6060425" cy="1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5780" y="3772063"/>
                                  <a:ext cx="6060440" cy="15875"/>
                                  <a:chOff x="2315780" y="3772063"/>
                                  <a:chExt cx="6060440" cy="15875"/>
                                </a:xfrm>
                              </wpg:grpSpPr>
                              <wps:wsp>
                                <wps:cNvSpPr/>
                                <wps:cNvPr id="11" name="Shape 11"/>
                                <wps:spPr>
                                  <a:xfrm>
                                    <a:off x="2315780" y="3772063"/>
                                    <a:ext cx="6060425" cy="1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5780" y="3772063"/>
                                    <a:ext cx="6060440" cy="15875"/>
                                    <a:chOff x="2315780" y="3772063"/>
                                    <a:chExt cx="6060440" cy="15875"/>
                                  </a:xfrm>
                                </wpg:grpSpPr>
                                <wps:wsp>
                                  <wps:cNvSpPr/>
                                  <wps:cNvPr id="13" name="Shape 13"/>
                                  <wps:spPr>
                                    <a:xfrm>
                                      <a:off x="2315780" y="3772063"/>
                                      <a:ext cx="6060425" cy="1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5780" y="3772063"/>
                                      <a:ext cx="6060440" cy="15875"/>
                                      <a:chOff x="2315780" y="3772063"/>
                                      <a:chExt cx="6060440" cy="15875"/>
                                    </a:xfrm>
                                  </wpg:grpSpPr>
                                  <wps:wsp>
                                    <wps:cNvSpPr/>
                                    <wps:cNvPr id="15" name="Shape 15"/>
                                    <wps:spPr>
                                      <a:xfrm>
                                        <a:off x="2315780" y="3772063"/>
                                        <a:ext cx="6060425" cy="1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5780" y="3772063"/>
                                        <a:ext cx="6060440" cy="15875"/>
                                        <a:chOff x="2315780" y="3772063"/>
                                        <a:chExt cx="6060440" cy="15875"/>
                                      </a:xfrm>
                                    </wpg:grpSpPr>
                                    <wps:wsp>
                                      <wps:cNvSpPr/>
                                      <wps:cNvPr id="17" name="Shape 17"/>
                                      <wps:spPr>
                                        <a:xfrm>
                                          <a:off x="2315780" y="3772063"/>
                                          <a:ext cx="6060425" cy="1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5780" y="3772063"/>
                                          <a:ext cx="6060440" cy="15875"/>
                                          <a:chOff x="2315780" y="3772063"/>
                                          <a:chExt cx="6060440" cy="15875"/>
                                        </a:xfrm>
                                      </wpg:grpSpPr>
                                      <wps:wsp>
                                        <wps:cNvSpPr/>
                                        <wps:cNvPr id="19" name="Shape 19"/>
                                        <wps:spPr>
                                          <a:xfrm>
                                            <a:off x="2315780" y="3772063"/>
                                            <a:ext cx="6060425" cy="1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5780" y="3772063"/>
                                            <a:ext cx="6060440" cy="15875"/>
                                            <a:chOff x="0" y="0"/>
                                            <a:chExt cx="9544" cy="25"/>
                                          </a:xfrm>
                                        </wpg:grpSpPr>
                                        <wps:wsp>
                                          <wps:cNvSpPr/>
                                          <wps:cNvPr id="21" name="Shape 21"/>
                                          <wps:spPr>
                                            <a:xfrm>
                                              <a:off x="0" y="0"/>
                                              <a:ext cx="952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12"/>
                                              <a:ext cx="9544" cy="0"/>
                                            </a:xfrm>
                                            <a:prstGeom prst="straightConnector1">
                                              <a:avLst/>
                                            </a:prstGeom>
                                            <a:noFill/>
                                            <a:ln cap="flat" cmpd="sng" w="15650">
                                              <a:solidFill>
                                                <a:srgbClr val="41906D"/>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grpSp>
                    </wpg:grpSp>
                  </wpg:wgp>
                </a:graphicData>
              </a:graphic>
            </wp:inline>
          </w:drawing>
        </mc:Choice>
        <mc:Fallback>
          <w:drawing>
            <wp:inline distB="0" distT="0" distL="0" distR="0">
              <wp:extent cx="6060440" cy="15875"/>
              <wp:effectExtent b="0" l="0" r="0" t="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60440"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jc w:val="center"/>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THE ASSOCIATION FOR RENEWABLE ENERGY AND CLEAN TECHNOLOGY</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jc w:val="center"/>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Brettenham House, 2-19 Lancaster Place, London, WC2E 7EN</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jc w:val="center"/>
      <w:rPr>
        <w:rFonts w:ascii="Poppins Light" w:cs="Poppins Light" w:eastAsia="Poppins Light" w:hAnsi="Poppins Light"/>
        <w:color w:val="06926b"/>
        <w:sz w:val="18"/>
        <w:szCs w:val="18"/>
      </w:rPr>
    </w:pPr>
    <w:r w:rsidDel="00000000" w:rsidR="00000000" w:rsidRPr="00000000">
      <w:rPr>
        <w:rFonts w:ascii="Poppins" w:cs="Poppins" w:eastAsia="Poppins" w:hAnsi="Poppins"/>
        <w:color w:val="06926b"/>
        <w:sz w:val="18"/>
        <w:szCs w:val="18"/>
        <w:rtl w:val="0"/>
      </w:rPr>
      <w:t xml:space="preserve">Tel: </w:t>
    </w:r>
    <w:r w:rsidDel="00000000" w:rsidR="00000000" w:rsidRPr="00000000">
      <w:rPr>
        <w:rFonts w:ascii="Poppins Light" w:cs="Poppins Light" w:eastAsia="Poppins Light" w:hAnsi="Poppins Light"/>
        <w:color w:val="06926b"/>
        <w:sz w:val="18"/>
        <w:szCs w:val="18"/>
        <w:rtl w:val="0"/>
      </w:rPr>
      <w:t xml:space="preserve">+44 (0)20 7925 3570 </w:t>
    </w:r>
    <w:r w:rsidDel="00000000" w:rsidR="00000000" w:rsidRPr="00000000">
      <w:rPr>
        <w:rFonts w:ascii="Poppins" w:cs="Poppins" w:eastAsia="Poppins" w:hAnsi="Poppins"/>
        <w:color w:val="06926b"/>
        <w:sz w:val="18"/>
        <w:szCs w:val="18"/>
        <w:rtl w:val="0"/>
      </w:rPr>
      <w:t xml:space="preserve">Email: </w:t>
    </w:r>
    <w:hyperlink r:id="rId2">
      <w:r w:rsidDel="00000000" w:rsidR="00000000" w:rsidRPr="00000000">
        <w:rPr>
          <w:rFonts w:ascii="Poppins Light" w:cs="Poppins Light" w:eastAsia="Poppins Light" w:hAnsi="Poppins Light"/>
          <w:color w:val="06926b"/>
          <w:sz w:val="18"/>
          <w:szCs w:val="18"/>
          <w:rtl w:val="0"/>
        </w:rPr>
        <w:t xml:space="preserve">info@r-e-a.net</w:t>
      </w:r>
    </w:hyperlink>
    <w:r w:rsidDel="00000000" w:rsidR="00000000" w:rsidRPr="00000000">
      <w:rPr>
        <w:rFonts w:ascii="Poppins Light" w:cs="Poppins Light" w:eastAsia="Poppins Light" w:hAnsi="Poppins Light"/>
        <w:color w:val="06926b"/>
        <w:sz w:val="18"/>
        <w:szCs w:val="18"/>
        <w:rtl w:val="0"/>
      </w:rPr>
      <w:t xml:space="preserve"> </w:t>
    </w:r>
    <w:r w:rsidDel="00000000" w:rsidR="00000000" w:rsidRPr="00000000">
      <w:rPr>
        <w:rFonts w:ascii="Poppins" w:cs="Poppins" w:eastAsia="Poppins" w:hAnsi="Poppins"/>
        <w:color w:val="06926b"/>
        <w:sz w:val="18"/>
        <w:szCs w:val="18"/>
        <w:rtl w:val="0"/>
      </w:rPr>
      <w:t xml:space="preserve">Web: </w:t>
    </w:r>
    <w:hyperlink r:id="rId3">
      <w:r w:rsidDel="00000000" w:rsidR="00000000" w:rsidRPr="00000000">
        <w:rPr>
          <w:rFonts w:ascii="Poppins Light" w:cs="Poppins Light" w:eastAsia="Poppins Light" w:hAnsi="Poppins Light"/>
          <w:color w:val="06926b"/>
          <w:sz w:val="18"/>
          <w:szCs w:val="18"/>
          <w:rtl w:val="0"/>
        </w:rPr>
        <w:t xml:space="preserve">www.r-e-a.net</w:t>
      </w:r>
    </w:hyperlink>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jc w:val="center"/>
      <w:rPr>
        <w:rFonts w:ascii="Poppins Light" w:cs="Poppins Light" w:eastAsia="Poppins Light" w:hAnsi="Poppins Light"/>
        <w:color w:val="000000"/>
        <w:sz w:val="20"/>
        <w:szCs w:val="20"/>
      </w:rPr>
    </w:pPr>
    <w:r w:rsidDel="00000000" w:rsidR="00000000" w:rsidRPr="00000000">
      <w:rPr>
        <w:rFonts w:ascii="Poppins Light" w:cs="Poppins Light" w:eastAsia="Poppins Light" w:hAnsi="Poppins Light"/>
        <w:color w:val="000000"/>
        <w:sz w:val="20"/>
        <w:szCs w:val="20"/>
        <w:rtl w:val="0"/>
      </w:rPr>
      <w:t xml:space="preserve">Company no: 04241430 Registered in England and Wales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513"/>
        <w:tab w:val="right" w:pos="9026"/>
      </w:tabs>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b w:val="1"/>
        <w:color w:val="000000"/>
        <w:rtl w:val="0"/>
      </w:rPr>
      <w:t xml:space="preserve"> | </w:t>
    </w:r>
    <w:r w:rsidDel="00000000" w:rsidR="00000000" w:rsidRPr="00000000">
      <w:rPr>
        <w:color w:val="7f7f7f"/>
        <w:rtl w:val="0"/>
      </w:rPr>
      <w:t xml:space="preserve">Page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D">
      <w:pPr>
        <w:spacing w:after="0" w:line="240" w:lineRule="auto"/>
        <w:rPr>
          <w:sz w:val="10"/>
          <w:szCs w:val="1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0"/>
          <w:szCs w:val="10"/>
          <w:rtl w:val="0"/>
        </w:rPr>
        <w:t xml:space="preserve">Delta-EE (2018) Technical Feasibility of Electric Heating in Rural Off-Gas Grid Dwellings, assets.publishing.service.gov.uk/government/uploads/system/uploads/attachment_data/file/762596/Technical_Feasibility_of_Electric_Heating_in_Rural_Off-Gas_Grid_Dwellings.pdf . Note 20% of 1.3 million off-gas grid domestic  properties is 260,000 properties.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pos="4513"/>
        <w:tab w:val="right" w:pos="9026"/>
      </w:tabs>
      <w:jc w:val="right"/>
      <w:rPr>
        <w:color w:val="000000"/>
      </w:rPr>
    </w:pPr>
    <w:r w:rsidDel="00000000" w:rsidR="00000000" w:rsidRPr="00000000">
      <w:rPr>
        <w:color w:val="000000"/>
      </w:rPr>
      <w:drawing>
        <wp:inline distB="0" distT="0" distL="0" distR="0">
          <wp:extent cx="1706840" cy="7072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6840" cy="7072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pos="4513"/>
        <w:tab w:val="right" w:pos="9026"/>
      </w:tabs>
      <w:jc w:val="right"/>
      <w:rPr>
        <w:color w:val="000000"/>
      </w:rPr>
    </w:pPr>
    <w:r w:rsidDel="00000000" w:rsidR="00000000" w:rsidRPr="00000000">
      <w:rPr>
        <w:color w:val="000000"/>
      </w:rPr>
      <w:drawing>
        <wp:inline distB="0" distT="0" distL="0" distR="0">
          <wp:extent cx="1706840" cy="707202"/>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6840" cy="70720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GB"/>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color w:val="06926b"/>
      <w:sz w:val="32"/>
      <w:szCs w:val="32"/>
    </w:rPr>
  </w:style>
  <w:style w:type="paragraph" w:styleId="Heading2">
    <w:name w:val="heading 2"/>
    <w:basedOn w:val="Normal"/>
    <w:next w:val="Normal"/>
    <w:pPr/>
    <w:rPr>
      <w:b w:val="1"/>
    </w:rPr>
  </w:style>
  <w:style w:type="paragraph" w:styleId="Heading3">
    <w:name w:val="heading 3"/>
    <w:basedOn w:val="Normal"/>
    <w:next w:val="Normal"/>
    <w:pPr>
      <w:keepNext w:val="1"/>
      <w:keepLines w:val="1"/>
      <w:spacing w:after="0" w:before="40" w:lineRule="auto"/>
    </w:pPr>
    <w:rPr>
      <w:color w:val="4fc0ea"/>
      <w:sz w:val="24"/>
      <w:szCs w:val="24"/>
    </w:rPr>
  </w:style>
  <w:style w:type="paragraph" w:styleId="Heading4">
    <w:name w:val="heading 4"/>
    <w:basedOn w:val="Normal"/>
    <w:next w:val="Normal"/>
    <w:pPr>
      <w:keepNext w:val="1"/>
      <w:keepLines w:val="1"/>
      <w:spacing w:after="0" w:before="40" w:lineRule="auto"/>
    </w:pPr>
    <w:rPr>
      <w:i w:val="1"/>
    </w:rPr>
  </w:style>
  <w:style w:type="paragraph" w:styleId="Heading5">
    <w:name w:val="heading 5"/>
    <w:basedOn w:val="Normal"/>
    <w:next w:val="Normal"/>
    <w:pPr>
      <w:keepNext w:val="1"/>
      <w:keepLines w:val="1"/>
      <w:spacing w:after="0" w:before="40" w:lineRule="auto"/>
    </w:pPr>
    <w:rPr/>
  </w:style>
  <w:style w:type="paragraph" w:styleId="Heading6">
    <w:name w:val="heading 6"/>
    <w:basedOn w:val="Normal"/>
    <w:next w:val="Normal"/>
    <w:pPr>
      <w:keepNext w:val="1"/>
      <w:keepLines w:val="1"/>
      <w:spacing w:after="0" w:before="40" w:lineRule="auto"/>
    </w:pPr>
    <w:rPr>
      <w:color w:val="243f61"/>
    </w:rPr>
  </w:style>
  <w:style w:type="paragraph" w:styleId="Title">
    <w:name w:val="Title"/>
    <w:basedOn w:val="Normal"/>
    <w:next w:val="Normal"/>
    <w:pPr>
      <w:keepNext w:val="1"/>
      <w:keepLines w:val="1"/>
      <w:spacing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info@r-e-a.net" TargetMode="External"/><Relationship Id="rId3" Type="http://schemas.openxmlformats.org/officeDocument/2006/relationships/hyperlink" Target="http://www.r-e-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DayAccessed>25</b:DayAccessed>
    <b:SourceType>DocumentFromInternetSite</b:SourceType>
    <b:URL>http://delta-ee.com/blog/addressing-the-rural-challenge-electrifying-off-gas-grid-heating/</b:URL>
    <b:Title>Addressing the rural challenge - electrifying off-gas grid heating</b:Title>
    <b:InternetSiteTitle>Delta-EE</b:InternetSiteTitle>
    <b:MonthAccessed>May</b:MonthAccessed>
    <b:YearAccessed>2022</b:YearAccessed>
    <b:Gdcea>{"AccessedType":"Website"}</b:Gdcea>
    <b:Author>
      <b:Author>
        <b:NameList>
          <b:Person>
            <b:First>Matthew</b:First>
            <b:Last>Myers</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