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2"/>
          <w:szCs w:val="32"/>
        </w:rPr>
      </w:pPr>
      <w:r w:rsidDel="00000000" w:rsidR="00000000" w:rsidRPr="00000000">
        <w:rPr>
          <w:rFonts w:ascii="Open Sans" w:cs="Open Sans" w:eastAsia="Open Sans" w:hAnsi="Open Sans"/>
          <w:b w:val="1"/>
          <w:color w:val="06926b"/>
          <w:sz w:val="32"/>
          <w:szCs w:val="32"/>
          <w:highlight w:val="yellow"/>
          <w:rtl w:val="0"/>
        </w:rPr>
        <w:t xml:space="preserve">DRAFT</w:t>
      </w:r>
      <w:r w:rsidDel="00000000" w:rsidR="00000000" w:rsidRPr="00000000">
        <w:rPr>
          <w:rtl w:val="0"/>
        </w:rPr>
      </w:r>
    </w:p>
    <w:p w:rsidR="00000000" w:rsidDel="00000000" w:rsidP="00000000" w:rsidRDefault="00000000" w:rsidRPr="00000000" w14:paraId="00000002">
      <w:pPr>
        <w:spacing w:after="120" w:before="120" w:line="240" w:lineRule="auto"/>
        <w:jc w:val="center"/>
        <w:rPr>
          <w:rFonts w:ascii="Open Sans" w:cs="Open Sans" w:eastAsia="Open Sans" w:hAnsi="Open Sans"/>
          <w:color w:val="434343"/>
          <w:sz w:val="32"/>
          <w:szCs w:val="32"/>
        </w:rPr>
      </w:pPr>
      <w:r w:rsidDel="00000000" w:rsidR="00000000" w:rsidRPr="00000000">
        <w:rPr>
          <w:rFonts w:ascii="Open Sans" w:cs="Open Sans" w:eastAsia="Open Sans" w:hAnsi="Open Sans"/>
          <w:b w:val="1"/>
          <w:color w:val="06926b"/>
          <w:sz w:val="32"/>
          <w:szCs w:val="32"/>
          <w:rtl w:val="0"/>
        </w:rPr>
        <w:t xml:space="preserve">REA Response to Ofgem Green Gas Support Scheme draft guidance</w:t>
      </w:r>
      <w:r w:rsidDel="00000000" w:rsidR="00000000" w:rsidRPr="00000000">
        <w:rPr>
          <w:rtl w:val="0"/>
        </w:rPr>
      </w:r>
    </w:p>
    <w:p w:rsidR="00000000" w:rsidDel="00000000" w:rsidP="00000000" w:rsidRDefault="00000000" w:rsidRPr="00000000" w14:paraId="00000003">
      <w:pPr>
        <w:spacing w:after="120" w:before="120" w:line="240" w:lineRule="auto"/>
        <w:rPr>
          <w:rFonts w:ascii="Open Sans" w:cs="Open Sans" w:eastAsia="Open Sans" w:hAnsi="Open Sans"/>
        </w:rPr>
      </w:pPr>
      <w:r w:rsidDel="00000000" w:rsidR="00000000" w:rsidRPr="00000000">
        <w:rPr>
          <w:rFonts w:ascii="Open Sans" w:cs="Open Sans" w:eastAsia="Open Sans" w:hAnsi="Open Sans"/>
          <w:color w:val="434343"/>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pos="142"/>
        </w:tabs>
        <w:spacing w:after="120" w:before="120" w:line="240" w:lineRule="auto"/>
        <w:rPr>
          <w:rFonts w:ascii="Open Sans" w:cs="Open Sans" w:eastAsia="Open Sans" w:hAnsi="Open Sans"/>
          <w:b w:val="1"/>
          <w:color w:val="2f5496"/>
          <w:u w:val="single"/>
        </w:rPr>
      </w:pPr>
      <w:r w:rsidDel="00000000" w:rsidR="00000000" w:rsidRPr="00000000">
        <w:rPr>
          <w:rtl w:val="0"/>
        </w:rPr>
      </w:r>
    </w:p>
    <w:p w:rsidR="00000000" w:rsidDel="00000000" w:rsidP="00000000" w:rsidRDefault="00000000" w:rsidRPr="00000000" w14:paraId="00000005">
      <w:pPr>
        <w:numPr>
          <w:ilvl w:val="0"/>
          <w:numId w:val="5"/>
        </w:numPr>
        <w:tabs>
          <w:tab w:val="left" w:pos="142"/>
        </w:tabs>
        <w:spacing w:after="120" w:before="120" w:line="240" w:lineRule="auto"/>
        <w:ind w:left="284" w:hanging="284"/>
        <w:rPr>
          <w:rFonts w:ascii="Open Sans" w:cs="Open Sans" w:eastAsia="Open Sans" w:hAnsi="Open Sans"/>
        </w:rPr>
      </w:pPr>
      <w:r w:rsidDel="00000000" w:rsidR="00000000" w:rsidRPr="00000000">
        <w:rPr>
          <w:rFonts w:ascii="Open Sans" w:cs="Open Sans" w:eastAsia="Open Sans" w:hAnsi="Open Sans"/>
          <w:b w:val="1"/>
          <w:color w:val="2f5496"/>
          <w:rtl w:val="0"/>
        </w:rPr>
        <w:t xml:space="preserve">REA’s comments on the guidance document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Terminology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78"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The guidance document would benefit from a glossary / defined terms list at the beginning. For example, this would help with the term “periodic payments” which is used repeatedly early in the document but explained at the end of the document. </w:t>
      </w:r>
    </w:p>
    <w:p w:rsidR="00000000" w:rsidDel="00000000" w:rsidP="00000000" w:rsidRDefault="00000000" w:rsidRPr="00000000" w14:paraId="0000000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75"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In addition, members of the REA have pointed out that shorter, more wieldy terms are needed for: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equipment that comes under the definition of equipment used to produce biomethane; and </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75"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equipment that does not come under the definition of equipment used to produce biomethane.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This member suggested “GGSS equipment” and “non-GGSS equipment”, respectively.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Non-committal statements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Point 1.9 in the Draft GGSS Guidance, “</w:t>
      </w:r>
      <w:r w:rsidDel="00000000" w:rsidR="00000000" w:rsidRPr="00000000">
        <w:rPr>
          <w:rFonts w:ascii="Open Sans" w:cs="Open Sans" w:eastAsia="Open Sans" w:hAnsi="Open Sans"/>
          <w:b w:val="0"/>
          <w:i w:val="1"/>
          <w:smallCaps w:val="0"/>
          <w:strike w:val="0"/>
          <w:color w:val="000000"/>
          <w:sz w:val="22"/>
          <w:szCs w:val="22"/>
          <w:u w:val="none"/>
          <w:shd w:fill="auto" w:val="clear"/>
          <w:vertAlign w:val="baseline"/>
          <w:rtl w:val="0"/>
        </w:rPr>
        <w:t xml:space="preserve">This guidance does not anticipate every scenario that may arise…etc</w:t>
      </w: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 The lack of commitment implied by this statement is potentially damaging to investor confidence. We accept that there are potentially unlimited scenarios </w:t>
      </w:r>
      <w:r w:rsidDel="00000000" w:rsidR="00000000" w:rsidRPr="00000000">
        <w:rPr>
          <w:rFonts w:ascii="Open Sans" w:cs="Open Sans" w:eastAsia="Open Sans" w:hAnsi="Open Sans"/>
          <w:rtl w:val="0"/>
        </w:rPr>
        <w:t xml:space="preserve">but the</w:t>
      </w: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 guidanc</w:t>
      </w:r>
      <w:r w:rsidDel="00000000" w:rsidR="00000000" w:rsidRPr="00000000">
        <w:rPr>
          <w:rFonts w:ascii="Open Sans" w:cs="Open Sans" w:eastAsia="Open Sans" w:hAnsi="Open Sans"/>
          <w:rtl w:val="0"/>
        </w:rPr>
        <w:t xml:space="preserve">e could</w:t>
      </w: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 explore a range of foreseeable scenarios</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Feedstock sustainability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78"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Ofgem’s guidance provides high level guidance on feedstocks and sustainability but the language leaves considerable room for interpretation and given the short window for applications would benefit from more precise definitions.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78"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For example, in the case of feedstock, in Appendix 2 (points 1.1, 1.2, 1.3 and 1.4) tables provide guidance on when substances should be considered products, residues or wastes for the purposes of the GGSS sustainability criteria. It states that “it is not possible to lay down definitive or absolute rules for when particular materials will be considered waste, residues or products” and that “A judgement has to be made taking into account the circumstances of each case, and applying the legislation, case law principles and other relevant </w:t>
      </w:r>
      <w:r w:rsidDel="00000000" w:rsidR="00000000" w:rsidRPr="00000000">
        <w:rPr>
          <w:rFonts w:ascii="Open Sans" w:cs="Open Sans" w:eastAsia="Open Sans" w:hAnsi="Open Sans"/>
          <w:rtl w:val="0"/>
        </w:rPr>
        <w:t xml:space="preserve">indicators</w:t>
      </w: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This language would appear ambiguous to investors and would be perceived as a risk. To provide developers and investors greater certainty, particularly as feedstock availability could become an issue, would it be possible for Ofgem and BEIS to further define (along similar lines to RED II and DfT) the acceptable feedstock and sustainability criteria? Specifically, DfT’s recently published “List of feedstocks including wastes and residues: Year 2021” as well as the report “Renewable Transport Fuel Obligation Guidance Part Two Carbon and Sustainability 2021: 01/01/21 to 31/12/21” provides clearer guidance.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Expansions and pre-used equipment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Expansion of existing AD plants will be the fastest way to increase the amount of biomethane injected into the gas grid, which is the purpose of the GGSS. Existing plants will usually need to overcome fewer barriers to planning, permitting, feedstock supply and access to the gas grid.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77" w:before="0" w:line="240" w:lineRule="auto"/>
        <w:ind w:right="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It is clear from the draft guidance that equipment that does not come under the definition of equipment used to produce biomethane (“Non-GGSS equipment”) may be shared with an adjacent installation that is registered on the NDRHI scheme. a. Does this allowance also apply to other schemes such as ROCs and FiTs? </w:t>
      </w:r>
    </w:p>
    <w:p w:rsidR="00000000" w:rsidDel="00000000" w:rsidP="00000000" w:rsidRDefault="00000000" w:rsidRPr="00000000" w14:paraId="0000001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77"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Many would call this situation an expansion of an existing NDRHI plant and Ofgem may have caused some confusion by stating in its written response to queries that “</w:t>
      </w:r>
      <w:r w:rsidDel="00000000" w:rsidR="00000000" w:rsidRPr="00000000">
        <w:rPr>
          <w:rFonts w:ascii="Open Sans" w:cs="Open Sans" w:eastAsia="Open Sans" w:hAnsi="Open Sans"/>
          <w:b w:val="0"/>
          <w:i w:val="1"/>
          <w:smallCaps w:val="0"/>
          <w:strike w:val="0"/>
          <w:color w:val="000000"/>
          <w:sz w:val="22"/>
          <w:szCs w:val="22"/>
          <w:u w:val="none"/>
          <w:shd w:fill="auto" w:val="clear"/>
          <w:vertAlign w:val="baseline"/>
          <w:rtl w:val="0"/>
        </w:rPr>
        <w:t xml:space="preserve">Plant expansions are not permitted on the GGSS</w:t>
      </w: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To avoid any confusion, can the guidance please state explicitly that these situations are not excluded? </w:t>
      </w:r>
    </w:p>
    <w:p w:rsidR="00000000" w:rsidDel="00000000" w:rsidP="00000000" w:rsidRDefault="00000000" w:rsidRPr="00000000" w14:paraId="0000001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Equipment used to produce biomethane (Table 1)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77"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The Network Entry Facility (NEF) or Grid Entry unit (GEU) a. The NEF/GEU often has spare capacity, which presents a good opportunity to inject additional biomethane from a new GGSS facility, without commissioning a new gas grid connection, which can be time consuming. This appears to be recognised since the measurement equipment is categorised as non-GGSS equipment. </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The NEF/GEU usually incorporates, in a single package unit, propanation; odorization and measurement of the energy content and volume of gas entering the network. However, these components are split between the two sections of Table 1. This would cause practical difficulties and make it difficult for a single NEF/GEU to serve a GGSS plant and an adjacent non-GGSS plant. The odorising and propanation stages are not significant costs and should be removed from the GGSS equipment category. </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78"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Other components</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It would not be possible for a plant consisting of only the specified “GGSS equipment” plus the specified “non-GGSS equipment” to function. A plant also needs many components that are unspecified (i.e. they don’t appear in either section of Table 1). An unintended consequence could be that new GGSS plants are built adjacent to NDRHI plants, with unnecessary duplication of the unspecified components resulting in plants that are overcomplicated and inefficient.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It is helpful that the guidance spec</w:t>
      </w:r>
      <w:r w:rsidDel="00000000" w:rsidR="00000000" w:rsidRPr="00000000">
        <w:rPr>
          <w:rFonts w:ascii="Open Sans" w:cs="Open Sans" w:eastAsia="Open Sans" w:hAnsi="Open Sans"/>
          <w:rtl w:val="0"/>
        </w:rPr>
        <w:t xml:space="preserve">ifies</w:t>
      </w: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 some of the non-GGSS equipment. Can this be clarified so that it is only the GGSS equipment that is specified and it is clear that everything else is non-GGSS equipment that can be shared with an adjacent NDRHI facility or an adjacent ROC/FiT facility., whether itemised or not.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If providing examples of non-GGSS components, please consider including; i. Suspension buffer tanks (which would need to be defined, to differentiate from digesters); </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Digestate storage tanks (which would need to be defined, to differentiate from digesters); </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Process water or centrate tanks; </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Biogas conditioning (systems for removal of crude contamination, moisture and H2S (etc), not for removal of O2 and CO2); </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Biogas storage systems; </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Gas pipework; </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Instrumentation and control; </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Civil and structural elements; </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External works (e.g. site roads, external works, drainage etc); </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Access systems; and </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Biomethane pipeline.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Biogas handling system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Table 1 includes “Equipment required to convert raw biogas into biomethane suitable for injection”. The interpretation of “raw biogas” would affect whether the biogas handling and conditioning equipment is considered to be GGSS equipment. We understand raw biogas to be the gas at the outlet of the digestion vessels and before any treatment stages. Others could understand it to be the gas at the inlet to the upgrading equipment (equipment for CO2 and oxygen removal) and after initial treatments (biogas conditioning). </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If it is acceptable for a GGSS facility and a non-GGSS facility to share a common biogas handling system, then it would be possible for biogas to cross between the two facilities. If applicable, can Ofgem please indicate how this kind of situation would be managed?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Application process and plant modifications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78"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11. Section 8 of the guidance is not explicit about plant modifications but it implies that there will be zero tolerance for them, which would not appear to align with the scheme’s purpose and also appears to be a change of approach compared to the RHI. a. If after construction and commissioning a project can only source feedstock with a lower quality than was anticipated in the GGSS application can more infrastructure be added to allow the accredited biomethane production volume to be realised? </w:t>
      </w:r>
    </w:p>
    <w:p w:rsidR="00000000" w:rsidDel="00000000" w:rsidP="00000000" w:rsidRDefault="00000000" w:rsidRPr="00000000" w14:paraId="0000003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b. Equally, if stronger feedstocks become available and the apportioning tool indicates that the accredited output capacity can be achieved with fewer digesters, it would be acceptable for fewer digesters to be commissioned at stage 3</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spacing w:after="120" w:before="120" w:line="240" w:lineRule="auto"/>
        <w:rPr>
          <w:rFonts w:ascii="Open Sans" w:cs="Open Sans" w:eastAsia="Open Sans" w:hAnsi="Open Sans"/>
        </w:rPr>
      </w:pPr>
      <w:r w:rsidDel="00000000" w:rsidR="00000000" w:rsidRPr="00000000">
        <w:rPr>
          <w:rtl w:val="0"/>
        </w:rPr>
      </w:r>
    </w:p>
    <w:sectPr>
      <w:headerReference r:id="rId6" w:type="default"/>
      <w:headerReference r:id="rId7" w:type="first"/>
      <w:footerReference r:id="rId8"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Fonts w:ascii="Open Sans" w:cs="Open Sans" w:eastAsia="Open Sans" w:hAnsi="Open Sans"/>
        <w:rtl w:val="0"/>
      </w:rPr>
      <w:t xml:space="preserve">14/12/2021</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pos="4513"/>
        <w:tab w:val="right" w:pos="9026"/>
      </w:tabs>
      <w:spacing w:after="0" w:line="240" w:lineRule="auto"/>
      <w:rPr>
        <w:i w:val="1"/>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phasing out the installation of fossil fuel heating systems in homes off the gas grid</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pos="4513"/>
        <w:tab w:val="right" w:pos="9026"/>
      </w:tabs>
      <w:spacing w:after="0" w:line="240" w:lineRule="auto"/>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lowerLetter"/>
      <w:lvlText w:val=""/>
      <w:lvlJc w:val="left"/>
      <w:pPr>
        <w:ind w:left="0" w:firstLine="0"/>
      </w:pPr>
      <w:rPr/>
    </w:lvl>
    <w:lvl w:ilvl="2">
      <w:start w:val="1"/>
      <w:numFmt w:val="lowerRoman"/>
      <w:lvlText w:val="%1"/>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