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F41D5" w14:textId="51AE8B54" w:rsidR="00176036" w:rsidRPr="00071620" w:rsidRDefault="00071620" w:rsidP="00FA6E6F">
      <w:pPr>
        <w:spacing w:before="120" w:after="120" w:line="240" w:lineRule="auto"/>
        <w:jc w:val="center"/>
        <w:rPr>
          <w:rFonts w:ascii="Open Sans" w:eastAsia="Open Sans" w:hAnsi="Open Sans" w:cs="Open Sans"/>
          <w:color w:val="434343"/>
          <w:sz w:val="32"/>
          <w:szCs w:val="32"/>
        </w:rPr>
      </w:pPr>
      <w:r w:rsidRPr="00071620">
        <w:rPr>
          <w:rFonts w:ascii="Open Sans" w:eastAsia="Open Sans" w:hAnsi="Open Sans" w:cs="Open Sans"/>
          <w:b/>
          <w:color w:val="06926B"/>
          <w:sz w:val="32"/>
          <w:szCs w:val="32"/>
        </w:rPr>
        <w:t>REA Response</w:t>
      </w:r>
      <w:r w:rsidR="004D362B" w:rsidRPr="00071620">
        <w:rPr>
          <w:rFonts w:ascii="Open Sans" w:eastAsia="Open Sans" w:hAnsi="Open Sans" w:cs="Open Sans"/>
          <w:b/>
          <w:color w:val="06926B"/>
          <w:sz w:val="32"/>
          <w:szCs w:val="32"/>
        </w:rPr>
        <w:t xml:space="preserve"> to Ofgem Green Gas Support Scheme draft guidance</w:t>
      </w:r>
    </w:p>
    <w:p w14:paraId="6D8D5793" w14:textId="3ADBAF73" w:rsidR="00176036" w:rsidRPr="00F459A1" w:rsidRDefault="00071620" w:rsidP="00FA6E6F">
      <w:pPr>
        <w:spacing w:before="120" w:after="120" w:line="240" w:lineRule="auto"/>
        <w:rPr>
          <w:rFonts w:ascii="Open Sans" w:eastAsia="Open Sans" w:hAnsi="Open Sans" w:cs="Open Sans"/>
        </w:rPr>
      </w:pPr>
      <w:r w:rsidRPr="00F459A1">
        <w:rPr>
          <w:rFonts w:ascii="Open Sans" w:eastAsia="Open Sans" w:hAnsi="Open Sans" w:cs="Open Sans"/>
          <w:color w:val="434343"/>
        </w:rPr>
        <w:t>The Association for Renewable Energy &amp; Clean Technologies (REA) is pleased to submit this response to the above call for evidence. The REA represents industry stakeholders from across the whole heat sector and includes dedicated member forums focused on green gas, biomass heat, biomass power, renewable transport fuels and energy from waste (including advanced conversion technologies). Our members include generators, project developers, heat suppliers, investors, equipment producers and service providers. Members range in size from major multinationals to sole traders. There are over 500 corporate members of the REA, making it the largest renewable energy trade association in the UK</w:t>
      </w:r>
      <w:r w:rsidR="007C1520">
        <w:rPr>
          <w:rFonts w:ascii="Open Sans" w:eastAsia="Open Sans" w:hAnsi="Open Sans" w:cs="Open Sans"/>
          <w:color w:val="434343"/>
        </w:rPr>
        <w:t xml:space="preserve">. </w:t>
      </w:r>
    </w:p>
    <w:p w14:paraId="6265A261" w14:textId="77777777" w:rsidR="00176036" w:rsidRPr="00F459A1" w:rsidRDefault="00176036" w:rsidP="00FA6E6F">
      <w:pPr>
        <w:pBdr>
          <w:top w:val="nil"/>
          <w:left w:val="nil"/>
          <w:bottom w:val="nil"/>
          <w:right w:val="nil"/>
          <w:between w:val="nil"/>
        </w:pBdr>
        <w:tabs>
          <w:tab w:val="left" w:pos="142"/>
        </w:tabs>
        <w:spacing w:before="120" w:after="120" w:line="240" w:lineRule="auto"/>
        <w:rPr>
          <w:rFonts w:ascii="Open Sans" w:eastAsia="Open Sans" w:hAnsi="Open Sans" w:cs="Open Sans"/>
          <w:b/>
          <w:color w:val="2F5496"/>
          <w:u w:val="single"/>
        </w:rPr>
      </w:pPr>
    </w:p>
    <w:p w14:paraId="7013465E" w14:textId="7F145274" w:rsidR="00176036" w:rsidRPr="00F459A1" w:rsidRDefault="008A2922" w:rsidP="00FA6E6F">
      <w:pPr>
        <w:numPr>
          <w:ilvl w:val="0"/>
          <w:numId w:val="1"/>
        </w:numPr>
        <w:tabs>
          <w:tab w:val="left" w:pos="142"/>
        </w:tabs>
        <w:spacing w:before="120" w:after="120" w:line="240" w:lineRule="auto"/>
        <w:ind w:left="284" w:hanging="284"/>
        <w:rPr>
          <w:rFonts w:ascii="Open Sans" w:hAnsi="Open Sans" w:cs="Open Sans"/>
        </w:rPr>
      </w:pPr>
      <w:r w:rsidRPr="00F459A1">
        <w:rPr>
          <w:rFonts w:ascii="Open Sans" w:eastAsia="Open Sans" w:hAnsi="Open Sans" w:cs="Open Sans"/>
          <w:b/>
          <w:color w:val="2F5496"/>
        </w:rPr>
        <w:t xml:space="preserve">REA’s comments on the guidance document </w:t>
      </w:r>
      <w:r w:rsidR="000048E8">
        <w:rPr>
          <w:rFonts w:ascii="Open Sans" w:eastAsia="Open Sans" w:hAnsi="Open Sans" w:cs="Open Sans"/>
          <w:b/>
          <w:color w:val="2F5496"/>
        </w:rPr>
        <w:t xml:space="preserve">based on members’ feedback </w:t>
      </w:r>
    </w:p>
    <w:p w14:paraId="62A131F6" w14:textId="77777777" w:rsidR="007C1520" w:rsidRPr="00F459A1" w:rsidRDefault="007C1520" w:rsidP="00FA6E6F">
      <w:pPr>
        <w:pStyle w:val="Default"/>
        <w:spacing w:before="120" w:after="120"/>
        <w:rPr>
          <w:rFonts w:ascii="Open Sans" w:hAnsi="Open Sans" w:cs="Open Sans"/>
          <w:b/>
          <w:bCs/>
          <w:sz w:val="22"/>
          <w:szCs w:val="22"/>
        </w:rPr>
      </w:pPr>
    </w:p>
    <w:p w14:paraId="41AC2459" w14:textId="5187D63B" w:rsidR="004B1DC8" w:rsidRPr="00F459A1" w:rsidRDefault="004B1DC8" w:rsidP="00FA6E6F">
      <w:pPr>
        <w:pStyle w:val="Default"/>
        <w:spacing w:before="120" w:after="120"/>
        <w:rPr>
          <w:rFonts w:ascii="Open Sans" w:hAnsi="Open Sans" w:cs="Open Sans"/>
          <w:sz w:val="22"/>
          <w:szCs w:val="22"/>
        </w:rPr>
      </w:pPr>
      <w:r w:rsidRPr="00F459A1">
        <w:rPr>
          <w:rFonts w:ascii="Open Sans" w:hAnsi="Open Sans" w:cs="Open Sans"/>
          <w:b/>
          <w:bCs/>
          <w:sz w:val="22"/>
          <w:szCs w:val="22"/>
        </w:rPr>
        <w:t xml:space="preserve">Terminology </w:t>
      </w:r>
    </w:p>
    <w:p w14:paraId="03FB502A" w14:textId="109A803B" w:rsidR="004B1DC8" w:rsidRPr="00F459A1" w:rsidRDefault="004B1DC8" w:rsidP="00FA6E6F">
      <w:pPr>
        <w:pStyle w:val="Default"/>
        <w:spacing w:before="120" w:after="120"/>
        <w:rPr>
          <w:rFonts w:ascii="Open Sans" w:hAnsi="Open Sans" w:cs="Open Sans"/>
          <w:sz w:val="22"/>
          <w:szCs w:val="22"/>
        </w:rPr>
      </w:pPr>
      <w:r w:rsidRPr="00F459A1">
        <w:rPr>
          <w:rFonts w:ascii="Open Sans" w:hAnsi="Open Sans" w:cs="Open Sans"/>
          <w:sz w:val="22"/>
          <w:szCs w:val="22"/>
        </w:rPr>
        <w:t xml:space="preserve">The guidance document would benefit from a glossary / defined terms list at the beginning. For example, this would help with the term “periodic payments” which is used repeatedly early in the document but explained at the end of the document. </w:t>
      </w:r>
    </w:p>
    <w:p w14:paraId="7C1E080D" w14:textId="3FE41E99" w:rsidR="00114EE0" w:rsidRDefault="00F459A1" w:rsidP="00FA6E6F">
      <w:pPr>
        <w:pStyle w:val="Default"/>
        <w:numPr>
          <w:ilvl w:val="1"/>
          <w:numId w:val="2"/>
        </w:numPr>
        <w:spacing w:before="120" w:after="120"/>
        <w:rPr>
          <w:rFonts w:ascii="Open Sans" w:hAnsi="Open Sans" w:cs="Open Sans"/>
          <w:sz w:val="22"/>
          <w:szCs w:val="22"/>
        </w:rPr>
      </w:pPr>
      <w:r>
        <w:rPr>
          <w:rFonts w:ascii="Open Sans" w:hAnsi="Open Sans" w:cs="Open Sans"/>
          <w:sz w:val="22"/>
          <w:szCs w:val="22"/>
        </w:rPr>
        <w:t xml:space="preserve">In addition, </w:t>
      </w:r>
      <w:r w:rsidR="00114EE0">
        <w:rPr>
          <w:rFonts w:ascii="Open Sans" w:hAnsi="Open Sans" w:cs="Open Sans"/>
          <w:sz w:val="22"/>
          <w:szCs w:val="22"/>
        </w:rPr>
        <w:t xml:space="preserve">members of the REA have pointed out that </w:t>
      </w:r>
      <w:r>
        <w:rPr>
          <w:rFonts w:ascii="Open Sans" w:hAnsi="Open Sans" w:cs="Open Sans"/>
          <w:sz w:val="22"/>
          <w:szCs w:val="22"/>
        </w:rPr>
        <w:t>s</w:t>
      </w:r>
      <w:r w:rsidR="004B1DC8" w:rsidRPr="00F459A1">
        <w:rPr>
          <w:rFonts w:ascii="Open Sans" w:hAnsi="Open Sans" w:cs="Open Sans"/>
          <w:sz w:val="22"/>
          <w:szCs w:val="22"/>
        </w:rPr>
        <w:t>horter, more wieldy terms are needed for</w:t>
      </w:r>
      <w:r>
        <w:rPr>
          <w:rFonts w:ascii="Open Sans" w:hAnsi="Open Sans" w:cs="Open Sans"/>
          <w:sz w:val="22"/>
          <w:szCs w:val="22"/>
        </w:rPr>
        <w:t>:</w:t>
      </w:r>
      <w:r w:rsidR="004B1DC8" w:rsidRPr="00F459A1">
        <w:rPr>
          <w:rFonts w:ascii="Open Sans" w:hAnsi="Open Sans" w:cs="Open Sans"/>
          <w:sz w:val="22"/>
          <w:szCs w:val="22"/>
        </w:rPr>
        <w:t xml:space="preserve"> </w:t>
      </w:r>
    </w:p>
    <w:p w14:paraId="5B3F08F6" w14:textId="68B4D360" w:rsidR="004B1DC8" w:rsidRPr="00F459A1" w:rsidRDefault="004B1DC8" w:rsidP="00FA6E6F">
      <w:pPr>
        <w:pStyle w:val="Default"/>
        <w:numPr>
          <w:ilvl w:val="1"/>
          <w:numId w:val="2"/>
        </w:numPr>
        <w:spacing w:before="120" w:after="120"/>
        <w:rPr>
          <w:rFonts w:ascii="Open Sans" w:hAnsi="Open Sans" w:cs="Open Sans"/>
          <w:sz w:val="22"/>
          <w:szCs w:val="22"/>
        </w:rPr>
      </w:pPr>
      <w:r w:rsidRPr="00F459A1">
        <w:rPr>
          <w:rFonts w:ascii="Open Sans" w:hAnsi="Open Sans" w:cs="Open Sans"/>
          <w:sz w:val="22"/>
          <w:szCs w:val="22"/>
        </w:rPr>
        <w:t xml:space="preserve">a. equipment that comes under the definition of equipment used to produce biomethane; and </w:t>
      </w:r>
    </w:p>
    <w:p w14:paraId="1C47BDEE" w14:textId="77777777" w:rsidR="004B1DC8" w:rsidRPr="00F459A1" w:rsidRDefault="004B1DC8" w:rsidP="00FA6E6F">
      <w:pPr>
        <w:pStyle w:val="Default"/>
        <w:numPr>
          <w:ilvl w:val="1"/>
          <w:numId w:val="2"/>
        </w:numPr>
        <w:spacing w:before="120" w:after="120"/>
        <w:rPr>
          <w:rFonts w:ascii="Open Sans" w:hAnsi="Open Sans" w:cs="Open Sans"/>
          <w:sz w:val="22"/>
          <w:szCs w:val="22"/>
        </w:rPr>
      </w:pPr>
      <w:r w:rsidRPr="00F459A1">
        <w:rPr>
          <w:rFonts w:ascii="Open Sans" w:hAnsi="Open Sans" w:cs="Open Sans"/>
          <w:sz w:val="22"/>
          <w:szCs w:val="22"/>
        </w:rPr>
        <w:t xml:space="preserve">b. equipment that does not come under the definition of equipment used to produce biomethane. </w:t>
      </w:r>
    </w:p>
    <w:p w14:paraId="54DC32C5" w14:textId="1E838BCA" w:rsidR="004B1DC8" w:rsidRDefault="00114EE0" w:rsidP="00FA6E6F">
      <w:pPr>
        <w:pStyle w:val="Default"/>
        <w:spacing w:before="120" w:after="120"/>
        <w:rPr>
          <w:rFonts w:ascii="Open Sans" w:hAnsi="Open Sans" w:cs="Open Sans"/>
          <w:sz w:val="22"/>
          <w:szCs w:val="22"/>
        </w:rPr>
      </w:pPr>
      <w:r>
        <w:rPr>
          <w:rFonts w:ascii="Open Sans" w:hAnsi="Open Sans" w:cs="Open Sans"/>
          <w:sz w:val="22"/>
          <w:szCs w:val="22"/>
        </w:rPr>
        <w:t xml:space="preserve">This member </w:t>
      </w:r>
      <w:r w:rsidR="004B1DC8" w:rsidRPr="00F459A1">
        <w:rPr>
          <w:rFonts w:ascii="Open Sans" w:hAnsi="Open Sans" w:cs="Open Sans"/>
          <w:sz w:val="22"/>
          <w:szCs w:val="22"/>
        </w:rPr>
        <w:t>suggest</w:t>
      </w:r>
      <w:r>
        <w:rPr>
          <w:rFonts w:ascii="Open Sans" w:hAnsi="Open Sans" w:cs="Open Sans"/>
          <w:sz w:val="22"/>
          <w:szCs w:val="22"/>
        </w:rPr>
        <w:t>ed</w:t>
      </w:r>
      <w:r w:rsidR="004B1DC8" w:rsidRPr="00F459A1">
        <w:rPr>
          <w:rFonts w:ascii="Open Sans" w:hAnsi="Open Sans" w:cs="Open Sans"/>
          <w:sz w:val="22"/>
          <w:szCs w:val="22"/>
        </w:rPr>
        <w:t xml:space="preserve"> “GGSS equipment” and “non-GGSS equipment”, respectively. </w:t>
      </w:r>
    </w:p>
    <w:p w14:paraId="3DB3F0B9" w14:textId="77777777" w:rsidR="00114EE0" w:rsidRPr="00F459A1" w:rsidRDefault="00114EE0" w:rsidP="00FA6E6F">
      <w:pPr>
        <w:pStyle w:val="Default"/>
        <w:spacing w:before="120" w:after="120"/>
        <w:rPr>
          <w:rFonts w:ascii="Open Sans" w:hAnsi="Open Sans" w:cs="Open Sans"/>
          <w:sz w:val="22"/>
          <w:szCs w:val="22"/>
        </w:rPr>
      </w:pPr>
    </w:p>
    <w:p w14:paraId="1E948942" w14:textId="77777777" w:rsidR="004B1DC8" w:rsidRPr="00F459A1" w:rsidRDefault="004B1DC8" w:rsidP="00FA6E6F">
      <w:pPr>
        <w:pStyle w:val="Default"/>
        <w:spacing w:before="120" w:after="120"/>
        <w:rPr>
          <w:rFonts w:ascii="Open Sans" w:hAnsi="Open Sans" w:cs="Open Sans"/>
          <w:sz w:val="22"/>
          <w:szCs w:val="22"/>
        </w:rPr>
      </w:pPr>
      <w:r w:rsidRPr="00F459A1">
        <w:rPr>
          <w:rFonts w:ascii="Open Sans" w:hAnsi="Open Sans" w:cs="Open Sans"/>
          <w:b/>
          <w:bCs/>
          <w:sz w:val="22"/>
          <w:szCs w:val="22"/>
        </w:rPr>
        <w:t xml:space="preserve">Non-committal statements </w:t>
      </w:r>
    </w:p>
    <w:p w14:paraId="43626CB6" w14:textId="256DB0BF" w:rsidR="004B1DC8" w:rsidRPr="00F459A1" w:rsidRDefault="004B1DC8" w:rsidP="00FA6E6F">
      <w:pPr>
        <w:pStyle w:val="Default"/>
        <w:spacing w:before="120" w:after="120"/>
        <w:rPr>
          <w:rFonts w:ascii="Open Sans" w:hAnsi="Open Sans" w:cs="Open Sans"/>
          <w:sz w:val="22"/>
          <w:szCs w:val="22"/>
        </w:rPr>
      </w:pPr>
      <w:r w:rsidRPr="00F459A1">
        <w:rPr>
          <w:rFonts w:ascii="Open Sans" w:hAnsi="Open Sans" w:cs="Open Sans"/>
          <w:sz w:val="22"/>
          <w:szCs w:val="22"/>
        </w:rPr>
        <w:t>Point 1.9 in the Draft GGSS Guidance, “</w:t>
      </w:r>
      <w:r w:rsidRPr="00F459A1">
        <w:rPr>
          <w:rFonts w:ascii="Open Sans" w:hAnsi="Open Sans" w:cs="Open Sans"/>
          <w:i/>
          <w:iCs/>
          <w:sz w:val="22"/>
          <w:szCs w:val="22"/>
        </w:rPr>
        <w:t>This guidance does not anticipate every scenario that may arise…etc</w:t>
      </w:r>
      <w:r w:rsidRPr="00F459A1">
        <w:rPr>
          <w:rFonts w:ascii="Open Sans" w:hAnsi="Open Sans" w:cs="Open Sans"/>
          <w:sz w:val="22"/>
          <w:szCs w:val="22"/>
        </w:rPr>
        <w:t>”. The lack of commitment implied by this statement is potentially damaging to investor confidence. We accept that there are potentially unlimited scenarios</w:t>
      </w:r>
      <w:r w:rsidR="000048E8">
        <w:rPr>
          <w:rFonts w:ascii="Open Sans" w:hAnsi="Open Sans" w:cs="Open Sans"/>
          <w:sz w:val="22"/>
          <w:szCs w:val="22"/>
        </w:rPr>
        <w:t xml:space="preserve">, </w:t>
      </w:r>
      <w:r w:rsidRPr="00F459A1">
        <w:rPr>
          <w:rFonts w:ascii="Open Sans" w:hAnsi="Open Sans" w:cs="Open Sans"/>
          <w:sz w:val="22"/>
          <w:szCs w:val="22"/>
        </w:rPr>
        <w:t xml:space="preserve">but </w:t>
      </w:r>
      <w:r w:rsidR="000048E8">
        <w:rPr>
          <w:rFonts w:ascii="Open Sans" w:hAnsi="Open Sans" w:cs="Open Sans"/>
          <w:sz w:val="22"/>
          <w:szCs w:val="22"/>
        </w:rPr>
        <w:t>we encourage Ofgem to include in the</w:t>
      </w:r>
      <w:r w:rsidRPr="00F459A1">
        <w:rPr>
          <w:rFonts w:ascii="Open Sans" w:hAnsi="Open Sans" w:cs="Open Sans"/>
          <w:sz w:val="22"/>
          <w:szCs w:val="22"/>
        </w:rPr>
        <w:t xml:space="preserve"> guidance a range of foreseeable scenarios</w:t>
      </w:r>
      <w:r w:rsidR="000048E8">
        <w:rPr>
          <w:rFonts w:ascii="Open Sans" w:hAnsi="Open Sans" w:cs="Open Sans"/>
          <w:sz w:val="22"/>
          <w:szCs w:val="22"/>
        </w:rPr>
        <w:t xml:space="preserve">. </w:t>
      </w:r>
    </w:p>
    <w:p w14:paraId="31F163C0" w14:textId="77777777" w:rsidR="004B1DC8" w:rsidRPr="00F459A1" w:rsidRDefault="004B1DC8" w:rsidP="00FA6E6F">
      <w:pPr>
        <w:pStyle w:val="Default"/>
        <w:spacing w:before="120" w:after="120"/>
        <w:rPr>
          <w:rFonts w:ascii="Open Sans" w:hAnsi="Open Sans" w:cs="Open Sans"/>
          <w:sz w:val="22"/>
          <w:szCs w:val="22"/>
        </w:rPr>
      </w:pPr>
    </w:p>
    <w:p w14:paraId="148C8A3B" w14:textId="77777777" w:rsidR="004B1DC8" w:rsidRPr="00F459A1" w:rsidRDefault="004B1DC8" w:rsidP="00FA6E6F">
      <w:pPr>
        <w:pStyle w:val="Default"/>
        <w:spacing w:before="120" w:after="120"/>
        <w:rPr>
          <w:rFonts w:ascii="Open Sans" w:hAnsi="Open Sans" w:cs="Open Sans"/>
          <w:sz w:val="22"/>
          <w:szCs w:val="22"/>
        </w:rPr>
      </w:pPr>
      <w:r w:rsidRPr="00F459A1">
        <w:rPr>
          <w:rFonts w:ascii="Open Sans" w:hAnsi="Open Sans" w:cs="Open Sans"/>
          <w:b/>
          <w:bCs/>
          <w:sz w:val="22"/>
          <w:szCs w:val="22"/>
        </w:rPr>
        <w:t xml:space="preserve">Feedstock sustainability </w:t>
      </w:r>
    </w:p>
    <w:p w14:paraId="6E9FA5DD" w14:textId="42949DA7" w:rsidR="004B1DC8" w:rsidRPr="00F459A1" w:rsidRDefault="004B1DC8" w:rsidP="00FA6E6F">
      <w:pPr>
        <w:pStyle w:val="Default"/>
        <w:spacing w:before="120" w:after="120"/>
        <w:rPr>
          <w:rFonts w:ascii="Open Sans" w:hAnsi="Open Sans" w:cs="Open Sans"/>
          <w:sz w:val="22"/>
          <w:szCs w:val="22"/>
        </w:rPr>
      </w:pPr>
      <w:r w:rsidRPr="00F459A1">
        <w:rPr>
          <w:rFonts w:ascii="Open Sans" w:hAnsi="Open Sans" w:cs="Open Sans"/>
          <w:sz w:val="22"/>
          <w:szCs w:val="22"/>
        </w:rPr>
        <w:t>Ofgem’s guidance provides high level guidance on feedstocks and sustainability but the language leaves considerable room for interpretation and</w:t>
      </w:r>
      <w:r w:rsidR="000048E8">
        <w:rPr>
          <w:rFonts w:ascii="Open Sans" w:hAnsi="Open Sans" w:cs="Open Sans"/>
          <w:sz w:val="22"/>
          <w:szCs w:val="22"/>
        </w:rPr>
        <w:t xml:space="preserve">, </w:t>
      </w:r>
      <w:r w:rsidRPr="00F459A1">
        <w:rPr>
          <w:rFonts w:ascii="Open Sans" w:hAnsi="Open Sans" w:cs="Open Sans"/>
          <w:sz w:val="22"/>
          <w:szCs w:val="22"/>
        </w:rPr>
        <w:t>given the short window for applications</w:t>
      </w:r>
      <w:r w:rsidR="000048E8">
        <w:rPr>
          <w:rFonts w:ascii="Open Sans" w:hAnsi="Open Sans" w:cs="Open Sans"/>
          <w:sz w:val="22"/>
          <w:szCs w:val="22"/>
        </w:rPr>
        <w:t>, it</w:t>
      </w:r>
      <w:r w:rsidRPr="00F459A1">
        <w:rPr>
          <w:rFonts w:ascii="Open Sans" w:hAnsi="Open Sans" w:cs="Open Sans"/>
          <w:sz w:val="22"/>
          <w:szCs w:val="22"/>
        </w:rPr>
        <w:t xml:space="preserve"> would benefit from more precise definitions. </w:t>
      </w:r>
    </w:p>
    <w:p w14:paraId="7DAB0478" w14:textId="5A70D9D8" w:rsidR="004B1DC8" w:rsidRPr="00F459A1" w:rsidRDefault="004B1DC8" w:rsidP="00FA6E6F">
      <w:pPr>
        <w:pStyle w:val="Default"/>
        <w:spacing w:before="120" w:after="120"/>
        <w:rPr>
          <w:rFonts w:ascii="Open Sans" w:hAnsi="Open Sans" w:cs="Open Sans"/>
          <w:sz w:val="22"/>
          <w:szCs w:val="22"/>
        </w:rPr>
      </w:pPr>
      <w:r w:rsidRPr="00F459A1">
        <w:rPr>
          <w:rFonts w:ascii="Open Sans" w:hAnsi="Open Sans" w:cs="Open Sans"/>
          <w:sz w:val="22"/>
          <w:szCs w:val="22"/>
        </w:rPr>
        <w:lastRenderedPageBreak/>
        <w:t xml:space="preserve">For example, in the case of feedstock, in Appendix 2 (points 1.1, 1.2, 1.3 and 1.4) tables provide guidance on when substances should be considered products, residues or wastes for the purposes of the GGSS sustainability criteria. It states that “it is not possible to lay down definitive or absolute rules for when particular materials will be considered waste, residues or products” and that “A judgement has to be made </w:t>
      </w:r>
      <w:proofErr w:type="gramStart"/>
      <w:r w:rsidRPr="00F459A1">
        <w:rPr>
          <w:rFonts w:ascii="Open Sans" w:hAnsi="Open Sans" w:cs="Open Sans"/>
          <w:sz w:val="22"/>
          <w:szCs w:val="22"/>
        </w:rPr>
        <w:t>taking into account</w:t>
      </w:r>
      <w:proofErr w:type="gramEnd"/>
      <w:r w:rsidRPr="00F459A1">
        <w:rPr>
          <w:rFonts w:ascii="Open Sans" w:hAnsi="Open Sans" w:cs="Open Sans"/>
          <w:sz w:val="22"/>
          <w:szCs w:val="22"/>
        </w:rPr>
        <w:t xml:space="preserve"> the circumstances of each case, and applying the legislation, case law principles and other relevant indicator”. </w:t>
      </w:r>
    </w:p>
    <w:p w14:paraId="24D77318" w14:textId="0E65D334" w:rsidR="004B1DC8" w:rsidRPr="00F459A1" w:rsidRDefault="004B1DC8" w:rsidP="00FA6E6F">
      <w:pPr>
        <w:pStyle w:val="Default"/>
        <w:spacing w:before="120" w:after="120"/>
        <w:rPr>
          <w:rFonts w:ascii="Open Sans" w:hAnsi="Open Sans" w:cs="Open Sans"/>
          <w:sz w:val="22"/>
          <w:szCs w:val="22"/>
        </w:rPr>
      </w:pPr>
      <w:r w:rsidRPr="00F459A1">
        <w:rPr>
          <w:rFonts w:ascii="Open Sans" w:hAnsi="Open Sans" w:cs="Open Sans"/>
          <w:sz w:val="22"/>
          <w:szCs w:val="22"/>
        </w:rPr>
        <w:t xml:space="preserve">This language would appear ambiguous to investors and would be perceived as a risk. To provide developers and investors greater certainty, particularly as feedstock availability could become an issue, Ofgem and BEIS </w:t>
      </w:r>
      <w:r w:rsidR="000048E8">
        <w:rPr>
          <w:rFonts w:ascii="Open Sans" w:hAnsi="Open Sans" w:cs="Open Sans"/>
          <w:sz w:val="22"/>
          <w:szCs w:val="22"/>
        </w:rPr>
        <w:t>should</w:t>
      </w:r>
      <w:r w:rsidRPr="00F459A1">
        <w:rPr>
          <w:rFonts w:ascii="Open Sans" w:hAnsi="Open Sans" w:cs="Open Sans"/>
          <w:sz w:val="22"/>
          <w:szCs w:val="22"/>
        </w:rPr>
        <w:t xml:space="preserve"> further define (along similar lines to RED II and DfT) the acceptable feedstock and sustainability criteria</w:t>
      </w:r>
      <w:r w:rsidR="000048E8">
        <w:rPr>
          <w:rFonts w:ascii="Open Sans" w:hAnsi="Open Sans" w:cs="Open Sans"/>
          <w:sz w:val="22"/>
          <w:szCs w:val="22"/>
        </w:rPr>
        <w:t xml:space="preserve">. </w:t>
      </w:r>
      <w:r w:rsidRPr="00F459A1">
        <w:rPr>
          <w:rFonts w:ascii="Open Sans" w:hAnsi="Open Sans" w:cs="Open Sans"/>
          <w:sz w:val="22"/>
          <w:szCs w:val="22"/>
        </w:rPr>
        <w:t xml:space="preserve">Specifically, DfT’s recently published “List of feedstocks including wastes and residues: Year 2021” as well as the report “Renewable Transport Fuel Obligation Guidance Part Two Carbon and Sustainability 2021: 01/01/21 to 31/12/21” provides clearer guidance. </w:t>
      </w:r>
    </w:p>
    <w:p w14:paraId="7867312A" w14:textId="77777777" w:rsidR="004B1DC8" w:rsidRPr="00F459A1" w:rsidRDefault="004B1DC8" w:rsidP="00FA6E6F">
      <w:pPr>
        <w:pStyle w:val="Default"/>
        <w:spacing w:before="120" w:after="120"/>
        <w:rPr>
          <w:rFonts w:ascii="Open Sans" w:hAnsi="Open Sans" w:cs="Open Sans"/>
          <w:sz w:val="22"/>
          <w:szCs w:val="22"/>
        </w:rPr>
      </w:pPr>
    </w:p>
    <w:p w14:paraId="29D6031B" w14:textId="77777777" w:rsidR="004B1DC8" w:rsidRPr="00F459A1" w:rsidRDefault="004B1DC8" w:rsidP="00FA6E6F">
      <w:pPr>
        <w:pStyle w:val="Default"/>
        <w:spacing w:before="120" w:after="120"/>
        <w:rPr>
          <w:rFonts w:ascii="Open Sans" w:hAnsi="Open Sans" w:cs="Open Sans"/>
          <w:sz w:val="22"/>
          <w:szCs w:val="22"/>
        </w:rPr>
      </w:pPr>
      <w:r w:rsidRPr="00F459A1">
        <w:rPr>
          <w:rFonts w:ascii="Open Sans" w:hAnsi="Open Sans" w:cs="Open Sans"/>
          <w:b/>
          <w:bCs/>
          <w:sz w:val="22"/>
          <w:szCs w:val="22"/>
        </w:rPr>
        <w:t xml:space="preserve">Expansions and pre-used equipment </w:t>
      </w:r>
    </w:p>
    <w:p w14:paraId="1241FD8D" w14:textId="24E32B11" w:rsidR="004B1DC8" w:rsidRPr="00F459A1" w:rsidRDefault="00BA35EB" w:rsidP="00FA6E6F">
      <w:pPr>
        <w:pStyle w:val="Default"/>
        <w:spacing w:before="120" w:after="120"/>
        <w:rPr>
          <w:rFonts w:ascii="Open Sans" w:hAnsi="Open Sans" w:cs="Open Sans"/>
          <w:sz w:val="22"/>
          <w:szCs w:val="22"/>
        </w:rPr>
      </w:pPr>
      <w:r>
        <w:rPr>
          <w:rFonts w:ascii="Open Sans" w:hAnsi="Open Sans" w:cs="Open Sans"/>
          <w:sz w:val="22"/>
          <w:szCs w:val="22"/>
        </w:rPr>
        <w:t xml:space="preserve">We appreciate this a policy-related issue and one we have </w:t>
      </w:r>
      <w:r w:rsidR="00FA6E6F">
        <w:rPr>
          <w:rFonts w:ascii="Open Sans" w:hAnsi="Open Sans" w:cs="Open Sans"/>
          <w:sz w:val="22"/>
          <w:szCs w:val="22"/>
        </w:rPr>
        <w:t xml:space="preserve">previously highlighted to BEIS, </w:t>
      </w:r>
      <w:r>
        <w:rPr>
          <w:rFonts w:ascii="Open Sans" w:hAnsi="Open Sans" w:cs="Open Sans"/>
          <w:sz w:val="22"/>
          <w:szCs w:val="22"/>
        </w:rPr>
        <w:t xml:space="preserve">but </w:t>
      </w:r>
      <w:r w:rsidR="00FA6E6F">
        <w:rPr>
          <w:rFonts w:ascii="Open Sans" w:hAnsi="Open Sans" w:cs="Open Sans"/>
          <w:sz w:val="22"/>
          <w:szCs w:val="22"/>
        </w:rPr>
        <w:t>e</w:t>
      </w:r>
      <w:r w:rsidR="004B1DC8" w:rsidRPr="00F459A1">
        <w:rPr>
          <w:rFonts w:ascii="Open Sans" w:hAnsi="Open Sans" w:cs="Open Sans"/>
          <w:sz w:val="22"/>
          <w:szCs w:val="22"/>
        </w:rPr>
        <w:t xml:space="preserve">xpansion of existing AD plants will be the fastest way to increase the amount of biomethane injected into the gas grid, which is the purpose of the GGSS. Existing plants will usually need to overcome fewer barriers to planning, permitting, feedstock supply and access to the gas grid. </w:t>
      </w:r>
    </w:p>
    <w:p w14:paraId="6684FBBE" w14:textId="77777777" w:rsidR="00FA6E6F" w:rsidRDefault="004B1DC8" w:rsidP="00FA6E6F">
      <w:pPr>
        <w:pStyle w:val="Default"/>
        <w:numPr>
          <w:ilvl w:val="1"/>
          <w:numId w:val="3"/>
        </w:numPr>
        <w:spacing w:before="120" w:after="120"/>
        <w:rPr>
          <w:rFonts w:ascii="Open Sans" w:hAnsi="Open Sans" w:cs="Open Sans"/>
          <w:sz w:val="22"/>
          <w:szCs w:val="22"/>
        </w:rPr>
      </w:pPr>
      <w:r w:rsidRPr="00F459A1">
        <w:rPr>
          <w:rFonts w:ascii="Open Sans" w:hAnsi="Open Sans" w:cs="Open Sans"/>
          <w:sz w:val="22"/>
          <w:szCs w:val="22"/>
        </w:rPr>
        <w:t>It is clear from the draft guidance that equipment that does not come under the definition of equipment used to produce biomethane (“</w:t>
      </w:r>
      <w:proofErr w:type="gramStart"/>
      <w:r w:rsidRPr="00F459A1">
        <w:rPr>
          <w:rFonts w:ascii="Open Sans" w:hAnsi="Open Sans" w:cs="Open Sans"/>
          <w:sz w:val="22"/>
          <w:szCs w:val="22"/>
        </w:rPr>
        <w:t>Non-GGSS</w:t>
      </w:r>
      <w:proofErr w:type="gramEnd"/>
      <w:r w:rsidRPr="00F459A1">
        <w:rPr>
          <w:rFonts w:ascii="Open Sans" w:hAnsi="Open Sans" w:cs="Open Sans"/>
          <w:sz w:val="22"/>
          <w:szCs w:val="22"/>
        </w:rPr>
        <w:t xml:space="preserve"> equipment”) may be shared with an adjacent installation that is registered on the NDRHI scheme. </w:t>
      </w:r>
    </w:p>
    <w:p w14:paraId="645FEE53" w14:textId="39F7E745" w:rsidR="004B1DC8" w:rsidRPr="00F459A1" w:rsidRDefault="00FA6E6F" w:rsidP="00FA6E6F">
      <w:pPr>
        <w:pStyle w:val="Default"/>
        <w:numPr>
          <w:ilvl w:val="1"/>
          <w:numId w:val="3"/>
        </w:numPr>
        <w:spacing w:before="120" w:after="120"/>
        <w:rPr>
          <w:rFonts w:ascii="Open Sans" w:hAnsi="Open Sans" w:cs="Open Sans"/>
          <w:sz w:val="22"/>
          <w:szCs w:val="22"/>
        </w:rPr>
      </w:pPr>
      <w:r>
        <w:rPr>
          <w:rFonts w:ascii="Open Sans" w:hAnsi="Open Sans" w:cs="Open Sans"/>
          <w:sz w:val="22"/>
          <w:szCs w:val="22"/>
        </w:rPr>
        <w:t>A member suggested it would be useful if Ofgem makes it clear if t</w:t>
      </w:r>
      <w:r w:rsidR="004B1DC8" w:rsidRPr="00F459A1">
        <w:rPr>
          <w:rFonts w:ascii="Open Sans" w:hAnsi="Open Sans" w:cs="Open Sans"/>
          <w:sz w:val="22"/>
          <w:szCs w:val="22"/>
        </w:rPr>
        <w:t>his allowance also appl</w:t>
      </w:r>
      <w:r w:rsidR="00BA35EB">
        <w:rPr>
          <w:rFonts w:ascii="Open Sans" w:hAnsi="Open Sans" w:cs="Open Sans"/>
          <w:sz w:val="22"/>
          <w:szCs w:val="22"/>
        </w:rPr>
        <w:t>ies</w:t>
      </w:r>
      <w:r w:rsidR="004B1DC8" w:rsidRPr="00F459A1">
        <w:rPr>
          <w:rFonts w:ascii="Open Sans" w:hAnsi="Open Sans" w:cs="Open Sans"/>
          <w:sz w:val="22"/>
          <w:szCs w:val="22"/>
        </w:rPr>
        <w:t xml:space="preserve"> to other schemes such as ROCs and </w:t>
      </w:r>
      <w:proofErr w:type="spellStart"/>
      <w:r w:rsidR="004B1DC8" w:rsidRPr="00F459A1">
        <w:rPr>
          <w:rFonts w:ascii="Open Sans" w:hAnsi="Open Sans" w:cs="Open Sans"/>
          <w:sz w:val="22"/>
          <w:szCs w:val="22"/>
        </w:rPr>
        <w:t>FiTs</w:t>
      </w:r>
      <w:proofErr w:type="spellEnd"/>
      <w:r w:rsidR="00BA35EB">
        <w:rPr>
          <w:rFonts w:ascii="Open Sans" w:hAnsi="Open Sans" w:cs="Open Sans"/>
          <w:sz w:val="22"/>
          <w:szCs w:val="22"/>
        </w:rPr>
        <w:t xml:space="preserve">. </w:t>
      </w:r>
    </w:p>
    <w:p w14:paraId="4F46C430" w14:textId="76700F77" w:rsidR="004B1DC8" w:rsidRPr="00F459A1" w:rsidRDefault="004B1DC8" w:rsidP="00FA6E6F">
      <w:pPr>
        <w:pStyle w:val="Default"/>
        <w:numPr>
          <w:ilvl w:val="1"/>
          <w:numId w:val="3"/>
        </w:numPr>
        <w:spacing w:before="120" w:after="120"/>
        <w:rPr>
          <w:rFonts w:ascii="Open Sans" w:hAnsi="Open Sans" w:cs="Open Sans"/>
          <w:sz w:val="22"/>
          <w:szCs w:val="22"/>
        </w:rPr>
      </w:pPr>
      <w:r w:rsidRPr="00F459A1">
        <w:rPr>
          <w:rFonts w:ascii="Open Sans" w:hAnsi="Open Sans" w:cs="Open Sans"/>
          <w:sz w:val="22"/>
          <w:szCs w:val="22"/>
        </w:rPr>
        <w:t>Many would call this situation an expansion of an existing NDRHI plant and Ofgem may have caused some confusion by stating in its written response to queries that “</w:t>
      </w:r>
      <w:r w:rsidRPr="00F459A1">
        <w:rPr>
          <w:rFonts w:ascii="Open Sans" w:hAnsi="Open Sans" w:cs="Open Sans"/>
          <w:i/>
          <w:iCs/>
          <w:sz w:val="22"/>
          <w:szCs w:val="22"/>
        </w:rPr>
        <w:t>Plant expansions are not permitted on the GGSS</w:t>
      </w:r>
      <w:r w:rsidRPr="00F459A1">
        <w:rPr>
          <w:rFonts w:ascii="Open Sans" w:hAnsi="Open Sans" w:cs="Open Sans"/>
          <w:sz w:val="22"/>
          <w:szCs w:val="22"/>
        </w:rPr>
        <w:t xml:space="preserve">”. </w:t>
      </w:r>
    </w:p>
    <w:p w14:paraId="68E13DB3" w14:textId="467D5FD6" w:rsidR="004B1DC8" w:rsidRPr="00F459A1" w:rsidRDefault="00BA35EB" w:rsidP="00FA6E6F">
      <w:pPr>
        <w:pStyle w:val="Default"/>
        <w:numPr>
          <w:ilvl w:val="1"/>
          <w:numId w:val="3"/>
        </w:numPr>
        <w:spacing w:before="120" w:after="120"/>
        <w:rPr>
          <w:rFonts w:ascii="Open Sans" w:hAnsi="Open Sans" w:cs="Open Sans"/>
          <w:sz w:val="22"/>
          <w:szCs w:val="22"/>
        </w:rPr>
      </w:pPr>
      <w:r>
        <w:rPr>
          <w:rFonts w:ascii="Open Sans" w:hAnsi="Open Sans" w:cs="Open Sans"/>
          <w:sz w:val="22"/>
          <w:szCs w:val="22"/>
        </w:rPr>
        <w:t>We would recommend that t</w:t>
      </w:r>
      <w:r w:rsidR="004B1DC8" w:rsidRPr="00F459A1">
        <w:rPr>
          <w:rFonts w:ascii="Open Sans" w:hAnsi="Open Sans" w:cs="Open Sans"/>
          <w:sz w:val="22"/>
          <w:szCs w:val="22"/>
        </w:rPr>
        <w:t xml:space="preserve">o avoid any confusion, the guidance </w:t>
      </w:r>
      <w:r>
        <w:rPr>
          <w:rFonts w:ascii="Open Sans" w:hAnsi="Open Sans" w:cs="Open Sans"/>
          <w:sz w:val="22"/>
          <w:szCs w:val="22"/>
        </w:rPr>
        <w:t>should</w:t>
      </w:r>
      <w:r w:rsidR="004B1DC8" w:rsidRPr="00F459A1">
        <w:rPr>
          <w:rFonts w:ascii="Open Sans" w:hAnsi="Open Sans" w:cs="Open Sans"/>
          <w:sz w:val="22"/>
          <w:szCs w:val="22"/>
        </w:rPr>
        <w:t xml:space="preserve"> state explicitly that these situations are not excluded</w:t>
      </w:r>
      <w:r>
        <w:rPr>
          <w:rFonts w:ascii="Open Sans" w:hAnsi="Open Sans" w:cs="Open Sans"/>
          <w:sz w:val="22"/>
          <w:szCs w:val="22"/>
        </w:rPr>
        <w:t xml:space="preserve">. </w:t>
      </w:r>
    </w:p>
    <w:p w14:paraId="2408FB2F" w14:textId="77777777" w:rsidR="004B1DC8" w:rsidRPr="00F459A1" w:rsidRDefault="004B1DC8" w:rsidP="00FA6E6F">
      <w:pPr>
        <w:pStyle w:val="Default"/>
        <w:numPr>
          <w:ilvl w:val="1"/>
          <w:numId w:val="3"/>
        </w:numPr>
        <w:spacing w:before="120" w:after="120"/>
        <w:rPr>
          <w:rFonts w:ascii="Open Sans" w:hAnsi="Open Sans" w:cs="Open Sans"/>
          <w:sz w:val="22"/>
          <w:szCs w:val="22"/>
        </w:rPr>
      </w:pPr>
    </w:p>
    <w:p w14:paraId="0798F6EB" w14:textId="77777777" w:rsidR="004B1DC8" w:rsidRPr="00F459A1" w:rsidRDefault="004B1DC8" w:rsidP="00FA6E6F">
      <w:pPr>
        <w:pStyle w:val="Default"/>
        <w:spacing w:before="120" w:after="120"/>
        <w:rPr>
          <w:rFonts w:ascii="Open Sans" w:hAnsi="Open Sans" w:cs="Open Sans"/>
          <w:sz w:val="22"/>
          <w:szCs w:val="22"/>
        </w:rPr>
      </w:pPr>
      <w:r w:rsidRPr="00F459A1">
        <w:rPr>
          <w:rFonts w:ascii="Open Sans" w:hAnsi="Open Sans" w:cs="Open Sans"/>
          <w:b/>
          <w:bCs/>
          <w:sz w:val="22"/>
          <w:szCs w:val="22"/>
        </w:rPr>
        <w:t xml:space="preserve">Equipment used to produce biomethane (Table 1) </w:t>
      </w:r>
    </w:p>
    <w:p w14:paraId="12455BBB" w14:textId="03C1528F" w:rsidR="004B1DC8" w:rsidRPr="00F459A1" w:rsidRDefault="004B1DC8" w:rsidP="00FA6E6F">
      <w:pPr>
        <w:pStyle w:val="Default"/>
        <w:numPr>
          <w:ilvl w:val="1"/>
          <w:numId w:val="4"/>
        </w:numPr>
        <w:spacing w:before="120" w:after="120"/>
        <w:rPr>
          <w:rFonts w:ascii="Open Sans" w:hAnsi="Open Sans" w:cs="Open Sans"/>
          <w:sz w:val="22"/>
          <w:szCs w:val="22"/>
        </w:rPr>
      </w:pPr>
      <w:r w:rsidRPr="00F459A1">
        <w:rPr>
          <w:rFonts w:ascii="Open Sans" w:hAnsi="Open Sans" w:cs="Open Sans"/>
          <w:sz w:val="22"/>
          <w:szCs w:val="22"/>
        </w:rPr>
        <w:t xml:space="preserve">The Network Entry Facility (NEF) or Grid Entry unit (GEU) a. The NEF/GEU often has spare capacity, which presents a good opportunity to inject additional biomethane from a new GGSS facility, without commissioning a new gas grid connection, which can be time consuming. This appears to be recognised since the measurement equipment is categorised as non-GGSS </w:t>
      </w:r>
      <w:proofErr w:type="gramStart"/>
      <w:r w:rsidRPr="00F459A1">
        <w:rPr>
          <w:rFonts w:ascii="Open Sans" w:hAnsi="Open Sans" w:cs="Open Sans"/>
          <w:sz w:val="22"/>
          <w:szCs w:val="22"/>
        </w:rPr>
        <w:t>equipment</w:t>
      </w:r>
      <w:proofErr w:type="gramEnd"/>
      <w:r w:rsidR="00BA35EB">
        <w:rPr>
          <w:rFonts w:ascii="Open Sans" w:hAnsi="Open Sans" w:cs="Open Sans"/>
          <w:sz w:val="22"/>
          <w:szCs w:val="22"/>
        </w:rPr>
        <w:t xml:space="preserve"> but it would be useful to make it clear. </w:t>
      </w:r>
      <w:r w:rsidRPr="00F459A1">
        <w:rPr>
          <w:rFonts w:ascii="Open Sans" w:hAnsi="Open Sans" w:cs="Open Sans"/>
          <w:sz w:val="22"/>
          <w:szCs w:val="22"/>
        </w:rPr>
        <w:t xml:space="preserve"> </w:t>
      </w:r>
    </w:p>
    <w:p w14:paraId="09DCDDEB" w14:textId="1BEA1496" w:rsidR="004B1DC8" w:rsidRDefault="004B1DC8" w:rsidP="00FA6E6F">
      <w:pPr>
        <w:pStyle w:val="Default"/>
        <w:numPr>
          <w:ilvl w:val="1"/>
          <w:numId w:val="4"/>
        </w:numPr>
        <w:spacing w:before="120" w:after="120"/>
        <w:rPr>
          <w:rFonts w:ascii="Open Sans" w:hAnsi="Open Sans" w:cs="Open Sans"/>
          <w:sz w:val="22"/>
          <w:szCs w:val="22"/>
        </w:rPr>
      </w:pPr>
      <w:r w:rsidRPr="00F459A1">
        <w:rPr>
          <w:rFonts w:ascii="Open Sans" w:hAnsi="Open Sans" w:cs="Open Sans"/>
          <w:sz w:val="22"/>
          <w:szCs w:val="22"/>
        </w:rPr>
        <w:t>The NEF/GEU usually incorporates, in a single package unit, propanation</w:t>
      </w:r>
      <w:r w:rsidR="00BA35EB">
        <w:rPr>
          <w:rFonts w:ascii="Open Sans" w:hAnsi="Open Sans" w:cs="Open Sans"/>
          <w:sz w:val="22"/>
          <w:szCs w:val="22"/>
        </w:rPr>
        <w:t>,</w:t>
      </w:r>
      <w:r w:rsidRPr="00F459A1">
        <w:rPr>
          <w:rFonts w:ascii="Open Sans" w:hAnsi="Open Sans" w:cs="Open Sans"/>
          <w:sz w:val="22"/>
          <w:szCs w:val="22"/>
        </w:rPr>
        <w:t xml:space="preserve"> odori</w:t>
      </w:r>
      <w:r w:rsidR="00BA35EB">
        <w:rPr>
          <w:rFonts w:ascii="Open Sans" w:hAnsi="Open Sans" w:cs="Open Sans"/>
          <w:sz w:val="22"/>
          <w:szCs w:val="22"/>
        </w:rPr>
        <w:t>s</w:t>
      </w:r>
      <w:r w:rsidRPr="00F459A1">
        <w:rPr>
          <w:rFonts w:ascii="Open Sans" w:hAnsi="Open Sans" w:cs="Open Sans"/>
          <w:sz w:val="22"/>
          <w:szCs w:val="22"/>
        </w:rPr>
        <w:t xml:space="preserve">ation and measurement of the energy content and volume of gas entering the network. However, these components are split between the two sections of Table 1. This would </w:t>
      </w:r>
      <w:r w:rsidRPr="00F459A1">
        <w:rPr>
          <w:rFonts w:ascii="Open Sans" w:hAnsi="Open Sans" w:cs="Open Sans"/>
          <w:sz w:val="22"/>
          <w:szCs w:val="22"/>
        </w:rPr>
        <w:lastRenderedPageBreak/>
        <w:t>cause practical difficulties and make it difficult for a single NEF/GEU to serve a GGSS plant and an adjacent non-GGSS plant. The odorising and propanation stages are not significant costs and should be removed from the GGSS</w:t>
      </w:r>
      <w:r w:rsidR="00BA35EB">
        <w:rPr>
          <w:rFonts w:ascii="Open Sans" w:hAnsi="Open Sans" w:cs="Open Sans"/>
          <w:sz w:val="22"/>
          <w:szCs w:val="22"/>
        </w:rPr>
        <w:t>-</w:t>
      </w:r>
      <w:r w:rsidRPr="00F459A1">
        <w:rPr>
          <w:rFonts w:ascii="Open Sans" w:hAnsi="Open Sans" w:cs="Open Sans"/>
          <w:sz w:val="22"/>
          <w:szCs w:val="22"/>
        </w:rPr>
        <w:t>equipment category</w:t>
      </w:r>
      <w:r w:rsidR="00BA35EB">
        <w:rPr>
          <w:rFonts w:ascii="Open Sans" w:hAnsi="Open Sans" w:cs="Open Sans"/>
          <w:sz w:val="22"/>
          <w:szCs w:val="22"/>
        </w:rPr>
        <w:t xml:space="preserve"> and be moved along with the measuring </w:t>
      </w:r>
      <w:r w:rsidR="00C27395">
        <w:rPr>
          <w:rFonts w:ascii="Open Sans" w:hAnsi="Open Sans" w:cs="Open Sans"/>
          <w:sz w:val="22"/>
          <w:szCs w:val="22"/>
        </w:rPr>
        <w:t>equipment</w:t>
      </w:r>
      <w:r w:rsidRPr="00F459A1">
        <w:rPr>
          <w:rFonts w:ascii="Open Sans" w:hAnsi="Open Sans" w:cs="Open Sans"/>
          <w:sz w:val="22"/>
          <w:szCs w:val="22"/>
        </w:rPr>
        <w:t xml:space="preserve">. </w:t>
      </w:r>
    </w:p>
    <w:p w14:paraId="15CD2BE4" w14:textId="58F2AA94" w:rsidR="00906990" w:rsidRPr="00906990" w:rsidRDefault="000B2421" w:rsidP="00906990">
      <w:pPr>
        <w:pStyle w:val="Default"/>
        <w:spacing w:before="120" w:after="120"/>
        <w:rPr>
          <w:rFonts w:ascii="Open Sans" w:hAnsi="Open Sans" w:cs="Open Sans"/>
          <w:sz w:val="22"/>
          <w:szCs w:val="22"/>
        </w:rPr>
      </w:pPr>
      <w:r>
        <w:rPr>
          <w:rFonts w:ascii="Open Sans" w:hAnsi="Open Sans" w:cs="Open Sans"/>
          <w:sz w:val="22"/>
          <w:szCs w:val="22"/>
        </w:rPr>
        <w:t xml:space="preserve">A member noted that </w:t>
      </w:r>
      <w:r w:rsidR="00906990">
        <w:rPr>
          <w:rFonts w:ascii="Open Sans" w:hAnsi="Open Sans" w:cs="Open Sans"/>
          <w:sz w:val="22"/>
          <w:szCs w:val="22"/>
        </w:rPr>
        <w:t>in</w:t>
      </w:r>
      <w:r w:rsidR="00906990" w:rsidRPr="00906990">
        <w:rPr>
          <w:rFonts w:ascii="Open Sans" w:hAnsi="Open Sans" w:cs="Open Sans"/>
          <w:sz w:val="22"/>
          <w:szCs w:val="22"/>
        </w:rPr>
        <w:t xml:space="preserve"> </w:t>
      </w:r>
      <w:r w:rsidR="00906990">
        <w:rPr>
          <w:rFonts w:ascii="Open Sans" w:hAnsi="Open Sans" w:cs="Open Sans"/>
          <w:sz w:val="22"/>
          <w:szCs w:val="22"/>
        </w:rPr>
        <w:t xml:space="preserve">Table 1, the first box (‘Integral equipment usually included in the definition of ‘equipment used to produce biomethane’) includes </w:t>
      </w:r>
      <w:r w:rsidR="00906990" w:rsidRPr="00906990">
        <w:rPr>
          <w:rFonts w:ascii="Open Sans" w:hAnsi="Open Sans" w:cs="Open Sans"/>
          <w:sz w:val="22"/>
          <w:szCs w:val="22"/>
        </w:rPr>
        <w:t>propane and odorant injection. However</w:t>
      </w:r>
      <w:r w:rsidR="00906990">
        <w:rPr>
          <w:rFonts w:ascii="Open Sans" w:hAnsi="Open Sans" w:cs="Open Sans"/>
          <w:sz w:val="22"/>
          <w:szCs w:val="22"/>
        </w:rPr>
        <w:t>,</w:t>
      </w:r>
      <w:r w:rsidR="00906990" w:rsidRPr="00906990">
        <w:rPr>
          <w:rFonts w:ascii="Open Sans" w:hAnsi="Open Sans" w:cs="Open Sans"/>
          <w:sz w:val="22"/>
          <w:szCs w:val="22"/>
        </w:rPr>
        <w:t xml:space="preserve"> Box 2 </w:t>
      </w:r>
      <w:r w:rsidR="00906990">
        <w:rPr>
          <w:rFonts w:ascii="Open Sans" w:hAnsi="Open Sans" w:cs="Open Sans"/>
          <w:sz w:val="22"/>
          <w:szCs w:val="22"/>
        </w:rPr>
        <w:t>‘E</w:t>
      </w:r>
      <w:r w:rsidR="00906990" w:rsidRPr="00906990">
        <w:rPr>
          <w:rFonts w:ascii="Open Sans" w:hAnsi="Open Sans" w:cs="Open Sans"/>
          <w:sz w:val="22"/>
          <w:szCs w:val="22"/>
        </w:rPr>
        <w:t xml:space="preserve">quipment not </w:t>
      </w:r>
      <w:r w:rsidR="00906990">
        <w:rPr>
          <w:rFonts w:ascii="Open Sans" w:hAnsi="Open Sans" w:cs="Open Sans"/>
          <w:sz w:val="22"/>
          <w:szCs w:val="22"/>
        </w:rPr>
        <w:t>included in the definition…’ includes</w:t>
      </w:r>
      <w:r w:rsidR="00906990" w:rsidRPr="00906990">
        <w:rPr>
          <w:rFonts w:ascii="Open Sans" w:hAnsi="Open Sans" w:cs="Open Sans"/>
          <w:sz w:val="22"/>
          <w:szCs w:val="22"/>
        </w:rPr>
        <w:t xml:space="preserve"> measure</w:t>
      </w:r>
      <w:r w:rsidR="00906990">
        <w:rPr>
          <w:rFonts w:ascii="Open Sans" w:hAnsi="Open Sans" w:cs="Open Sans"/>
          <w:sz w:val="22"/>
          <w:szCs w:val="22"/>
        </w:rPr>
        <w:t>ment of</w:t>
      </w:r>
      <w:r w:rsidR="00906990" w:rsidRPr="00906990">
        <w:rPr>
          <w:rFonts w:ascii="Open Sans" w:hAnsi="Open Sans" w:cs="Open Sans"/>
          <w:sz w:val="22"/>
          <w:szCs w:val="22"/>
        </w:rPr>
        <w:t xml:space="preserve"> energy content and volume. </w:t>
      </w:r>
    </w:p>
    <w:p w14:paraId="62E3FD93" w14:textId="694CCC1D" w:rsidR="000B2421" w:rsidRDefault="00906990" w:rsidP="00906990">
      <w:pPr>
        <w:pStyle w:val="Default"/>
        <w:spacing w:before="120" w:after="120"/>
        <w:rPr>
          <w:rFonts w:ascii="Open Sans" w:hAnsi="Open Sans" w:cs="Open Sans"/>
          <w:sz w:val="22"/>
          <w:szCs w:val="22"/>
        </w:rPr>
      </w:pPr>
      <w:proofErr w:type="gramStart"/>
      <w:r w:rsidRPr="00906990">
        <w:rPr>
          <w:rFonts w:ascii="Open Sans" w:hAnsi="Open Sans" w:cs="Open Sans"/>
          <w:sz w:val="22"/>
          <w:szCs w:val="22"/>
        </w:rPr>
        <w:t>Both of these</w:t>
      </w:r>
      <w:proofErr w:type="gramEnd"/>
      <w:r w:rsidRPr="00906990">
        <w:rPr>
          <w:rFonts w:ascii="Open Sans" w:hAnsi="Open Sans" w:cs="Open Sans"/>
          <w:sz w:val="22"/>
          <w:szCs w:val="22"/>
        </w:rPr>
        <w:t xml:space="preserve"> function</w:t>
      </w:r>
      <w:r>
        <w:rPr>
          <w:rFonts w:ascii="Open Sans" w:hAnsi="Open Sans" w:cs="Open Sans"/>
          <w:sz w:val="22"/>
          <w:szCs w:val="22"/>
        </w:rPr>
        <w:t>s</w:t>
      </w:r>
      <w:r w:rsidRPr="00906990">
        <w:rPr>
          <w:rFonts w:ascii="Open Sans" w:hAnsi="Open Sans" w:cs="Open Sans"/>
          <w:sz w:val="22"/>
          <w:szCs w:val="22"/>
        </w:rPr>
        <w:t xml:space="preserve"> are included in the grid entry unit (as per attached drawing)</w:t>
      </w:r>
      <w:r>
        <w:rPr>
          <w:rFonts w:ascii="Open Sans" w:hAnsi="Open Sans" w:cs="Open Sans"/>
          <w:sz w:val="22"/>
          <w:szCs w:val="22"/>
        </w:rPr>
        <w:t xml:space="preserve"> </w:t>
      </w:r>
      <w:r w:rsidRPr="00906990">
        <w:rPr>
          <w:rFonts w:ascii="Open Sans" w:hAnsi="Open Sans" w:cs="Open Sans"/>
          <w:sz w:val="22"/>
          <w:szCs w:val="22"/>
        </w:rPr>
        <w:t>and require both parts to run together as they are all linked with in the GEU software. Therefore</w:t>
      </w:r>
      <w:r>
        <w:rPr>
          <w:rFonts w:ascii="Open Sans" w:hAnsi="Open Sans" w:cs="Open Sans"/>
          <w:sz w:val="22"/>
          <w:szCs w:val="22"/>
        </w:rPr>
        <w:t>,</w:t>
      </w:r>
      <w:r w:rsidRPr="00906990">
        <w:rPr>
          <w:rFonts w:ascii="Open Sans" w:hAnsi="Open Sans" w:cs="Open Sans"/>
          <w:sz w:val="22"/>
          <w:szCs w:val="22"/>
        </w:rPr>
        <w:t xml:space="preserve"> </w:t>
      </w:r>
      <w:r>
        <w:rPr>
          <w:rFonts w:ascii="Open Sans" w:hAnsi="Open Sans" w:cs="Open Sans"/>
          <w:sz w:val="22"/>
          <w:szCs w:val="22"/>
        </w:rPr>
        <w:t xml:space="preserve">they should be captured in the same box. </w:t>
      </w:r>
    </w:p>
    <w:p w14:paraId="6319E2D5" w14:textId="77777777" w:rsidR="000B2421" w:rsidRPr="00F459A1" w:rsidRDefault="000B2421" w:rsidP="000B2421">
      <w:pPr>
        <w:pStyle w:val="Default"/>
        <w:spacing w:before="120" w:after="120"/>
        <w:rPr>
          <w:rFonts w:ascii="Open Sans" w:hAnsi="Open Sans" w:cs="Open Sans"/>
          <w:sz w:val="22"/>
          <w:szCs w:val="22"/>
        </w:rPr>
      </w:pPr>
    </w:p>
    <w:p w14:paraId="16C75EB6" w14:textId="77777777" w:rsidR="00C27395" w:rsidRPr="00C35BA8" w:rsidRDefault="004B1DC8" w:rsidP="00FA6E6F">
      <w:pPr>
        <w:pStyle w:val="Default"/>
        <w:numPr>
          <w:ilvl w:val="1"/>
          <w:numId w:val="4"/>
        </w:numPr>
        <w:spacing w:before="120" w:after="120"/>
        <w:rPr>
          <w:rFonts w:ascii="Open Sans" w:hAnsi="Open Sans" w:cs="Open Sans"/>
          <w:b/>
          <w:bCs/>
          <w:sz w:val="22"/>
          <w:szCs w:val="22"/>
        </w:rPr>
      </w:pPr>
      <w:r w:rsidRPr="00C35BA8">
        <w:rPr>
          <w:rFonts w:ascii="Open Sans" w:hAnsi="Open Sans" w:cs="Open Sans"/>
          <w:b/>
          <w:bCs/>
          <w:sz w:val="22"/>
          <w:szCs w:val="22"/>
        </w:rPr>
        <w:t xml:space="preserve">Other components </w:t>
      </w:r>
    </w:p>
    <w:p w14:paraId="486B22EF" w14:textId="2FEB483B" w:rsidR="004B1DC8" w:rsidRPr="00F459A1" w:rsidRDefault="004B1DC8" w:rsidP="00FA6E6F">
      <w:pPr>
        <w:pStyle w:val="Default"/>
        <w:numPr>
          <w:ilvl w:val="1"/>
          <w:numId w:val="4"/>
        </w:numPr>
        <w:spacing w:before="120" w:after="120"/>
        <w:rPr>
          <w:rFonts w:ascii="Open Sans" w:hAnsi="Open Sans" w:cs="Open Sans"/>
          <w:sz w:val="22"/>
          <w:szCs w:val="22"/>
        </w:rPr>
      </w:pPr>
      <w:r w:rsidRPr="00F459A1">
        <w:rPr>
          <w:rFonts w:ascii="Open Sans" w:hAnsi="Open Sans" w:cs="Open Sans"/>
          <w:sz w:val="22"/>
          <w:szCs w:val="22"/>
        </w:rPr>
        <w:t>It would not be possible for a plant consisting of only the specified “GGSS equipment” plus the specified “non-GGSS equipment” to function. A plant also needs many components that are unspecified (</w:t>
      </w:r>
      <w:proofErr w:type="gramStart"/>
      <w:r w:rsidRPr="00F459A1">
        <w:rPr>
          <w:rFonts w:ascii="Open Sans" w:hAnsi="Open Sans" w:cs="Open Sans"/>
          <w:sz w:val="22"/>
          <w:szCs w:val="22"/>
        </w:rPr>
        <w:t>i.e.</w:t>
      </w:r>
      <w:proofErr w:type="gramEnd"/>
      <w:r w:rsidRPr="00F459A1">
        <w:rPr>
          <w:rFonts w:ascii="Open Sans" w:hAnsi="Open Sans" w:cs="Open Sans"/>
          <w:sz w:val="22"/>
          <w:szCs w:val="22"/>
        </w:rPr>
        <w:t xml:space="preserve"> they don’t appear in either section of Table 1). An unintended consequence could be that new GGSS plants are built adjacent to NDRHI plants, with unnecessary duplication of the unspecified components resulting in plants that are overcomplicated and inefficient. </w:t>
      </w:r>
    </w:p>
    <w:p w14:paraId="512817D8" w14:textId="53C26A4C" w:rsidR="004B1DC8" w:rsidRPr="00F459A1" w:rsidRDefault="008F643A" w:rsidP="00FA6E6F">
      <w:pPr>
        <w:pStyle w:val="Default"/>
        <w:numPr>
          <w:ilvl w:val="1"/>
          <w:numId w:val="4"/>
        </w:numPr>
        <w:spacing w:before="120" w:after="120"/>
        <w:rPr>
          <w:rFonts w:ascii="Open Sans" w:hAnsi="Open Sans" w:cs="Open Sans"/>
          <w:sz w:val="22"/>
          <w:szCs w:val="22"/>
        </w:rPr>
      </w:pPr>
      <w:r>
        <w:rPr>
          <w:rFonts w:ascii="Open Sans" w:hAnsi="Open Sans" w:cs="Open Sans"/>
          <w:sz w:val="22"/>
          <w:szCs w:val="22"/>
        </w:rPr>
        <w:t xml:space="preserve">For this reason, it would be </w:t>
      </w:r>
      <w:r w:rsidR="004B1DC8" w:rsidRPr="00F459A1">
        <w:rPr>
          <w:rFonts w:ascii="Open Sans" w:hAnsi="Open Sans" w:cs="Open Sans"/>
          <w:sz w:val="22"/>
          <w:szCs w:val="22"/>
        </w:rPr>
        <w:t xml:space="preserve">helpful </w:t>
      </w:r>
      <w:r>
        <w:rPr>
          <w:rFonts w:ascii="Open Sans" w:hAnsi="Open Sans" w:cs="Open Sans"/>
          <w:sz w:val="22"/>
          <w:szCs w:val="22"/>
        </w:rPr>
        <w:t xml:space="preserve">if the </w:t>
      </w:r>
      <w:r w:rsidR="004B1DC8" w:rsidRPr="00F459A1">
        <w:rPr>
          <w:rFonts w:ascii="Open Sans" w:hAnsi="Open Sans" w:cs="Open Sans"/>
          <w:sz w:val="22"/>
          <w:szCs w:val="22"/>
        </w:rPr>
        <w:t>guidance spe</w:t>
      </w:r>
      <w:r>
        <w:rPr>
          <w:rFonts w:ascii="Open Sans" w:hAnsi="Open Sans" w:cs="Open Sans"/>
          <w:sz w:val="22"/>
          <w:szCs w:val="22"/>
        </w:rPr>
        <w:t>lls out</w:t>
      </w:r>
      <w:r w:rsidR="004B1DC8" w:rsidRPr="00F459A1">
        <w:rPr>
          <w:rFonts w:ascii="Open Sans" w:hAnsi="Open Sans" w:cs="Open Sans"/>
          <w:sz w:val="22"/>
          <w:szCs w:val="22"/>
        </w:rPr>
        <w:t xml:space="preserve"> some of the non-GGSS equipment. </w:t>
      </w:r>
      <w:proofErr w:type="gramStart"/>
      <w:r>
        <w:rPr>
          <w:rFonts w:ascii="Open Sans" w:hAnsi="Open Sans" w:cs="Open Sans"/>
          <w:sz w:val="22"/>
          <w:szCs w:val="22"/>
        </w:rPr>
        <w:t>Or,</w:t>
      </w:r>
      <w:proofErr w:type="gramEnd"/>
      <w:r>
        <w:rPr>
          <w:rFonts w:ascii="Open Sans" w:hAnsi="Open Sans" w:cs="Open Sans"/>
          <w:sz w:val="22"/>
          <w:szCs w:val="22"/>
        </w:rPr>
        <w:t xml:space="preserve"> the guidance should </w:t>
      </w:r>
      <w:r w:rsidR="004B1DC8" w:rsidRPr="00F459A1">
        <w:rPr>
          <w:rFonts w:ascii="Open Sans" w:hAnsi="Open Sans" w:cs="Open Sans"/>
          <w:sz w:val="22"/>
          <w:szCs w:val="22"/>
        </w:rPr>
        <w:t xml:space="preserve">only </w:t>
      </w:r>
      <w:r>
        <w:rPr>
          <w:rFonts w:ascii="Open Sans" w:hAnsi="Open Sans" w:cs="Open Sans"/>
          <w:sz w:val="22"/>
          <w:szCs w:val="22"/>
        </w:rPr>
        <w:t xml:space="preserve">specify </w:t>
      </w:r>
      <w:r w:rsidR="004B1DC8" w:rsidRPr="00F459A1">
        <w:rPr>
          <w:rFonts w:ascii="Open Sans" w:hAnsi="Open Sans" w:cs="Open Sans"/>
          <w:sz w:val="22"/>
          <w:szCs w:val="22"/>
        </w:rPr>
        <w:t xml:space="preserve">the GGSS equipment </w:t>
      </w:r>
      <w:r>
        <w:rPr>
          <w:rFonts w:ascii="Open Sans" w:hAnsi="Open Sans" w:cs="Open Sans"/>
          <w:sz w:val="22"/>
          <w:szCs w:val="22"/>
        </w:rPr>
        <w:t>and make it clear</w:t>
      </w:r>
      <w:r w:rsidR="004B1DC8" w:rsidRPr="00F459A1">
        <w:rPr>
          <w:rFonts w:ascii="Open Sans" w:hAnsi="Open Sans" w:cs="Open Sans"/>
          <w:sz w:val="22"/>
          <w:szCs w:val="22"/>
        </w:rPr>
        <w:t xml:space="preserve"> that everything else is non-GGSS equipment that can be shared with an adjacent NDRHI facility or an adjacent ROC/</w:t>
      </w:r>
      <w:proofErr w:type="spellStart"/>
      <w:r w:rsidR="004B1DC8" w:rsidRPr="00F459A1">
        <w:rPr>
          <w:rFonts w:ascii="Open Sans" w:hAnsi="Open Sans" w:cs="Open Sans"/>
          <w:sz w:val="22"/>
          <w:szCs w:val="22"/>
        </w:rPr>
        <w:t>FiT</w:t>
      </w:r>
      <w:proofErr w:type="spellEnd"/>
      <w:r w:rsidR="004B1DC8" w:rsidRPr="00F459A1">
        <w:rPr>
          <w:rFonts w:ascii="Open Sans" w:hAnsi="Open Sans" w:cs="Open Sans"/>
          <w:sz w:val="22"/>
          <w:szCs w:val="22"/>
        </w:rPr>
        <w:t xml:space="preserve"> facility, whether itemised or not. </w:t>
      </w:r>
    </w:p>
    <w:p w14:paraId="10635C73" w14:textId="77777777" w:rsidR="008F643A" w:rsidRDefault="004B1DC8" w:rsidP="008F643A">
      <w:pPr>
        <w:pStyle w:val="Default"/>
        <w:spacing w:before="120" w:after="120"/>
        <w:rPr>
          <w:rFonts w:ascii="Open Sans" w:hAnsi="Open Sans" w:cs="Open Sans"/>
          <w:sz w:val="22"/>
          <w:szCs w:val="22"/>
        </w:rPr>
      </w:pPr>
      <w:r w:rsidRPr="00F459A1">
        <w:rPr>
          <w:rFonts w:ascii="Open Sans" w:hAnsi="Open Sans" w:cs="Open Sans"/>
          <w:sz w:val="22"/>
          <w:szCs w:val="22"/>
        </w:rPr>
        <w:t xml:space="preserve">If providing examples of non-GGSS components, please consider </w:t>
      </w:r>
      <w:proofErr w:type="gramStart"/>
      <w:r w:rsidRPr="00F459A1">
        <w:rPr>
          <w:rFonts w:ascii="Open Sans" w:hAnsi="Open Sans" w:cs="Open Sans"/>
          <w:sz w:val="22"/>
          <w:szCs w:val="22"/>
        </w:rPr>
        <w:t>including;</w:t>
      </w:r>
      <w:proofErr w:type="gramEnd"/>
      <w:r w:rsidRPr="00F459A1">
        <w:rPr>
          <w:rFonts w:ascii="Open Sans" w:hAnsi="Open Sans" w:cs="Open Sans"/>
          <w:sz w:val="22"/>
          <w:szCs w:val="22"/>
        </w:rPr>
        <w:t xml:space="preserve"> </w:t>
      </w:r>
    </w:p>
    <w:p w14:paraId="5F7E392A" w14:textId="0863F60C" w:rsidR="008F643A" w:rsidRDefault="004B1DC8" w:rsidP="008F643A">
      <w:pPr>
        <w:pStyle w:val="Default"/>
        <w:numPr>
          <w:ilvl w:val="0"/>
          <w:numId w:val="7"/>
        </w:numPr>
        <w:spacing w:before="120" w:after="120"/>
        <w:rPr>
          <w:rFonts w:ascii="Open Sans" w:hAnsi="Open Sans" w:cs="Open Sans"/>
          <w:sz w:val="22"/>
          <w:szCs w:val="22"/>
        </w:rPr>
      </w:pPr>
      <w:r w:rsidRPr="00F459A1">
        <w:rPr>
          <w:rFonts w:ascii="Open Sans" w:hAnsi="Open Sans" w:cs="Open Sans"/>
          <w:sz w:val="22"/>
          <w:szCs w:val="22"/>
        </w:rPr>
        <w:t>Suspension buffer tanks (which would need to be defined, to differentiate from digesters</w:t>
      </w:r>
      <w:proofErr w:type="gramStart"/>
      <w:r w:rsidRPr="00F459A1">
        <w:rPr>
          <w:rFonts w:ascii="Open Sans" w:hAnsi="Open Sans" w:cs="Open Sans"/>
          <w:sz w:val="22"/>
          <w:szCs w:val="22"/>
        </w:rPr>
        <w:t>);</w:t>
      </w:r>
      <w:proofErr w:type="gramEnd"/>
      <w:r w:rsidRPr="00F459A1">
        <w:rPr>
          <w:rFonts w:ascii="Open Sans" w:hAnsi="Open Sans" w:cs="Open Sans"/>
          <w:sz w:val="22"/>
          <w:szCs w:val="22"/>
        </w:rPr>
        <w:t xml:space="preserve"> </w:t>
      </w:r>
    </w:p>
    <w:p w14:paraId="043392E1" w14:textId="77777777" w:rsidR="008F643A" w:rsidRDefault="004B1DC8" w:rsidP="008F643A">
      <w:pPr>
        <w:pStyle w:val="Default"/>
        <w:numPr>
          <w:ilvl w:val="0"/>
          <w:numId w:val="7"/>
        </w:numPr>
        <w:spacing w:before="120" w:after="120"/>
        <w:rPr>
          <w:rFonts w:ascii="Open Sans" w:hAnsi="Open Sans" w:cs="Open Sans"/>
          <w:sz w:val="22"/>
          <w:szCs w:val="22"/>
        </w:rPr>
      </w:pPr>
      <w:r w:rsidRPr="008F643A">
        <w:rPr>
          <w:rFonts w:ascii="Open Sans" w:hAnsi="Open Sans" w:cs="Open Sans"/>
          <w:sz w:val="22"/>
          <w:szCs w:val="22"/>
        </w:rPr>
        <w:t>Digestate storage tanks (which would need to be defined, to differentiate from digesters</w:t>
      </w:r>
      <w:proofErr w:type="gramStart"/>
      <w:r w:rsidRPr="008F643A">
        <w:rPr>
          <w:rFonts w:ascii="Open Sans" w:hAnsi="Open Sans" w:cs="Open Sans"/>
          <w:sz w:val="22"/>
          <w:szCs w:val="22"/>
        </w:rPr>
        <w:t>);</w:t>
      </w:r>
      <w:proofErr w:type="gramEnd"/>
      <w:r w:rsidRPr="008F643A">
        <w:rPr>
          <w:rFonts w:ascii="Open Sans" w:hAnsi="Open Sans" w:cs="Open Sans"/>
          <w:sz w:val="22"/>
          <w:szCs w:val="22"/>
        </w:rPr>
        <w:t xml:space="preserve"> </w:t>
      </w:r>
    </w:p>
    <w:p w14:paraId="4C0856D4" w14:textId="0531DD90" w:rsidR="004B1DC8" w:rsidRPr="008F643A" w:rsidRDefault="004B1DC8" w:rsidP="008F643A">
      <w:pPr>
        <w:pStyle w:val="Default"/>
        <w:numPr>
          <w:ilvl w:val="0"/>
          <w:numId w:val="7"/>
        </w:numPr>
        <w:spacing w:before="120" w:after="120"/>
        <w:rPr>
          <w:rFonts w:ascii="Open Sans" w:hAnsi="Open Sans" w:cs="Open Sans"/>
          <w:sz w:val="22"/>
          <w:szCs w:val="22"/>
        </w:rPr>
      </w:pPr>
      <w:r w:rsidRPr="008F643A">
        <w:rPr>
          <w:rFonts w:ascii="Open Sans" w:hAnsi="Open Sans" w:cs="Open Sans"/>
          <w:sz w:val="22"/>
          <w:szCs w:val="22"/>
        </w:rPr>
        <w:t xml:space="preserve">Process water or </w:t>
      </w:r>
      <w:proofErr w:type="spellStart"/>
      <w:r w:rsidRPr="008F643A">
        <w:rPr>
          <w:rFonts w:ascii="Open Sans" w:hAnsi="Open Sans" w:cs="Open Sans"/>
          <w:sz w:val="22"/>
          <w:szCs w:val="22"/>
        </w:rPr>
        <w:t>centrate</w:t>
      </w:r>
      <w:proofErr w:type="spellEnd"/>
      <w:r w:rsidRPr="008F643A">
        <w:rPr>
          <w:rFonts w:ascii="Open Sans" w:hAnsi="Open Sans" w:cs="Open Sans"/>
          <w:sz w:val="22"/>
          <w:szCs w:val="22"/>
        </w:rPr>
        <w:t xml:space="preserve"> </w:t>
      </w:r>
      <w:proofErr w:type="gramStart"/>
      <w:r w:rsidRPr="008F643A">
        <w:rPr>
          <w:rFonts w:ascii="Open Sans" w:hAnsi="Open Sans" w:cs="Open Sans"/>
          <w:sz w:val="22"/>
          <w:szCs w:val="22"/>
        </w:rPr>
        <w:t>tanks;</w:t>
      </w:r>
      <w:proofErr w:type="gramEnd"/>
      <w:r w:rsidRPr="008F643A">
        <w:rPr>
          <w:rFonts w:ascii="Open Sans" w:hAnsi="Open Sans" w:cs="Open Sans"/>
          <w:sz w:val="22"/>
          <w:szCs w:val="22"/>
        </w:rPr>
        <w:t xml:space="preserve"> </w:t>
      </w:r>
    </w:p>
    <w:p w14:paraId="76F7E1F2" w14:textId="650D8120" w:rsidR="004B1DC8" w:rsidRPr="00F459A1" w:rsidRDefault="004B1DC8" w:rsidP="008F643A">
      <w:pPr>
        <w:pStyle w:val="Default"/>
        <w:numPr>
          <w:ilvl w:val="0"/>
          <w:numId w:val="7"/>
        </w:numPr>
        <w:spacing w:before="120" w:after="120"/>
        <w:rPr>
          <w:rFonts w:ascii="Open Sans" w:hAnsi="Open Sans" w:cs="Open Sans"/>
          <w:sz w:val="22"/>
          <w:szCs w:val="22"/>
        </w:rPr>
      </w:pPr>
      <w:r w:rsidRPr="00F459A1">
        <w:rPr>
          <w:rFonts w:ascii="Open Sans" w:hAnsi="Open Sans" w:cs="Open Sans"/>
          <w:sz w:val="22"/>
          <w:szCs w:val="22"/>
        </w:rPr>
        <w:t>Biogas conditioning (systems for removal of crude contamination, moisture and H</w:t>
      </w:r>
      <w:r w:rsidRPr="000A518A">
        <w:rPr>
          <w:rFonts w:ascii="Open Sans" w:hAnsi="Open Sans" w:cs="Open Sans"/>
          <w:sz w:val="22"/>
          <w:szCs w:val="22"/>
          <w:vertAlign w:val="subscript"/>
        </w:rPr>
        <w:t>2</w:t>
      </w:r>
      <w:r w:rsidRPr="00F459A1">
        <w:rPr>
          <w:rFonts w:ascii="Open Sans" w:hAnsi="Open Sans" w:cs="Open Sans"/>
          <w:sz w:val="22"/>
          <w:szCs w:val="22"/>
        </w:rPr>
        <w:t>S (etc), not for removal of O</w:t>
      </w:r>
      <w:r w:rsidRPr="000A518A">
        <w:rPr>
          <w:rFonts w:ascii="Open Sans" w:hAnsi="Open Sans" w:cs="Open Sans"/>
          <w:sz w:val="22"/>
          <w:szCs w:val="22"/>
          <w:vertAlign w:val="subscript"/>
        </w:rPr>
        <w:t xml:space="preserve">2 </w:t>
      </w:r>
      <w:r w:rsidRPr="00F459A1">
        <w:rPr>
          <w:rFonts w:ascii="Open Sans" w:hAnsi="Open Sans" w:cs="Open Sans"/>
          <w:sz w:val="22"/>
          <w:szCs w:val="22"/>
        </w:rPr>
        <w:t>and CO</w:t>
      </w:r>
      <w:r w:rsidRPr="000A518A">
        <w:rPr>
          <w:rFonts w:ascii="Open Sans" w:hAnsi="Open Sans" w:cs="Open Sans"/>
          <w:sz w:val="22"/>
          <w:szCs w:val="22"/>
          <w:vertAlign w:val="subscript"/>
        </w:rPr>
        <w:t>2</w:t>
      </w:r>
      <w:proofErr w:type="gramStart"/>
      <w:r w:rsidRPr="00F459A1">
        <w:rPr>
          <w:rFonts w:ascii="Open Sans" w:hAnsi="Open Sans" w:cs="Open Sans"/>
          <w:sz w:val="22"/>
          <w:szCs w:val="22"/>
        </w:rPr>
        <w:t>);</w:t>
      </w:r>
      <w:proofErr w:type="gramEnd"/>
      <w:r w:rsidRPr="00F459A1">
        <w:rPr>
          <w:rFonts w:ascii="Open Sans" w:hAnsi="Open Sans" w:cs="Open Sans"/>
          <w:sz w:val="22"/>
          <w:szCs w:val="22"/>
        </w:rPr>
        <w:t xml:space="preserve"> </w:t>
      </w:r>
    </w:p>
    <w:p w14:paraId="1EA40670" w14:textId="521FA215" w:rsidR="004B1DC8" w:rsidRPr="00F459A1" w:rsidRDefault="004B1DC8" w:rsidP="008F643A">
      <w:pPr>
        <w:pStyle w:val="Default"/>
        <w:numPr>
          <w:ilvl w:val="0"/>
          <w:numId w:val="7"/>
        </w:numPr>
        <w:spacing w:before="120" w:after="120"/>
        <w:rPr>
          <w:rFonts w:ascii="Open Sans" w:hAnsi="Open Sans" w:cs="Open Sans"/>
          <w:sz w:val="22"/>
          <w:szCs w:val="22"/>
        </w:rPr>
      </w:pPr>
      <w:r w:rsidRPr="00F459A1">
        <w:rPr>
          <w:rFonts w:ascii="Open Sans" w:hAnsi="Open Sans" w:cs="Open Sans"/>
          <w:sz w:val="22"/>
          <w:szCs w:val="22"/>
        </w:rPr>
        <w:t xml:space="preserve">Biogas storage </w:t>
      </w:r>
      <w:proofErr w:type="gramStart"/>
      <w:r w:rsidRPr="00F459A1">
        <w:rPr>
          <w:rFonts w:ascii="Open Sans" w:hAnsi="Open Sans" w:cs="Open Sans"/>
          <w:sz w:val="22"/>
          <w:szCs w:val="22"/>
        </w:rPr>
        <w:t>systems;</w:t>
      </w:r>
      <w:proofErr w:type="gramEnd"/>
      <w:r w:rsidRPr="00F459A1">
        <w:rPr>
          <w:rFonts w:ascii="Open Sans" w:hAnsi="Open Sans" w:cs="Open Sans"/>
          <w:sz w:val="22"/>
          <w:szCs w:val="22"/>
        </w:rPr>
        <w:t xml:space="preserve"> </w:t>
      </w:r>
    </w:p>
    <w:p w14:paraId="728B9F6F" w14:textId="77777777" w:rsidR="008F643A" w:rsidRDefault="004B1DC8" w:rsidP="008F643A">
      <w:pPr>
        <w:pStyle w:val="Default"/>
        <w:numPr>
          <w:ilvl w:val="0"/>
          <w:numId w:val="7"/>
        </w:numPr>
        <w:spacing w:before="120" w:after="120"/>
        <w:rPr>
          <w:rFonts w:ascii="Open Sans" w:hAnsi="Open Sans" w:cs="Open Sans"/>
          <w:sz w:val="22"/>
          <w:szCs w:val="22"/>
        </w:rPr>
      </w:pPr>
      <w:r w:rsidRPr="00F459A1">
        <w:rPr>
          <w:rFonts w:ascii="Open Sans" w:hAnsi="Open Sans" w:cs="Open Sans"/>
          <w:sz w:val="22"/>
          <w:szCs w:val="22"/>
        </w:rPr>
        <w:t xml:space="preserve">Gas </w:t>
      </w:r>
      <w:proofErr w:type="gramStart"/>
      <w:r w:rsidRPr="00F459A1">
        <w:rPr>
          <w:rFonts w:ascii="Open Sans" w:hAnsi="Open Sans" w:cs="Open Sans"/>
          <w:sz w:val="22"/>
          <w:szCs w:val="22"/>
        </w:rPr>
        <w:t>pipework;</w:t>
      </w:r>
      <w:proofErr w:type="gramEnd"/>
      <w:r w:rsidRPr="00F459A1">
        <w:rPr>
          <w:rFonts w:ascii="Open Sans" w:hAnsi="Open Sans" w:cs="Open Sans"/>
          <w:sz w:val="22"/>
          <w:szCs w:val="22"/>
        </w:rPr>
        <w:t xml:space="preserve"> </w:t>
      </w:r>
    </w:p>
    <w:p w14:paraId="7A5BB167" w14:textId="71706214" w:rsidR="004B1DC8" w:rsidRPr="00F459A1" w:rsidRDefault="004B1DC8" w:rsidP="008F643A">
      <w:pPr>
        <w:pStyle w:val="Default"/>
        <w:numPr>
          <w:ilvl w:val="0"/>
          <w:numId w:val="7"/>
        </w:numPr>
        <w:spacing w:before="120" w:after="120"/>
        <w:rPr>
          <w:rFonts w:ascii="Open Sans" w:hAnsi="Open Sans" w:cs="Open Sans"/>
          <w:sz w:val="22"/>
          <w:szCs w:val="22"/>
        </w:rPr>
      </w:pPr>
      <w:r w:rsidRPr="00F459A1">
        <w:rPr>
          <w:rFonts w:ascii="Open Sans" w:hAnsi="Open Sans" w:cs="Open Sans"/>
          <w:sz w:val="22"/>
          <w:szCs w:val="22"/>
        </w:rPr>
        <w:t xml:space="preserve">Instrumentation and </w:t>
      </w:r>
      <w:proofErr w:type="gramStart"/>
      <w:r w:rsidRPr="00F459A1">
        <w:rPr>
          <w:rFonts w:ascii="Open Sans" w:hAnsi="Open Sans" w:cs="Open Sans"/>
          <w:sz w:val="22"/>
          <w:szCs w:val="22"/>
        </w:rPr>
        <w:t>control;</w:t>
      </w:r>
      <w:proofErr w:type="gramEnd"/>
      <w:r w:rsidRPr="00F459A1">
        <w:rPr>
          <w:rFonts w:ascii="Open Sans" w:hAnsi="Open Sans" w:cs="Open Sans"/>
          <w:sz w:val="22"/>
          <w:szCs w:val="22"/>
        </w:rPr>
        <w:t xml:space="preserve"> </w:t>
      </w:r>
    </w:p>
    <w:p w14:paraId="2AB1C35E" w14:textId="084CEFB2" w:rsidR="004B1DC8" w:rsidRPr="00F459A1" w:rsidRDefault="004B1DC8" w:rsidP="008F643A">
      <w:pPr>
        <w:pStyle w:val="Default"/>
        <w:numPr>
          <w:ilvl w:val="0"/>
          <w:numId w:val="7"/>
        </w:numPr>
        <w:spacing w:before="120" w:after="120"/>
        <w:rPr>
          <w:rFonts w:ascii="Open Sans" w:hAnsi="Open Sans" w:cs="Open Sans"/>
          <w:sz w:val="22"/>
          <w:szCs w:val="22"/>
        </w:rPr>
      </w:pPr>
      <w:r w:rsidRPr="00F459A1">
        <w:rPr>
          <w:rFonts w:ascii="Open Sans" w:hAnsi="Open Sans" w:cs="Open Sans"/>
          <w:sz w:val="22"/>
          <w:szCs w:val="22"/>
        </w:rPr>
        <w:t xml:space="preserve">Civil and structural </w:t>
      </w:r>
      <w:proofErr w:type="gramStart"/>
      <w:r w:rsidRPr="00F459A1">
        <w:rPr>
          <w:rFonts w:ascii="Open Sans" w:hAnsi="Open Sans" w:cs="Open Sans"/>
          <w:sz w:val="22"/>
          <w:szCs w:val="22"/>
        </w:rPr>
        <w:t>elements;</w:t>
      </w:r>
      <w:proofErr w:type="gramEnd"/>
      <w:r w:rsidRPr="00F459A1">
        <w:rPr>
          <w:rFonts w:ascii="Open Sans" w:hAnsi="Open Sans" w:cs="Open Sans"/>
          <w:sz w:val="22"/>
          <w:szCs w:val="22"/>
        </w:rPr>
        <w:t xml:space="preserve"> </w:t>
      </w:r>
    </w:p>
    <w:p w14:paraId="00A0A5E0" w14:textId="54673546" w:rsidR="004B1DC8" w:rsidRPr="00F459A1" w:rsidRDefault="004B1DC8" w:rsidP="008F643A">
      <w:pPr>
        <w:pStyle w:val="Default"/>
        <w:numPr>
          <w:ilvl w:val="0"/>
          <w:numId w:val="7"/>
        </w:numPr>
        <w:spacing w:before="120" w:after="120"/>
        <w:rPr>
          <w:rFonts w:ascii="Open Sans" w:hAnsi="Open Sans" w:cs="Open Sans"/>
          <w:sz w:val="22"/>
          <w:szCs w:val="22"/>
        </w:rPr>
      </w:pPr>
      <w:r w:rsidRPr="00F459A1">
        <w:rPr>
          <w:rFonts w:ascii="Open Sans" w:hAnsi="Open Sans" w:cs="Open Sans"/>
          <w:sz w:val="22"/>
          <w:szCs w:val="22"/>
        </w:rPr>
        <w:t>External works (</w:t>
      </w:r>
      <w:proofErr w:type="gramStart"/>
      <w:r w:rsidRPr="00F459A1">
        <w:rPr>
          <w:rFonts w:ascii="Open Sans" w:hAnsi="Open Sans" w:cs="Open Sans"/>
          <w:sz w:val="22"/>
          <w:szCs w:val="22"/>
        </w:rPr>
        <w:t>e.g.</w:t>
      </w:r>
      <w:proofErr w:type="gramEnd"/>
      <w:r w:rsidRPr="00F459A1">
        <w:rPr>
          <w:rFonts w:ascii="Open Sans" w:hAnsi="Open Sans" w:cs="Open Sans"/>
          <w:sz w:val="22"/>
          <w:szCs w:val="22"/>
        </w:rPr>
        <w:t xml:space="preserve"> site roads, external works, drainage etc); </w:t>
      </w:r>
    </w:p>
    <w:p w14:paraId="5AC997A2" w14:textId="77777777" w:rsidR="008F643A" w:rsidRDefault="004B1DC8" w:rsidP="008F643A">
      <w:pPr>
        <w:pStyle w:val="Default"/>
        <w:numPr>
          <w:ilvl w:val="0"/>
          <w:numId w:val="7"/>
        </w:numPr>
        <w:spacing w:before="120" w:after="120"/>
        <w:rPr>
          <w:rFonts w:ascii="Open Sans" w:hAnsi="Open Sans" w:cs="Open Sans"/>
          <w:sz w:val="22"/>
          <w:szCs w:val="22"/>
        </w:rPr>
      </w:pPr>
      <w:r w:rsidRPr="00F459A1">
        <w:rPr>
          <w:rFonts w:ascii="Open Sans" w:hAnsi="Open Sans" w:cs="Open Sans"/>
          <w:sz w:val="22"/>
          <w:szCs w:val="22"/>
        </w:rPr>
        <w:t xml:space="preserve">Access systems; and </w:t>
      </w:r>
    </w:p>
    <w:p w14:paraId="2D6DC24D" w14:textId="6110C104" w:rsidR="004B1DC8" w:rsidRPr="00F459A1" w:rsidRDefault="004B1DC8" w:rsidP="008F643A">
      <w:pPr>
        <w:pStyle w:val="Default"/>
        <w:numPr>
          <w:ilvl w:val="0"/>
          <w:numId w:val="7"/>
        </w:numPr>
        <w:spacing w:before="120" w:after="120"/>
        <w:rPr>
          <w:rFonts w:ascii="Open Sans" w:hAnsi="Open Sans" w:cs="Open Sans"/>
          <w:sz w:val="22"/>
          <w:szCs w:val="22"/>
        </w:rPr>
      </w:pPr>
      <w:r w:rsidRPr="00F459A1">
        <w:rPr>
          <w:rFonts w:ascii="Open Sans" w:hAnsi="Open Sans" w:cs="Open Sans"/>
          <w:sz w:val="22"/>
          <w:szCs w:val="22"/>
        </w:rPr>
        <w:t xml:space="preserve">Biomethane pipeline. </w:t>
      </w:r>
    </w:p>
    <w:p w14:paraId="66189B23" w14:textId="77777777" w:rsidR="008F643A" w:rsidRDefault="004B1DC8" w:rsidP="008F643A">
      <w:pPr>
        <w:pStyle w:val="Default"/>
        <w:numPr>
          <w:ilvl w:val="0"/>
          <w:numId w:val="7"/>
        </w:numPr>
        <w:spacing w:before="120" w:after="120"/>
        <w:rPr>
          <w:rFonts w:ascii="Open Sans" w:hAnsi="Open Sans" w:cs="Open Sans"/>
          <w:sz w:val="22"/>
          <w:szCs w:val="22"/>
        </w:rPr>
      </w:pPr>
      <w:r w:rsidRPr="00F459A1">
        <w:rPr>
          <w:rFonts w:ascii="Open Sans" w:hAnsi="Open Sans" w:cs="Open Sans"/>
          <w:sz w:val="22"/>
          <w:szCs w:val="22"/>
        </w:rPr>
        <w:lastRenderedPageBreak/>
        <w:t xml:space="preserve">Biogas handling system </w:t>
      </w:r>
    </w:p>
    <w:p w14:paraId="1E130A10" w14:textId="77777777" w:rsidR="008F643A" w:rsidRDefault="008F643A" w:rsidP="008F643A">
      <w:pPr>
        <w:pStyle w:val="Default"/>
        <w:spacing w:before="120" w:after="120"/>
        <w:rPr>
          <w:rFonts w:ascii="Open Sans" w:hAnsi="Open Sans" w:cs="Open Sans"/>
          <w:sz w:val="22"/>
          <w:szCs w:val="22"/>
        </w:rPr>
      </w:pPr>
    </w:p>
    <w:p w14:paraId="7FEB36B8" w14:textId="59048945" w:rsidR="004B1DC8" w:rsidRPr="00F459A1" w:rsidRDefault="004B1DC8" w:rsidP="008F643A">
      <w:pPr>
        <w:pStyle w:val="Default"/>
        <w:spacing w:before="120" w:after="120"/>
        <w:rPr>
          <w:rFonts w:ascii="Open Sans" w:hAnsi="Open Sans" w:cs="Open Sans"/>
          <w:sz w:val="22"/>
          <w:szCs w:val="22"/>
        </w:rPr>
      </w:pPr>
      <w:r w:rsidRPr="00F459A1">
        <w:rPr>
          <w:rFonts w:ascii="Open Sans" w:hAnsi="Open Sans" w:cs="Open Sans"/>
          <w:sz w:val="22"/>
          <w:szCs w:val="22"/>
        </w:rPr>
        <w:t xml:space="preserve">Table 1 includes “Equipment required to convert raw biogas into biomethane suitable for injection”. The interpretation of “raw biogas” would affect whether the biogas handling and conditioning equipment </w:t>
      </w:r>
      <w:proofErr w:type="gramStart"/>
      <w:r w:rsidRPr="00F459A1">
        <w:rPr>
          <w:rFonts w:ascii="Open Sans" w:hAnsi="Open Sans" w:cs="Open Sans"/>
          <w:sz w:val="22"/>
          <w:szCs w:val="22"/>
        </w:rPr>
        <w:t>is considered to be</w:t>
      </w:r>
      <w:proofErr w:type="gramEnd"/>
      <w:r w:rsidRPr="00F459A1">
        <w:rPr>
          <w:rFonts w:ascii="Open Sans" w:hAnsi="Open Sans" w:cs="Open Sans"/>
          <w:sz w:val="22"/>
          <w:szCs w:val="22"/>
        </w:rPr>
        <w:t xml:space="preserve"> GGSS equipment. We understand raw biogas to be the gas at the outlet of the digestion vessels and before any treatment stages. Others could understand it to be the gas at the inlet to the upgrading equipment (equipment for CO</w:t>
      </w:r>
      <w:r w:rsidRPr="003F27F3">
        <w:rPr>
          <w:rFonts w:ascii="Open Sans" w:hAnsi="Open Sans" w:cs="Open Sans"/>
          <w:sz w:val="22"/>
          <w:szCs w:val="22"/>
          <w:vertAlign w:val="subscript"/>
        </w:rPr>
        <w:t>2</w:t>
      </w:r>
      <w:r w:rsidRPr="00F459A1">
        <w:rPr>
          <w:rFonts w:ascii="Open Sans" w:hAnsi="Open Sans" w:cs="Open Sans"/>
          <w:sz w:val="22"/>
          <w:szCs w:val="22"/>
        </w:rPr>
        <w:t xml:space="preserve"> and oxygen removal) and after initial treatments (biogas conditioning). </w:t>
      </w:r>
    </w:p>
    <w:p w14:paraId="7D9F3490" w14:textId="06AE6FD1" w:rsidR="004B1DC8" w:rsidRPr="00F459A1" w:rsidRDefault="004B1DC8" w:rsidP="003F27F3">
      <w:pPr>
        <w:pStyle w:val="Default"/>
        <w:spacing w:before="120" w:after="120"/>
        <w:rPr>
          <w:rFonts w:ascii="Open Sans" w:hAnsi="Open Sans" w:cs="Open Sans"/>
          <w:sz w:val="22"/>
          <w:szCs w:val="22"/>
        </w:rPr>
      </w:pPr>
      <w:r w:rsidRPr="00F459A1">
        <w:rPr>
          <w:rFonts w:ascii="Open Sans" w:hAnsi="Open Sans" w:cs="Open Sans"/>
          <w:sz w:val="22"/>
          <w:szCs w:val="22"/>
        </w:rPr>
        <w:t xml:space="preserve">If it is acceptable for a GGSS facility and a non-GGSS facility to share a common biogas handling system, then it would be possible for biogas to cross between the two facilities. If applicable, Ofgem </w:t>
      </w:r>
      <w:r w:rsidR="003F27F3">
        <w:rPr>
          <w:rFonts w:ascii="Open Sans" w:hAnsi="Open Sans" w:cs="Open Sans"/>
          <w:sz w:val="22"/>
          <w:szCs w:val="22"/>
        </w:rPr>
        <w:t>should</w:t>
      </w:r>
      <w:r w:rsidRPr="00F459A1">
        <w:rPr>
          <w:rFonts w:ascii="Open Sans" w:hAnsi="Open Sans" w:cs="Open Sans"/>
          <w:sz w:val="22"/>
          <w:szCs w:val="22"/>
        </w:rPr>
        <w:t xml:space="preserve"> indicate how this kind of situation would be managed</w:t>
      </w:r>
      <w:r w:rsidR="003F27F3">
        <w:rPr>
          <w:rFonts w:ascii="Open Sans" w:hAnsi="Open Sans" w:cs="Open Sans"/>
          <w:sz w:val="22"/>
          <w:szCs w:val="22"/>
        </w:rPr>
        <w:t>.</w:t>
      </w:r>
      <w:r w:rsidRPr="00F459A1">
        <w:rPr>
          <w:rFonts w:ascii="Open Sans" w:hAnsi="Open Sans" w:cs="Open Sans"/>
          <w:sz w:val="22"/>
          <w:szCs w:val="22"/>
        </w:rPr>
        <w:t xml:space="preserve"> </w:t>
      </w:r>
    </w:p>
    <w:p w14:paraId="5FB0851A" w14:textId="77777777" w:rsidR="004B1DC8" w:rsidRPr="00F459A1" w:rsidRDefault="004B1DC8" w:rsidP="003F27F3">
      <w:pPr>
        <w:pStyle w:val="Default"/>
        <w:spacing w:before="120" w:after="120"/>
        <w:ind w:left="360"/>
        <w:rPr>
          <w:rFonts w:ascii="Open Sans" w:hAnsi="Open Sans" w:cs="Open Sans"/>
          <w:sz w:val="22"/>
          <w:szCs w:val="22"/>
        </w:rPr>
      </w:pPr>
    </w:p>
    <w:p w14:paraId="126D0160" w14:textId="77777777" w:rsidR="004B1DC8" w:rsidRPr="00F459A1" w:rsidRDefault="004B1DC8" w:rsidP="00FA6E6F">
      <w:pPr>
        <w:pStyle w:val="Default"/>
        <w:spacing w:before="120" w:after="120"/>
        <w:rPr>
          <w:rFonts w:ascii="Open Sans" w:hAnsi="Open Sans" w:cs="Open Sans"/>
          <w:sz w:val="22"/>
          <w:szCs w:val="22"/>
        </w:rPr>
      </w:pPr>
      <w:r w:rsidRPr="00F459A1">
        <w:rPr>
          <w:rFonts w:ascii="Open Sans" w:hAnsi="Open Sans" w:cs="Open Sans"/>
          <w:b/>
          <w:bCs/>
          <w:sz w:val="22"/>
          <w:szCs w:val="22"/>
        </w:rPr>
        <w:t xml:space="preserve">Application process and plant modifications </w:t>
      </w:r>
    </w:p>
    <w:p w14:paraId="5FC718E4" w14:textId="11A85215" w:rsidR="000D04B4" w:rsidRDefault="004B1DC8" w:rsidP="00FA6E6F">
      <w:pPr>
        <w:pStyle w:val="Default"/>
        <w:numPr>
          <w:ilvl w:val="1"/>
          <w:numId w:val="6"/>
        </w:numPr>
        <w:spacing w:before="120" w:after="120"/>
        <w:rPr>
          <w:rFonts w:ascii="Open Sans" w:hAnsi="Open Sans" w:cs="Open Sans"/>
          <w:sz w:val="22"/>
          <w:szCs w:val="22"/>
        </w:rPr>
      </w:pPr>
      <w:r w:rsidRPr="00F459A1">
        <w:rPr>
          <w:rFonts w:ascii="Open Sans" w:hAnsi="Open Sans" w:cs="Open Sans"/>
          <w:sz w:val="22"/>
          <w:szCs w:val="22"/>
        </w:rPr>
        <w:t>Section 8 of the guidance is not explicit about plant modifications</w:t>
      </w:r>
      <w:r w:rsidR="000D04B4">
        <w:rPr>
          <w:rFonts w:ascii="Open Sans" w:hAnsi="Open Sans" w:cs="Open Sans"/>
          <w:sz w:val="22"/>
          <w:szCs w:val="22"/>
        </w:rPr>
        <w:t>,</w:t>
      </w:r>
      <w:r w:rsidRPr="00F459A1">
        <w:rPr>
          <w:rFonts w:ascii="Open Sans" w:hAnsi="Open Sans" w:cs="Open Sans"/>
          <w:sz w:val="22"/>
          <w:szCs w:val="22"/>
        </w:rPr>
        <w:t xml:space="preserve"> but it implies that there will be zero tolerance for them, which would not appear to align with the scheme’s purpose </w:t>
      </w:r>
      <w:proofErr w:type="gramStart"/>
      <w:r w:rsidRPr="00F459A1">
        <w:rPr>
          <w:rFonts w:ascii="Open Sans" w:hAnsi="Open Sans" w:cs="Open Sans"/>
          <w:sz w:val="22"/>
          <w:szCs w:val="22"/>
        </w:rPr>
        <w:t>and also</w:t>
      </w:r>
      <w:proofErr w:type="gramEnd"/>
      <w:r w:rsidRPr="00F459A1">
        <w:rPr>
          <w:rFonts w:ascii="Open Sans" w:hAnsi="Open Sans" w:cs="Open Sans"/>
          <w:sz w:val="22"/>
          <w:szCs w:val="22"/>
        </w:rPr>
        <w:t xml:space="preserve"> appears to be a change of approach compared to the RHI. </w:t>
      </w:r>
    </w:p>
    <w:p w14:paraId="7ADA7A9E" w14:textId="4AEC02FD" w:rsidR="004B1DC8" w:rsidRPr="00F459A1" w:rsidRDefault="000B2421" w:rsidP="00FA6E6F">
      <w:pPr>
        <w:pStyle w:val="Default"/>
        <w:numPr>
          <w:ilvl w:val="1"/>
          <w:numId w:val="6"/>
        </w:numPr>
        <w:spacing w:before="120" w:after="120"/>
        <w:rPr>
          <w:rFonts w:ascii="Open Sans" w:hAnsi="Open Sans" w:cs="Open Sans"/>
          <w:sz w:val="22"/>
          <w:szCs w:val="22"/>
        </w:rPr>
      </w:pPr>
      <w:r>
        <w:rPr>
          <w:rFonts w:ascii="Open Sans" w:hAnsi="Open Sans" w:cs="Open Sans"/>
          <w:sz w:val="22"/>
          <w:szCs w:val="22"/>
        </w:rPr>
        <w:t>For example, i</w:t>
      </w:r>
      <w:r w:rsidR="004B1DC8" w:rsidRPr="00F459A1">
        <w:rPr>
          <w:rFonts w:ascii="Open Sans" w:hAnsi="Open Sans" w:cs="Open Sans"/>
          <w:sz w:val="22"/>
          <w:szCs w:val="22"/>
        </w:rPr>
        <w:t>f after construction and commissioning a project can only source feedstock with a lower quality than was anticipated in the GGSS application</w:t>
      </w:r>
      <w:r w:rsidR="000D04B4">
        <w:rPr>
          <w:rFonts w:ascii="Open Sans" w:hAnsi="Open Sans" w:cs="Open Sans"/>
          <w:sz w:val="22"/>
          <w:szCs w:val="22"/>
        </w:rPr>
        <w:t>,</w:t>
      </w:r>
      <w:r w:rsidR="004B1DC8" w:rsidRPr="00F459A1">
        <w:rPr>
          <w:rFonts w:ascii="Open Sans" w:hAnsi="Open Sans" w:cs="Open Sans"/>
          <w:sz w:val="22"/>
          <w:szCs w:val="22"/>
        </w:rPr>
        <w:t xml:space="preserve"> </w:t>
      </w:r>
      <w:r w:rsidR="000D04B4">
        <w:rPr>
          <w:rFonts w:ascii="Open Sans" w:hAnsi="Open Sans" w:cs="Open Sans"/>
          <w:sz w:val="22"/>
          <w:szCs w:val="22"/>
        </w:rPr>
        <w:t xml:space="preserve">the project </w:t>
      </w:r>
      <w:r>
        <w:rPr>
          <w:rFonts w:ascii="Open Sans" w:hAnsi="Open Sans" w:cs="Open Sans"/>
          <w:sz w:val="22"/>
          <w:szCs w:val="22"/>
        </w:rPr>
        <w:t xml:space="preserve">may need </w:t>
      </w:r>
      <w:r w:rsidR="004B1DC8" w:rsidRPr="00F459A1">
        <w:rPr>
          <w:rFonts w:ascii="Open Sans" w:hAnsi="Open Sans" w:cs="Open Sans"/>
          <w:sz w:val="22"/>
          <w:szCs w:val="22"/>
        </w:rPr>
        <w:t xml:space="preserve">more infrastructure </w:t>
      </w:r>
      <w:r>
        <w:rPr>
          <w:rFonts w:ascii="Open Sans" w:hAnsi="Open Sans" w:cs="Open Sans"/>
          <w:sz w:val="22"/>
          <w:szCs w:val="22"/>
        </w:rPr>
        <w:t xml:space="preserve">to </w:t>
      </w:r>
      <w:r w:rsidR="004B1DC8" w:rsidRPr="00F459A1">
        <w:rPr>
          <w:rFonts w:ascii="Open Sans" w:hAnsi="Open Sans" w:cs="Open Sans"/>
          <w:sz w:val="22"/>
          <w:szCs w:val="22"/>
        </w:rPr>
        <w:t>be added to allow the accredited biomethane production volume to be realised</w:t>
      </w:r>
      <w:r>
        <w:rPr>
          <w:rFonts w:ascii="Open Sans" w:hAnsi="Open Sans" w:cs="Open Sans"/>
          <w:sz w:val="22"/>
          <w:szCs w:val="22"/>
        </w:rPr>
        <w:t xml:space="preserve">. Ofgem should make it clear that this scenario is allowed. </w:t>
      </w:r>
    </w:p>
    <w:p w14:paraId="2A9EE8D3" w14:textId="703ED752" w:rsidR="004B1DC8" w:rsidRDefault="004B1DC8" w:rsidP="00FA6E6F">
      <w:pPr>
        <w:pStyle w:val="Default"/>
        <w:numPr>
          <w:ilvl w:val="1"/>
          <w:numId w:val="6"/>
        </w:numPr>
        <w:spacing w:before="120" w:after="120"/>
        <w:rPr>
          <w:rFonts w:ascii="Open Sans" w:hAnsi="Open Sans" w:cs="Open Sans"/>
          <w:sz w:val="22"/>
          <w:szCs w:val="22"/>
        </w:rPr>
      </w:pPr>
      <w:r w:rsidRPr="00F459A1">
        <w:rPr>
          <w:rFonts w:ascii="Open Sans" w:hAnsi="Open Sans" w:cs="Open Sans"/>
          <w:sz w:val="22"/>
          <w:szCs w:val="22"/>
        </w:rPr>
        <w:t xml:space="preserve">Equally, if stronger feedstocks become available and the apportioning tool indicates that the accredited output capacity can be achieved with fewer digesters, </w:t>
      </w:r>
      <w:r w:rsidR="000B2421">
        <w:rPr>
          <w:rFonts w:ascii="Open Sans" w:hAnsi="Open Sans" w:cs="Open Sans"/>
          <w:sz w:val="22"/>
          <w:szCs w:val="22"/>
        </w:rPr>
        <w:t>it should be</w:t>
      </w:r>
      <w:r w:rsidRPr="00F459A1">
        <w:rPr>
          <w:rFonts w:ascii="Open Sans" w:hAnsi="Open Sans" w:cs="Open Sans"/>
          <w:sz w:val="22"/>
          <w:szCs w:val="22"/>
        </w:rPr>
        <w:t xml:space="preserve"> acceptable for fewer digesters to be commissioned at stage 3</w:t>
      </w:r>
      <w:r w:rsidR="000B2421">
        <w:rPr>
          <w:rFonts w:ascii="Open Sans" w:hAnsi="Open Sans" w:cs="Open Sans"/>
          <w:sz w:val="22"/>
          <w:szCs w:val="22"/>
        </w:rPr>
        <w:t xml:space="preserve">. Again, it would be useful to make it clear in the guidance that this should be possible. </w:t>
      </w:r>
    </w:p>
    <w:p w14:paraId="381376E0" w14:textId="77777777" w:rsidR="001653CB" w:rsidRDefault="001653CB" w:rsidP="000B2421">
      <w:pPr>
        <w:pStyle w:val="Default"/>
        <w:numPr>
          <w:ilvl w:val="0"/>
          <w:numId w:val="6"/>
        </w:numPr>
        <w:spacing w:before="120" w:after="120"/>
        <w:rPr>
          <w:rFonts w:ascii="Open Sans" w:hAnsi="Open Sans" w:cs="Open Sans"/>
          <w:b/>
          <w:bCs/>
          <w:sz w:val="22"/>
          <w:szCs w:val="22"/>
        </w:rPr>
      </w:pPr>
    </w:p>
    <w:p w14:paraId="78021FA5" w14:textId="228088F9" w:rsidR="00DF1BE8" w:rsidRPr="001653CB" w:rsidRDefault="001653CB" w:rsidP="000B2421">
      <w:pPr>
        <w:pStyle w:val="Default"/>
        <w:numPr>
          <w:ilvl w:val="0"/>
          <w:numId w:val="6"/>
        </w:numPr>
        <w:spacing w:before="120" w:after="120"/>
        <w:rPr>
          <w:rFonts w:ascii="Open Sans" w:hAnsi="Open Sans" w:cs="Open Sans"/>
          <w:b/>
          <w:bCs/>
          <w:sz w:val="22"/>
          <w:szCs w:val="22"/>
        </w:rPr>
      </w:pPr>
      <w:r w:rsidRPr="001653CB">
        <w:rPr>
          <w:rFonts w:ascii="Open Sans" w:hAnsi="Open Sans" w:cs="Open Sans"/>
          <w:b/>
          <w:bCs/>
          <w:sz w:val="22"/>
          <w:szCs w:val="22"/>
        </w:rPr>
        <w:t xml:space="preserve">General policy point </w:t>
      </w:r>
    </w:p>
    <w:p w14:paraId="4A129B70" w14:textId="77777777" w:rsidR="00421FD2" w:rsidRDefault="00C35BA8" w:rsidP="000B2421">
      <w:pPr>
        <w:pStyle w:val="Default"/>
        <w:numPr>
          <w:ilvl w:val="0"/>
          <w:numId w:val="6"/>
        </w:numPr>
        <w:spacing w:before="120" w:after="120"/>
        <w:rPr>
          <w:rFonts w:ascii="Open Sans" w:hAnsi="Open Sans" w:cs="Open Sans"/>
          <w:sz w:val="22"/>
          <w:szCs w:val="22"/>
        </w:rPr>
      </w:pPr>
      <w:r w:rsidRPr="00DF1BE8">
        <w:rPr>
          <w:rFonts w:ascii="Open Sans" w:hAnsi="Open Sans" w:cs="Open Sans"/>
          <w:sz w:val="22"/>
          <w:szCs w:val="22"/>
        </w:rPr>
        <w:t>Although we appreciate this is more of a policy issue for BEIS, a member noted that, providing the gas meets the quality standard and is put through a “grid entry unit” type unit with fiscal metering to report back to Ofgem, and once it leaves the ROV then it could be compressed or liquified for other applications off site</w:t>
      </w:r>
      <w:r w:rsidR="00DF1BE8" w:rsidRPr="00DF1BE8">
        <w:rPr>
          <w:rFonts w:ascii="Open Sans" w:hAnsi="Open Sans" w:cs="Open Sans"/>
          <w:sz w:val="22"/>
          <w:szCs w:val="22"/>
        </w:rPr>
        <w:t xml:space="preserve"> (including road fuels etc). </w:t>
      </w:r>
      <w:r w:rsidRPr="00DF1BE8">
        <w:rPr>
          <w:rFonts w:ascii="Open Sans" w:hAnsi="Open Sans" w:cs="Open Sans"/>
          <w:sz w:val="22"/>
          <w:szCs w:val="22"/>
        </w:rPr>
        <w:t>This would negate the need to be bound by a network or close to a network and would offer the opportunity to build a plant closer to the feed stock supply.</w:t>
      </w:r>
    </w:p>
    <w:p w14:paraId="2E7F69E7" w14:textId="50003907" w:rsidR="00176036" w:rsidRPr="00F459A1" w:rsidRDefault="00421FD2" w:rsidP="001F2D8C">
      <w:pPr>
        <w:pStyle w:val="Default"/>
        <w:spacing w:before="120" w:after="120"/>
        <w:rPr>
          <w:rFonts w:ascii="Open Sans" w:eastAsia="Open Sans" w:hAnsi="Open Sans" w:cs="Open Sans"/>
        </w:rPr>
      </w:pPr>
      <w:r>
        <w:rPr>
          <w:rFonts w:ascii="Open Sans" w:hAnsi="Open Sans" w:cs="Open Sans"/>
          <w:sz w:val="22"/>
          <w:szCs w:val="22"/>
        </w:rPr>
        <w:t xml:space="preserve">If the </w:t>
      </w:r>
      <w:r w:rsidRPr="00421FD2">
        <w:rPr>
          <w:rFonts w:ascii="Open Sans" w:hAnsi="Open Sans" w:cs="Open Sans"/>
          <w:sz w:val="22"/>
          <w:szCs w:val="22"/>
        </w:rPr>
        <w:t xml:space="preserve">only way to </w:t>
      </w:r>
      <w:r>
        <w:rPr>
          <w:rFonts w:ascii="Open Sans" w:hAnsi="Open Sans" w:cs="Open Sans"/>
          <w:sz w:val="22"/>
          <w:szCs w:val="22"/>
        </w:rPr>
        <w:t>use the biomethane</w:t>
      </w:r>
      <w:r w:rsidRPr="00421FD2">
        <w:rPr>
          <w:rFonts w:ascii="Open Sans" w:hAnsi="Open Sans" w:cs="Open Sans"/>
          <w:sz w:val="22"/>
          <w:szCs w:val="22"/>
        </w:rPr>
        <w:t xml:space="preserve"> is to put it into </w:t>
      </w:r>
      <w:r>
        <w:rPr>
          <w:rFonts w:ascii="Open Sans" w:hAnsi="Open Sans" w:cs="Open Sans"/>
          <w:sz w:val="22"/>
          <w:szCs w:val="22"/>
        </w:rPr>
        <w:t xml:space="preserve">the </w:t>
      </w:r>
      <w:r w:rsidRPr="00421FD2">
        <w:rPr>
          <w:rFonts w:ascii="Open Sans" w:hAnsi="Open Sans" w:cs="Open Sans"/>
          <w:sz w:val="22"/>
          <w:szCs w:val="22"/>
        </w:rPr>
        <w:t>grid</w:t>
      </w:r>
      <w:r>
        <w:rPr>
          <w:rFonts w:ascii="Open Sans" w:hAnsi="Open Sans" w:cs="Open Sans"/>
          <w:sz w:val="22"/>
          <w:szCs w:val="22"/>
        </w:rPr>
        <w:t>, this would</w:t>
      </w:r>
      <w:r w:rsidRPr="00421FD2">
        <w:rPr>
          <w:rFonts w:ascii="Open Sans" w:hAnsi="Open Sans" w:cs="Open Sans"/>
          <w:sz w:val="22"/>
          <w:szCs w:val="22"/>
        </w:rPr>
        <w:t xml:space="preserve"> limit the opportunity of potential sites as the barrier to entry could be the cost of a pipeline to a suitable network connection point</w:t>
      </w:r>
      <w:r>
        <w:rPr>
          <w:rFonts w:ascii="Open Sans" w:hAnsi="Open Sans" w:cs="Open Sans"/>
          <w:sz w:val="22"/>
          <w:szCs w:val="22"/>
        </w:rPr>
        <w:t xml:space="preserve">. This </w:t>
      </w:r>
      <w:r w:rsidRPr="00421FD2">
        <w:rPr>
          <w:rFonts w:ascii="Open Sans" w:hAnsi="Open Sans" w:cs="Open Sans"/>
          <w:sz w:val="22"/>
          <w:szCs w:val="22"/>
        </w:rPr>
        <w:t>could make the economics not stack up. However</w:t>
      </w:r>
      <w:r>
        <w:rPr>
          <w:rFonts w:ascii="Open Sans" w:hAnsi="Open Sans" w:cs="Open Sans"/>
          <w:sz w:val="22"/>
          <w:szCs w:val="22"/>
        </w:rPr>
        <w:t>,</w:t>
      </w:r>
      <w:r w:rsidRPr="00421FD2">
        <w:rPr>
          <w:rFonts w:ascii="Open Sans" w:hAnsi="Open Sans" w:cs="Open Sans"/>
          <w:sz w:val="22"/>
          <w:szCs w:val="22"/>
        </w:rPr>
        <w:t xml:space="preserve"> </w:t>
      </w:r>
      <w:r w:rsidR="001F2D8C">
        <w:rPr>
          <w:rFonts w:ascii="Open Sans" w:hAnsi="Open Sans" w:cs="Open Sans"/>
          <w:sz w:val="22"/>
          <w:szCs w:val="22"/>
        </w:rPr>
        <w:t xml:space="preserve">the member noted that </w:t>
      </w:r>
      <w:r w:rsidRPr="00421FD2">
        <w:rPr>
          <w:rFonts w:ascii="Open Sans" w:hAnsi="Open Sans" w:cs="Open Sans"/>
          <w:sz w:val="22"/>
          <w:szCs w:val="22"/>
        </w:rPr>
        <w:t xml:space="preserve">Ofgem </w:t>
      </w:r>
      <w:r w:rsidR="001F2D8C">
        <w:rPr>
          <w:rFonts w:ascii="Open Sans" w:hAnsi="Open Sans" w:cs="Open Sans"/>
          <w:sz w:val="22"/>
          <w:szCs w:val="22"/>
        </w:rPr>
        <w:t xml:space="preserve">could </w:t>
      </w:r>
      <w:r w:rsidRPr="00421FD2">
        <w:rPr>
          <w:rFonts w:ascii="Open Sans" w:hAnsi="Open Sans" w:cs="Open Sans"/>
          <w:sz w:val="22"/>
          <w:szCs w:val="22"/>
        </w:rPr>
        <w:t>allow the same equipment as in the GEU</w:t>
      </w:r>
      <w:r w:rsidR="001F2D8C">
        <w:rPr>
          <w:rFonts w:ascii="Open Sans" w:hAnsi="Open Sans" w:cs="Open Sans"/>
          <w:sz w:val="22"/>
          <w:szCs w:val="22"/>
        </w:rPr>
        <w:t xml:space="preserve">, </w:t>
      </w:r>
      <w:r w:rsidRPr="00421FD2">
        <w:rPr>
          <w:rFonts w:ascii="Open Sans" w:hAnsi="Open Sans" w:cs="Open Sans"/>
          <w:sz w:val="22"/>
          <w:szCs w:val="22"/>
        </w:rPr>
        <w:t xml:space="preserve">which provides the network and Ofgem with the flow and energy data. </w:t>
      </w:r>
      <w:r w:rsidR="001F2D8C">
        <w:rPr>
          <w:rFonts w:ascii="Open Sans" w:hAnsi="Open Sans" w:cs="Open Sans"/>
          <w:sz w:val="22"/>
          <w:szCs w:val="22"/>
        </w:rPr>
        <w:t>I</w:t>
      </w:r>
      <w:r w:rsidRPr="00421FD2">
        <w:rPr>
          <w:rFonts w:ascii="Open Sans" w:hAnsi="Open Sans" w:cs="Open Sans"/>
          <w:sz w:val="22"/>
          <w:szCs w:val="22"/>
        </w:rPr>
        <w:t>nstead of going to grid through a pipeline</w:t>
      </w:r>
      <w:r w:rsidR="001F2D8C">
        <w:rPr>
          <w:rFonts w:ascii="Open Sans" w:hAnsi="Open Sans" w:cs="Open Sans"/>
          <w:sz w:val="22"/>
          <w:szCs w:val="22"/>
        </w:rPr>
        <w:t xml:space="preserve">, the biomethane </w:t>
      </w:r>
      <w:r w:rsidRPr="00421FD2">
        <w:rPr>
          <w:rFonts w:ascii="Open Sans" w:hAnsi="Open Sans" w:cs="Open Sans"/>
          <w:sz w:val="22"/>
          <w:szCs w:val="22"/>
        </w:rPr>
        <w:t xml:space="preserve">could either </w:t>
      </w:r>
      <w:r w:rsidR="001F2D8C">
        <w:rPr>
          <w:rFonts w:ascii="Open Sans" w:hAnsi="Open Sans" w:cs="Open Sans"/>
          <w:sz w:val="22"/>
          <w:szCs w:val="22"/>
        </w:rPr>
        <w:t xml:space="preserve">be </w:t>
      </w:r>
      <w:r w:rsidRPr="00421FD2">
        <w:rPr>
          <w:rFonts w:ascii="Open Sans" w:hAnsi="Open Sans" w:cs="Open Sans"/>
          <w:sz w:val="22"/>
          <w:szCs w:val="22"/>
        </w:rPr>
        <w:t>compress</w:t>
      </w:r>
      <w:r w:rsidR="001F2D8C">
        <w:rPr>
          <w:rFonts w:ascii="Open Sans" w:hAnsi="Open Sans" w:cs="Open Sans"/>
          <w:sz w:val="22"/>
          <w:szCs w:val="22"/>
        </w:rPr>
        <w:t>ed</w:t>
      </w:r>
      <w:r w:rsidRPr="00421FD2">
        <w:rPr>
          <w:rFonts w:ascii="Open Sans" w:hAnsi="Open Sans" w:cs="Open Sans"/>
          <w:sz w:val="22"/>
          <w:szCs w:val="22"/>
        </w:rPr>
        <w:t xml:space="preserve"> or </w:t>
      </w:r>
      <w:r w:rsidR="001F2D8C">
        <w:rPr>
          <w:rFonts w:ascii="Open Sans" w:hAnsi="Open Sans" w:cs="Open Sans"/>
          <w:sz w:val="22"/>
          <w:szCs w:val="22"/>
        </w:rPr>
        <w:t xml:space="preserve">liquified. This could then be used for </w:t>
      </w:r>
      <w:r w:rsidRPr="00421FD2">
        <w:rPr>
          <w:rFonts w:ascii="Open Sans" w:hAnsi="Open Sans" w:cs="Open Sans"/>
          <w:sz w:val="22"/>
          <w:szCs w:val="22"/>
        </w:rPr>
        <w:t>other purposes and move</w:t>
      </w:r>
      <w:r w:rsidR="001F2D8C">
        <w:rPr>
          <w:rFonts w:ascii="Open Sans" w:hAnsi="Open Sans" w:cs="Open Sans"/>
          <w:sz w:val="22"/>
          <w:szCs w:val="22"/>
        </w:rPr>
        <w:t>d</w:t>
      </w:r>
      <w:r w:rsidRPr="00421FD2">
        <w:rPr>
          <w:rFonts w:ascii="Open Sans" w:hAnsi="Open Sans" w:cs="Open Sans"/>
          <w:sz w:val="22"/>
          <w:szCs w:val="22"/>
        </w:rPr>
        <w:t xml:space="preserve"> from site by road. </w:t>
      </w:r>
    </w:p>
    <w:sectPr w:rsidR="00176036" w:rsidRPr="00F459A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F7736" w14:textId="77777777" w:rsidR="00707DD9" w:rsidRDefault="00071620">
      <w:pPr>
        <w:spacing w:after="0" w:line="240" w:lineRule="auto"/>
      </w:pPr>
      <w:r>
        <w:separator/>
      </w:r>
    </w:p>
  </w:endnote>
  <w:endnote w:type="continuationSeparator" w:id="0">
    <w:p w14:paraId="274DA6E1" w14:textId="77777777" w:rsidR="00707DD9" w:rsidRDefault="0007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E035" w14:textId="77777777" w:rsidR="00635DB6" w:rsidRDefault="00635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81551" w14:textId="3C570E8D" w:rsidR="00176036" w:rsidRDefault="0007162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A2922">
      <w:rPr>
        <w:noProof/>
        <w:color w:val="000000"/>
      </w:rPr>
      <w:t>2</w:t>
    </w:r>
    <w:r>
      <w:rPr>
        <w:color w:val="000000"/>
      </w:rPr>
      <w:fldChar w:fldCharType="end"/>
    </w:r>
  </w:p>
  <w:p w14:paraId="23167E0C" w14:textId="77777777" w:rsidR="00176036" w:rsidRDefault="00176036">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B8A7" w14:textId="77777777" w:rsidR="00635DB6" w:rsidRDefault="00635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15D8F" w14:textId="77777777" w:rsidR="00707DD9" w:rsidRDefault="00071620">
      <w:pPr>
        <w:spacing w:after="0" w:line="240" w:lineRule="auto"/>
      </w:pPr>
      <w:r>
        <w:separator/>
      </w:r>
    </w:p>
  </w:footnote>
  <w:footnote w:type="continuationSeparator" w:id="0">
    <w:p w14:paraId="1609E10A" w14:textId="77777777" w:rsidR="00707DD9" w:rsidRDefault="00071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3BCE" w14:textId="77777777" w:rsidR="00635DB6" w:rsidRDefault="00635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B366" w14:textId="0B708656" w:rsidR="00176036" w:rsidRDefault="00071620">
    <w:pPr>
      <w:pBdr>
        <w:top w:val="nil"/>
        <w:left w:val="nil"/>
        <w:bottom w:val="nil"/>
        <w:right w:val="nil"/>
        <w:between w:val="nil"/>
      </w:pBdr>
      <w:tabs>
        <w:tab w:val="center" w:pos="4513"/>
        <w:tab w:val="right" w:pos="9026"/>
      </w:tabs>
      <w:spacing w:after="0" w:line="240" w:lineRule="auto"/>
      <w:rPr>
        <w:i/>
        <w:sz w:val="20"/>
        <w:szCs w:val="20"/>
      </w:rPr>
    </w:pPr>
    <w:r>
      <w:rPr>
        <w:color w:val="000000"/>
        <w:sz w:val="18"/>
        <w:szCs w:val="18"/>
      </w:rPr>
      <w:tab/>
    </w:r>
    <w:r>
      <w:rPr>
        <w:i/>
        <w:color w:val="000000"/>
        <w:sz w:val="20"/>
        <w:szCs w:val="20"/>
      </w:rPr>
      <w:t>REA Response to</w:t>
    </w:r>
    <w:r>
      <w:rPr>
        <w:i/>
        <w:sz w:val="20"/>
        <w:szCs w:val="20"/>
      </w:rPr>
      <w:t xml:space="preserve"> </w:t>
    </w:r>
    <w:r w:rsidR="00635DB6">
      <w:rPr>
        <w:i/>
        <w:sz w:val="20"/>
        <w:szCs w:val="20"/>
      </w:rPr>
      <w:t>Ofgem consultation on GGSS draft guidance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BBBD" w14:textId="0B3EF753" w:rsidR="00176036" w:rsidRDefault="00965574">
    <w:pPr>
      <w:pBdr>
        <w:top w:val="nil"/>
        <w:left w:val="nil"/>
        <w:bottom w:val="nil"/>
        <w:right w:val="nil"/>
        <w:between w:val="nil"/>
      </w:pBdr>
      <w:tabs>
        <w:tab w:val="center" w:pos="4513"/>
        <w:tab w:val="right" w:pos="9026"/>
      </w:tabs>
      <w:spacing w:after="0" w:line="240" w:lineRule="auto"/>
      <w:rPr>
        <w:color w:val="000000"/>
      </w:rPr>
    </w:pPr>
    <w:r>
      <w:rPr>
        <w:rFonts w:ascii="Open Sans" w:eastAsia="Open Sans" w:hAnsi="Open Sans" w:cs="Open Sans"/>
      </w:rPr>
      <w:t>1</w:t>
    </w:r>
    <w:r w:rsidR="00635DB6">
      <w:rPr>
        <w:rFonts w:ascii="Open Sans" w:eastAsia="Open Sans" w:hAnsi="Open Sans" w:cs="Open Sans"/>
      </w:rPr>
      <w:t>6</w:t>
    </w:r>
    <w:r>
      <w:rPr>
        <w:rFonts w:ascii="Open Sans" w:eastAsia="Open Sans" w:hAnsi="Open Sans" w:cs="Open Sans"/>
      </w:rPr>
      <w:t>/12/2021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CFFF41"/>
    <w:multiLevelType w:val="hybridMultilevel"/>
    <w:tmpl w:val="8C5B7A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816A13"/>
    <w:multiLevelType w:val="multilevel"/>
    <w:tmpl w:val="534A70C6"/>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1FF140"/>
    <w:multiLevelType w:val="hybridMultilevel"/>
    <w:tmpl w:val="961C96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0BCB6CB"/>
    <w:multiLevelType w:val="multilevel"/>
    <w:tmpl w:val="8F728605"/>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3B2CAF"/>
    <w:multiLevelType w:val="multilevel"/>
    <w:tmpl w:val="ECB46D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2A2429E"/>
    <w:multiLevelType w:val="hybridMultilevel"/>
    <w:tmpl w:val="CDCB3C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B755258"/>
    <w:multiLevelType w:val="hybridMultilevel"/>
    <w:tmpl w:val="84226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036"/>
    <w:rsid w:val="000048E8"/>
    <w:rsid w:val="00071620"/>
    <w:rsid w:val="000A518A"/>
    <w:rsid w:val="000B2421"/>
    <w:rsid w:val="000D04B4"/>
    <w:rsid w:val="00114EE0"/>
    <w:rsid w:val="001653CB"/>
    <w:rsid w:val="00176036"/>
    <w:rsid w:val="001F2D8C"/>
    <w:rsid w:val="0024194F"/>
    <w:rsid w:val="00374E73"/>
    <w:rsid w:val="003F27F3"/>
    <w:rsid w:val="00421FD2"/>
    <w:rsid w:val="004B1DC8"/>
    <w:rsid w:val="004C2D76"/>
    <w:rsid w:val="004D362B"/>
    <w:rsid w:val="00635DB6"/>
    <w:rsid w:val="00707DD9"/>
    <w:rsid w:val="007C1520"/>
    <w:rsid w:val="007D48F6"/>
    <w:rsid w:val="008A2922"/>
    <w:rsid w:val="008F643A"/>
    <w:rsid w:val="00906990"/>
    <w:rsid w:val="00965574"/>
    <w:rsid w:val="00BA35EB"/>
    <w:rsid w:val="00BD01F1"/>
    <w:rsid w:val="00C27395"/>
    <w:rsid w:val="00C35BA8"/>
    <w:rsid w:val="00DF1BE8"/>
    <w:rsid w:val="00F459A1"/>
    <w:rsid w:val="00FA6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DC8774"/>
  <w15:docId w15:val="{0410F021-CC87-449E-8C30-BBDDA075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65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574"/>
  </w:style>
  <w:style w:type="paragraph" w:styleId="Footer">
    <w:name w:val="footer"/>
    <w:basedOn w:val="Normal"/>
    <w:link w:val="FooterChar"/>
    <w:uiPriority w:val="99"/>
    <w:unhideWhenUsed/>
    <w:rsid w:val="00965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574"/>
  </w:style>
  <w:style w:type="paragraph" w:customStyle="1" w:styleId="Default">
    <w:name w:val="Default"/>
    <w:rsid w:val="004B1DC8"/>
    <w:pPr>
      <w:autoSpaceDE w:val="0"/>
      <w:autoSpaceDN w:val="0"/>
      <w:adjustRightInd w:val="0"/>
      <w:spacing w:after="0" w:line="240" w:lineRule="auto"/>
    </w:pPr>
    <w:rPr>
      <w:color w:val="000000"/>
      <w:sz w:val="24"/>
      <w:szCs w:val="24"/>
    </w:rPr>
  </w:style>
  <w:style w:type="paragraph" w:styleId="ListParagraph">
    <w:name w:val="List Paragraph"/>
    <w:basedOn w:val="Normal"/>
    <w:uiPriority w:val="34"/>
    <w:qFormat/>
    <w:rsid w:val="004B1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7B4C7-895D-42D7-A7EE-E5CCD455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Kiara Zennaro</dc:creator>
  <cp:lastModifiedBy>Kiara Zennaro</cp:lastModifiedBy>
  <cp:revision>5</cp:revision>
  <dcterms:created xsi:type="dcterms:W3CDTF">2021-12-16T11:33:00Z</dcterms:created>
  <dcterms:modified xsi:type="dcterms:W3CDTF">2021-12-16T16:24:00Z</dcterms:modified>
</cp:coreProperties>
</file>