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E26EE" w14:textId="77777777" w:rsidR="002B2F15" w:rsidRDefault="00323E9C">
      <w:pPr>
        <w:spacing w:before="120" w:after="120" w:line="240" w:lineRule="auto"/>
        <w:jc w:val="center"/>
        <w:rPr>
          <w:rFonts w:ascii="Open Sans" w:eastAsia="Open Sans" w:hAnsi="Open Sans" w:cs="Open Sans"/>
          <w:b/>
          <w:color w:val="06926B"/>
          <w:sz w:val="36"/>
          <w:szCs w:val="36"/>
        </w:rPr>
      </w:pPr>
      <w:r>
        <w:rPr>
          <w:rFonts w:ascii="Open Sans" w:eastAsia="Open Sans" w:hAnsi="Open Sans" w:cs="Open Sans"/>
          <w:b/>
          <w:color w:val="06926B"/>
          <w:sz w:val="36"/>
          <w:szCs w:val="36"/>
          <w:highlight w:val="yellow"/>
        </w:rPr>
        <w:t>DRAFT</w:t>
      </w:r>
    </w:p>
    <w:p w14:paraId="51885359" w14:textId="77777777" w:rsidR="002B2F15" w:rsidRDefault="00323E9C">
      <w:pPr>
        <w:spacing w:before="120" w:after="120" w:line="240" w:lineRule="auto"/>
        <w:jc w:val="center"/>
        <w:rPr>
          <w:rFonts w:ascii="Open Sans" w:eastAsia="Open Sans" w:hAnsi="Open Sans" w:cs="Open Sans"/>
          <w:b/>
          <w:color w:val="06926B"/>
          <w:sz w:val="36"/>
          <w:szCs w:val="36"/>
        </w:rPr>
      </w:pPr>
      <w:r>
        <w:rPr>
          <w:rFonts w:ascii="Open Sans" w:eastAsia="Open Sans" w:hAnsi="Open Sans" w:cs="Open Sans"/>
          <w:b/>
          <w:color w:val="06926B"/>
          <w:sz w:val="36"/>
          <w:szCs w:val="36"/>
        </w:rPr>
        <w:t>REA Response:</w:t>
      </w:r>
    </w:p>
    <w:p w14:paraId="75F263D5" w14:textId="77777777" w:rsidR="002B2F15" w:rsidRDefault="00323E9C">
      <w:pPr>
        <w:spacing w:before="120" w:after="120" w:line="240" w:lineRule="auto"/>
        <w:jc w:val="center"/>
        <w:rPr>
          <w:rFonts w:ascii="Open Sans" w:eastAsia="Open Sans" w:hAnsi="Open Sans" w:cs="Open Sans"/>
          <w:b/>
          <w:color w:val="06926B"/>
          <w:sz w:val="36"/>
          <w:szCs w:val="36"/>
        </w:rPr>
      </w:pPr>
      <w:r>
        <w:rPr>
          <w:rFonts w:ascii="Open Sans" w:eastAsia="Open Sans" w:hAnsi="Open Sans" w:cs="Open Sans"/>
          <w:b/>
          <w:color w:val="06926B"/>
          <w:sz w:val="36"/>
          <w:szCs w:val="36"/>
        </w:rPr>
        <w:t>Phasing out the installation of fossil fuel heating systems in businesses and public buildings off the gas grid</w:t>
      </w:r>
    </w:p>
    <w:p w14:paraId="6EECCECC" w14:textId="77777777" w:rsidR="002B2F15" w:rsidRDefault="002B2F15">
      <w:pPr>
        <w:spacing w:before="120" w:after="120" w:line="240" w:lineRule="auto"/>
        <w:rPr>
          <w:rFonts w:ascii="Open Sans" w:eastAsia="Open Sans" w:hAnsi="Open Sans" w:cs="Open Sans"/>
          <w:color w:val="434343"/>
          <w:sz w:val="20"/>
          <w:szCs w:val="20"/>
        </w:rPr>
      </w:pPr>
    </w:p>
    <w:p w14:paraId="0DC66205"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color w:val="434343"/>
          <w:sz w:val="20"/>
          <w:szCs w:val="20"/>
        </w:rPr>
        <w:t>The Association for Renewable Energy &amp; Clean Technologies (REA) is pleased to submit this response to the above call for evidence. The REA represents industry stakeholders from across the whole heat sector and includes dedicated member forums focused on green gas, biomass heat, biomass power, renewable transport fuels and energy from waste (including advanced conversion technologies). Our members include generators, project developers, heat suppliers, investors, equipment producers and service providers. Members range in size from major multinationals to sole traders. There are over 500 corporate members of the REA, making it the largest renewable energy trade association in the UK.</w:t>
      </w:r>
    </w:p>
    <w:p w14:paraId="0EAB21AD" w14:textId="77777777" w:rsidR="002B2F15" w:rsidRDefault="002B2F15">
      <w:pPr>
        <w:pBdr>
          <w:top w:val="nil"/>
          <w:left w:val="nil"/>
          <w:bottom w:val="nil"/>
          <w:right w:val="nil"/>
          <w:between w:val="nil"/>
        </w:pBdr>
        <w:spacing w:before="120" w:after="120" w:line="240" w:lineRule="auto"/>
        <w:rPr>
          <w:rFonts w:ascii="Open Sans" w:eastAsia="Open Sans" w:hAnsi="Open Sans" w:cs="Open Sans"/>
          <w:b/>
          <w:sz w:val="20"/>
          <w:szCs w:val="20"/>
        </w:rPr>
      </w:pPr>
    </w:p>
    <w:p w14:paraId="5637A4BE" w14:textId="77777777" w:rsidR="002B2F15" w:rsidRDefault="00323E9C">
      <w:pPr>
        <w:pBdr>
          <w:top w:val="nil"/>
          <w:left w:val="nil"/>
          <w:bottom w:val="nil"/>
          <w:right w:val="nil"/>
          <w:between w:val="nil"/>
        </w:pBdr>
        <w:spacing w:before="120" w:after="120" w:line="240" w:lineRule="auto"/>
        <w:rPr>
          <w:rFonts w:ascii="Open Sans" w:eastAsia="Open Sans" w:hAnsi="Open Sans" w:cs="Open Sans"/>
          <w:b/>
          <w:color w:val="2F5496"/>
          <w:sz w:val="24"/>
          <w:szCs w:val="24"/>
          <w:u w:val="single"/>
        </w:rPr>
      </w:pPr>
      <w:r>
        <w:rPr>
          <w:rFonts w:ascii="Open Sans" w:eastAsia="Open Sans" w:hAnsi="Open Sans" w:cs="Open Sans"/>
          <w:b/>
          <w:color w:val="2F5496"/>
          <w:sz w:val="24"/>
          <w:szCs w:val="24"/>
          <w:u w:val="single"/>
        </w:rPr>
        <w:t>The proposals</w:t>
      </w:r>
    </w:p>
    <w:p w14:paraId="2FB7DE06" w14:textId="77777777" w:rsidR="002B2F15" w:rsidRDefault="00323E9C">
      <w:pPr>
        <w:numPr>
          <w:ilvl w:val="0"/>
          <w:numId w:val="1"/>
        </w:numPr>
        <w:spacing w:before="120" w:after="120" w:line="240" w:lineRule="auto"/>
        <w:rPr>
          <w:sz w:val="20"/>
          <w:szCs w:val="20"/>
        </w:rPr>
      </w:pPr>
      <w:r>
        <w:rPr>
          <w:rFonts w:ascii="Open Sans" w:eastAsia="Open Sans" w:hAnsi="Open Sans" w:cs="Open Sans"/>
          <w:b/>
          <w:color w:val="2F5496"/>
          <w:sz w:val="20"/>
          <w:szCs w:val="20"/>
        </w:rPr>
        <w:t>Do you agree with the principle of using the natural replacement cycle to phase out the installation of fossil fuel heating systems in non-domestic buildings off the gas grid? Yes/No. Please explain your response.</w:t>
      </w:r>
    </w:p>
    <w:p w14:paraId="3BCD4D38" w14:textId="336D2F91"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We agree that the natural replacement cycle is in principle a useful method for phasing out the installation of fossil fuel heating, however, we believe it should be combined with a future hard stop date and consideration given to other useful critical points in a buildings life cycle that heating replacement might take place, such as business renovations or refinancing.   It must, however,</w:t>
      </w:r>
      <w:r w:rsidR="00C26841">
        <w:rPr>
          <w:rFonts w:ascii="Open Sans" w:eastAsia="Open Sans" w:hAnsi="Open Sans" w:cs="Open Sans"/>
          <w:sz w:val="20"/>
          <w:szCs w:val="20"/>
        </w:rPr>
        <w:t xml:space="preserve"> </w:t>
      </w:r>
      <w:r>
        <w:rPr>
          <w:rFonts w:ascii="Open Sans" w:eastAsia="Open Sans" w:hAnsi="Open Sans" w:cs="Open Sans"/>
          <w:sz w:val="20"/>
          <w:szCs w:val="20"/>
        </w:rPr>
        <w:t xml:space="preserve">be noted </w:t>
      </w:r>
      <w:r w:rsidR="00C26841">
        <w:rPr>
          <w:rFonts w:ascii="Open Sans" w:eastAsia="Open Sans" w:hAnsi="Open Sans" w:cs="Open Sans"/>
          <w:sz w:val="20"/>
          <w:szCs w:val="20"/>
        </w:rPr>
        <w:t>that the</w:t>
      </w:r>
      <w:r>
        <w:rPr>
          <w:rFonts w:ascii="Open Sans" w:eastAsia="Open Sans" w:hAnsi="Open Sans" w:cs="Open Sans"/>
          <w:sz w:val="20"/>
          <w:szCs w:val="20"/>
        </w:rPr>
        <w:t xml:space="preserve"> natural replacement cycle could prove difficult to enforce; some fossil boilers are able to last 20-30 years, meaning fossil boilers being installed now could last until 2050. Furthermore, fossil boiler breakdowns are likely to be in business stress situations, where the business priority is to get them up a running again as quickly as possible, rather than making the changes that might be needed for installation of the renewable heating system</w:t>
      </w:r>
      <w:r w:rsidR="00C26841">
        <w:rPr>
          <w:rFonts w:ascii="Open Sans" w:eastAsia="Open Sans" w:hAnsi="Open Sans" w:cs="Open Sans"/>
          <w:sz w:val="20"/>
          <w:szCs w:val="20"/>
        </w:rPr>
        <w:t>.</w:t>
      </w:r>
      <w:r>
        <w:rPr>
          <w:rFonts w:ascii="Open Sans" w:eastAsia="Open Sans" w:hAnsi="Open Sans" w:cs="Open Sans"/>
          <w:sz w:val="20"/>
          <w:szCs w:val="20"/>
        </w:rPr>
        <w:t xml:space="preserve">  Without a hard stop for fossil fuel installations it will be impossible for the government to meet it’s 2040 decarbonisation target. Enabling and encouraging business to transition at multiple points in a building life cycle, may enable them to plan better for transition to renewable heating systems</w:t>
      </w:r>
    </w:p>
    <w:p w14:paraId="4E182A4B" w14:textId="67253B6C"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Along with the introduction of such a principle, the Government must also urgently address the major policy gap around the support for industrial and commercial heat decarbonisation. There has been no equivalent scheme to support business to transition heat systems since the closure of the Non-Domestic RHI in March 2021. While a few specific grant mechanisms exist, they are not appropriate or accessible to most heat decarbonisation projects, as compared to eligibility under the RHI. The REA would like to see the introduction of a fuel switching tariff or heat related CfD, to enable industrial and commercial sites to take the active choice to change their heating arrangements. </w:t>
      </w:r>
    </w:p>
    <w:p w14:paraId="1A658663" w14:textId="6CA59184" w:rsidR="003E4C04" w:rsidRDefault="003E4C04">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We should also note t</w:t>
      </w:r>
      <w:r w:rsidRPr="003E4C04">
        <w:rPr>
          <w:rFonts w:ascii="Open Sans" w:eastAsia="Open Sans" w:hAnsi="Open Sans" w:cs="Open Sans"/>
          <w:sz w:val="20"/>
          <w:szCs w:val="20"/>
        </w:rPr>
        <w:t xml:space="preserve">he REA support the deployment of energy efficiency improvements to reduce a </w:t>
      </w:r>
      <w:proofErr w:type="spellStart"/>
      <w:r w:rsidRPr="003E4C04">
        <w:rPr>
          <w:rFonts w:ascii="Open Sans" w:eastAsia="Open Sans" w:hAnsi="Open Sans" w:cs="Open Sans"/>
          <w:sz w:val="20"/>
          <w:szCs w:val="20"/>
        </w:rPr>
        <w:t>businesses</w:t>
      </w:r>
      <w:proofErr w:type="spellEnd"/>
      <w:r w:rsidRPr="003E4C04">
        <w:rPr>
          <w:rFonts w:ascii="Open Sans" w:eastAsia="Open Sans" w:hAnsi="Open Sans" w:cs="Open Sans"/>
          <w:sz w:val="20"/>
          <w:szCs w:val="20"/>
        </w:rPr>
        <w:t xml:space="preserve">/home energy demand along with the installation of renewable and clean </w:t>
      </w:r>
      <w:r w:rsidRPr="003E4C04">
        <w:rPr>
          <w:rFonts w:ascii="Open Sans" w:eastAsia="Open Sans" w:hAnsi="Open Sans" w:cs="Open Sans"/>
          <w:sz w:val="20"/>
          <w:szCs w:val="20"/>
        </w:rPr>
        <w:lastRenderedPageBreak/>
        <w:t xml:space="preserve">technology systems. This should also be prioritised within any policy looking at decarbonising off gas grid buildings.  </w:t>
      </w:r>
    </w:p>
    <w:p w14:paraId="101B6DFE" w14:textId="77777777" w:rsidR="002B2F15" w:rsidRDefault="00323E9C">
      <w:pPr>
        <w:spacing w:before="120" w:after="120" w:line="240" w:lineRule="auto"/>
        <w:rPr>
          <w:rFonts w:ascii="Open Sans" w:eastAsia="Open Sans" w:hAnsi="Open Sans" w:cs="Open Sans"/>
          <w:b/>
          <w:color w:val="2F5496"/>
          <w:sz w:val="24"/>
          <w:szCs w:val="24"/>
          <w:u w:val="single"/>
        </w:rPr>
      </w:pPr>
      <w:r>
        <w:rPr>
          <w:rFonts w:ascii="Open Sans" w:eastAsia="Open Sans" w:hAnsi="Open Sans" w:cs="Open Sans"/>
          <w:b/>
          <w:color w:val="2F5496"/>
          <w:sz w:val="24"/>
          <w:szCs w:val="24"/>
          <w:u w:val="single"/>
        </w:rPr>
        <w:t>Timelines for implementing the proposals</w:t>
      </w:r>
    </w:p>
    <w:p w14:paraId="07576E96" w14:textId="77777777" w:rsidR="002B2F15" w:rsidRDefault="00323E9C">
      <w:pPr>
        <w:numPr>
          <w:ilvl w:val="0"/>
          <w:numId w:val="1"/>
        </w:numPr>
        <w:spacing w:before="120" w:after="120" w:line="240" w:lineRule="auto"/>
        <w:rPr>
          <w:sz w:val="20"/>
          <w:szCs w:val="20"/>
        </w:rPr>
      </w:pPr>
      <w:r>
        <w:rPr>
          <w:rFonts w:ascii="Open Sans" w:eastAsia="Open Sans" w:hAnsi="Open Sans" w:cs="Open Sans"/>
          <w:b/>
          <w:color w:val="2F5496"/>
          <w:sz w:val="20"/>
          <w:szCs w:val="20"/>
        </w:rPr>
        <w:t>Do the 2024 and 2026 timescales for introducing this policy provide sufficient lead in time for non-domestic off-gas grid consumers to prepare for their transition to low carbon heat? Yes/No. Please provide evidence to support your response where possible.</w:t>
      </w:r>
    </w:p>
    <w:p w14:paraId="403A24A5"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The REA are supportive of seeing the introduction of the principle of natural replacement cycles to phase out fossil heating. However, given the state of industry and the lack of significant policy to help decarbonise commercial and industrial heat, the suggested timescales are seen as highly ambitious, particularly the 2024 date for larger scale businesses.  As such, the introduction of these timescales must be accompanied by equally ambitious policy support under which all businesses are supported to make the transition. This will help secure the skills, supply chains and business confidence required to make the suggested timescales implementable.</w:t>
      </w:r>
    </w:p>
    <w:p w14:paraId="119C919B"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 Despite the support mechanisms listed on page 15 of the consultation, it remains the fact that the vast majority of businesses are not eligible for support following the closure of the non-domestic RHI in March 2021. As such, the non-domestic renewable heat sector is currently stagnating. and in some cases, contracting. This undermines the ability of industry to meet the suggested timescales. The REA favour the introduction of a fuel switching tariff, as recommended by the CCC, in order to enable businesses to commit to renewable heating systems and secure a growing renewable heat industry. The introduction of a heat CfD would also help compliment this and support the decarbonisation of larger industrial heat applications. </w:t>
      </w:r>
    </w:p>
    <w:p w14:paraId="3E8A9B9C" w14:textId="77777777" w:rsidR="002B2F15" w:rsidRDefault="00323E9C">
      <w:pPr>
        <w:numPr>
          <w:ilvl w:val="0"/>
          <w:numId w:val="1"/>
        </w:numPr>
        <w:spacing w:before="120" w:after="120" w:line="240" w:lineRule="auto"/>
        <w:rPr>
          <w:sz w:val="20"/>
          <w:szCs w:val="20"/>
        </w:rPr>
      </w:pPr>
      <w:r>
        <w:rPr>
          <w:rFonts w:ascii="Open Sans" w:eastAsia="Open Sans" w:hAnsi="Open Sans" w:cs="Open Sans"/>
          <w:b/>
          <w:color w:val="2F5496"/>
          <w:sz w:val="20"/>
          <w:szCs w:val="20"/>
        </w:rPr>
        <w:t>Would an implementation date of 2024 (for large buildings) and 2026 (for smaller buildings) provide sufficient lead in time for industry to prepare for the increase in demand? Yes/No. Please provide evidence to support your response where possible.</w:t>
      </w:r>
    </w:p>
    <w:p w14:paraId="72871EC6" w14:textId="07D3719F" w:rsidR="00BD22DA" w:rsidRDefault="00323E9C" w:rsidP="00BD22DA">
      <w:pPr>
        <w:rPr>
          <w:rFonts w:ascii="Open Sans" w:eastAsia="Open Sans" w:hAnsi="Open Sans" w:cs="Open Sans"/>
          <w:sz w:val="20"/>
          <w:szCs w:val="20"/>
        </w:rPr>
      </w:pPr>
      <w:r>
        <w:rPr>
          <w:rFonts w:ascii="Open Sans" w:eastAsia="Open Sans" w:hAnsi="Open Sans" w:cs="Open Sans"/>
          <w:sz w:val="20"/>
          <w:szCs w:val="20"/>
        </w:rPr>
        <w:t xml:space="preserve">While agreeing strongly with the principle and aims, some members have raised that large buildings often have complex heating needs, with systems requiring long-lead times for implementation. </w:t>
      </w:r>
      <w:r w:rsidR="00BD22DA">
        <w:rPr>
          <w:rFonts w:ascii="Open Sans" w:eastAsia="Open Sans" w:hAnsi="Open Sans" w:cs="Open Sans"/>
          <w:sz w:val="20"/>
          <w:szCs w:val="20"/>
        </w:rPr>
        <w:t xml:space="preserve">We support </w:t>
      </w:r>
      <w:r w:rsidR="00BD22DA" w:rsidRPr="00BD22DA">
        <w:rPr>
          <w:rFonts w:ascii="Open Sans" w:eastAsia="Open Sans" w:hAnsi="Open Sans" w:cs="Open Sans"/>
          <w:sz w:val="20"/>
          <w:szCs w:val="20"/>
        </w:rPr>
        <w:t xml:space="preserve">the 2024 date for larger buildings, but </w:t>
      </w:r>
      <w:r w:rsidR="00BD22DA">
        <w:rPr>
          <w:rFonts w:ascii="Open Sans" w:eastAsia="Open Sans" w:hAnsi="Open Sans" w:cs="Open Sans"/>
          <w:sz w:val="20"/>
          <w:szCs w:val="20"/>
        </w:rPr>
        <w:t xml:space="preserve">we </w:t>
      </w:r>
      <w:r w:rsidR="00BD22DA" w:rsidRPr="00BD22DA">
        <w:rPr>
          <w:rFonts w:ascii="Open Sans" w:eastAsia="Open Sans" w:hAnsi="Open Sans" w:cs="Open Sans"/>
          <w:sz w:val="20"/>
          <w:szCs w:val="20"/>
        </w:rPr>
        <w:t xml:space="preserve">heavily stress </w:t>
      </w:r>
      <w:r w:rsidR="00BD22DA">
        <w:rPr>
          <w:rFonts w:ascii="Open Sans" w:eastAsia="Open Sans" w:hAnsi="Open Sans" w:cs="Open Sans"/>
          <w:sz w:val="20"/>
          <w:szCs w:val="20"/>
        </w:rPr>
        <w:t>this</w:t>
      </w:r>
      <w:r w:rsidR="00BD22DA" w:rsidRPr="00BD22DA">
        <w:rPr>
          <w:rFonts w:ascii="Open Sans" w:eastAsia="Open Sans" w:hAnsi="Open Sans" w:cs="Open Sans"/>
          <w:sz w:val="20"/>
          <w:szCs w:val="20"/>
        </w:rPr>
        <w:t xml:space="preserve"> will only be possible if </w:t>
      </w:r>
    </w:p>
    <w:p w14:paraId="55DA6B79" w14:textId="531D5559" w:rsidR="00BD22DA" w:rsidRPr="00BD22DA" w:rsidRDefault="00BD22DA" w:rsidP="00BD22DA">
      <w:pPr>
        <w:pStyle w:val="ListParagraph"/>
        <w:numPr>
          <w:ilvl w:val="0"/>
          <w:numId w:val="3"/>
        </w:numPr>
        <w:rPr>
          <w:rFonts w:ascii="Open Sans" w:eastAsia="Open Sans" w:hAnsi="Open Sans" w:cs="Open Sans"/>
          <w:sz w:val="20"/>
          <w:szCs w:val="20"/>
        </w:rPr>
      </w:pPr>
      <w:r w:rsidRPr="00BD22DA">
        <w:rPr>
          <w:rFonts w:ascii="Open Sans" w:eastAsia="Open Sans" w:hAnsi="Open Sans" w:cs="Open Sans"/>
          <w:sz w:val="20"/>
          <w:szCs w:val="20"/>
        </w:rPr>
        <w:t>Government can move quickly to provide industry with enough time to prepare</w:t>
      </w:r>
      <w:r>
        <w:rPr>
          <w:rFonts w:ascii="Open Sans" w:eastAsia="Open Sans" w:hAnsi="Open Sans" w:cs="Open Sans"/>
          <w:sz w:val="20"/>
          <w:szCs w:val="20"/>
        </w:rPr>
        <w:t>.</w:t>
      </w:r>
    </w:p>
    <w:p w14:paraId="10CE40F3" w14:textId="50A9E3D8" w:rsidR="00BD22DA" w:rsidRPr="00BD22DA" w:rsidRDefault="00BD22DA" w:rsidP="00BD22DA">
      <w:pPr>
        <w:pStyle w:val="ListParagraph"/>
        <w:numPr>
          <w:ilvl w:val="0"/>
          <w:numId w:val="3"/>
        </w:numPr>
        <w:rPr>
          <w:rFonts w:ascii="Open Sans" w:eastAsia="Open Sans" w:hAnsi="Open Sans" w:cs="Open Sans"/>
          <w:sz w:val="20"/>
          <w:szCs w:val="20"/>
        </w:rPr>
      </w:pPr>
      <w:r w:rsidRPr="00BD22DA">
        <w:rPr>
          <w:rFonts w:ascii="Open Sans" w:eastAsia="Open Sans" w:hAnsi="Open Sans" w:cs="Open Sans"/>
          <w:sz w:val="20"/>
          <w:szCs w:val="20"/>
        </w:rPr>
        <w:t>Supply chains are confident and ready</w:t>
      </w:r>
      <w:r>
        <w:rPr>
          <w:rFonts w:ascii="Open Sans" w:eastAsia="Open Sans" w:hAnsi="Open Sans" w:cs="Open Sans"/>
          <w:sz w:val="20"/>
          <w:szCs w:val="20"/>
        </w:rPr>
        <w:t>.</w:t>
      </w:r>
    </w:p>
    <w:p w14:paraId="6AEC067C" w14:textId="3D2EE4C7" w:rsidR="002B2F15" w:rsidRPr="00BD22DA" w:rsidRDefault="00BD22DA" w:rsidP="00BD22DA">
      <w:pPr>
        <w:pStyle w:val="ListParagraph"/>
        <w:numPr>
          <w:ilvl w:val="0"/>
          <w:numId w:val="3"/>
        </w:numPr>
        <w:rPr>
          <w:rFonts w:ascii="Open Sans" w:eastAsia="Open Sans" w:hAnsi="Open Sans" w:cs="Open Sans"/>
          <w:sz w:val="20"/>
          <w:szCs w:val="20"/>
        </w:rPr>
      </w:pPr>
      <w:r w:rsidRPr="00BD22DA">
        <w:rPr>
          <w:rFonts w:ascii="Open Sans" w:eastAsia="Open Sans" w:hAnsi="Open Sans" w:cs="Open Sans"/>
          <w:sz w:val="20"/>
          <w:szCs w:val="20"/>
        </w:rPr>
        <w:t>It is accompanied with ambitious policy support that supports business and industry in decarbonising their heating systems, such as a fuel switching tariff or heat CfD.</w:t>
      </w:r>
    </w:p>
    <w:p w14:paraId="7BC1BBC1" w14:textId="77777777" w:rsidR="002B2F15" w:rsidRDefault="00323E9C">
      <w:pPr>
        <w:numPr>
          <w:ilvl w:val="0"/>
          <w:numId w:val="1"/>
        </w:numPr>
        <w:spacing w:before="120" w:after="120" w:line="240" w:lineRule="auto"/>
        <w:rPr>
          <w:sz w:val="20"/>
          <w:szCs w:val="20"/>
        </w:rPr>
      </w:pPr>
      <w:r>
        <w:rPr>
          <w:rFonts w:ascii="Open Sans" w:eastAsia="Open Sans" w:hAnsi="Open Sans" w:cs="Open Sans"/>
          <w:b/>
          <w:color w:val="2F5496"/>
          <w:sz w:val="20"/>
          <w:szCs w:val="20"/>
        </w:rPr>
        <w:t>Do you agree with our proposal to introduce this policy for the largest buildings first? Yes/No. If not, please explain your reasoning, using evidence to support your response where possible.</w:t>
      </w:r>
    </w:p>
    <w:p w14:paraId="524CCCEE"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No, as described in answer to question 3, we would support the later 2026 date encompassing all properties regardless of size. This would give business managers four years to prepare for the policy and allow large, complex properties to make necessary preparations such as installing sufficient energy efficiency measures .</w:t>
      </w:r>
    </w:p>
    <w:p w14:paraId="675E9D00" w14:textId="77777777" w:rsidR="002B2F15" w:rsidRDefault="002B2F15">
      <w:pPr>
        <w:spacing w:before="120" w:after="120" w:line="240" w:lineRule="auto"/>
        <w:rPr>
          <w:rFonts w:ascii="Open Sans" w:eastAsia="Open Sans" w:hAnsi="Open Sans" w:cs="Open Sans"/>
          <w:sz w:val="20"/>
          <w:szCs w:val="20"/>
        </w:rPr>
      </w:pPr>
    </w:p>
    <w:p w14:paraId="33BA0156" w14:textId="77777777" w:rsidR="002B2F15" w:rsidRDefault="00323E9C">
      <w:pPr>
        <w:spacing w:before="120" w:after="120" w:line="240" w:lineRule="auto"/>
        <w:rPr>
          <w:rFonts w:ascii="Open Sans" w:eastAsia="Open Sans" w:hAnsi="Open Sans" w:cs="Open Sans"/>
          <w:b/>
          <w:color w:val="2F5496"/>
          <w:sz w:val="20"/>
          <w:szCs w:val="20"/>
        </w:rPr>
      </w:pPr>
      <w:r>
        <w:rPr>
          <w:rFonts w:ascii="Open Sans" w:eastAsia="Open Sans" w:hAnsi="Open Sans" w:cs="Open Sans"/>
          <w:b/>
          <w:color w:val="2F5496"/>
          <w:sz w:val="24"/>
          <w:szCs w:val="24"/>
          <w:u w:val="single"/>
        </w:rPr>
        <w:t>Proposed low carbon technologies</w:t>
      </w:r>
    </w:p>
    <w:p w14:paraId="01D20F25" w14:textId="77777777" w:rsidR="002B2F15" w:rsidRDefault="00323E9C">
      <w:pPr>
        <w:numPr>
          <w:ilvl w:val="0"/>
          <w:numId w:val="1"/>
        </w:numPr>
        <w:spacing w:before="120" w:after="120" w:line="240" w:lineRule="auto"/>
        <w:rPr>
          <w:sz w:val="20"/>
          <w:szCs w:val="20"/>
        </w:rPr>
      </w:pPr>
      <w:r>
        <w:rPr>
          <w:rFonts w:ascii="Open Sans" w:eastAsia="Open Sans" w:hAnsi="Open Sans" w:cs="Open Sans"/>
          <w:b/>
          <w:color w:val="2F5496"/>
          <w:sz w:val="20"/>
          <w:szCs w:val="20"/>
        </w:rPr>
        <w:lastRenderedPageBreak/>
        <w:t>Do you agree with our proposals to take a heat pump first approach to the replacement of fossil fuel heating systems in off-gas grid non-domestic buildings? Yes/No. Please explain your response.</w:t>
      </w:r>
    </w:p>
    <w:p w14:paraId="729BBC2E" w14:textId="5FB656CC"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No, we believe all renewable heating technologies should be considered, ensuring that the right technology is installed in the right situation. This includes but is not limited to: biomass boilers, boilers that use </w:t>
      </w:r>
      <w:proofErr w:type="spellStart"/>
      <w:r>
        <w:rPr>
          <w:rFonts w:ascii="Open Sans" w:eastAsia="Open Sans" w:hAnsi="Open Sans" w:cs="Open Sans"/>
          <w:sz w:val="20"/>
          <w:szCs w:val="20"/>
        </w:rPr>
        <w:t>bioLPG</w:t>
      </w:r>
      <w:proofErr w:type="spellEnd"/>
      <w:r>
        <w:rPr>
          <w:rFonts w:ascii="Open Sans" w:eastAsia="Open Sans" w:hAnsi="Open Sans" w:cs="Open Sans"/>
          <w:sz w:val="20"/>
          <w:szCs w:val="20"/>
        </w:rPr>
        <w:t xml:space="preserve">, </w:t>
      </w:r>
      <w:r w:rsidRPr="00323E9C">
        <w:rPr>
          <w:rFonts w:ascii="Open Sans" w:eastAsia="Open Sans" w:hAnsi="Open Sans" w:cs="Open Sans"/>
          <w:sz w:val="20"/>
          <w:szCs w:val="20"/>
        </w:rPr>
        <w:t>vegetable oil/biodiesel</w:t>
      </w:r>
      <w:r>
        <w:rPr>
          <w:rFonts w:ascii="Open Sans" w:eastAsia="Open Sans" w:hAnsi="Open Sans" w:cs="Open Sans"/>
          <w:sz w:val="20"/>
          <w:szCs w:val="20"/>
        </w:rPr>
        <w:t xml:space="preserve">, </w:t>
      </w:r>
      <w:r w:rsidRPr="00323E9C">
        <w:rPr>
          <w:rFonts w:ascii="Open Sans" w:eastAsia="Open Sans" w:hAnsi="Open Sans" w:cs="Open Sans"/>
          <w:sz w:val="20"/>
          <w:szCs w:val="20"/>
        </w:rPr>
        <w:t>HVO</w:t>
      </w:r>
      <w:r>
        <w:rPr>
          <w:rFonts w:ascii="Open Sans" w:eastAsia="Open Sans" w:hAnsi="Open Sans" w:cs="Open Sans"/>
          <w:sz w:val="20"/>
          <w:szCs w:val="20"/>
        </w:rPr>
        <w:t xml:space="preserve"> or other renewable heating liquid fuels, biogas, geothermal (likely via heat networks), hydrogen and thermal energy storage. </w:t>
      </w:r>
    </w:p>
    <w:p w14:paraId="5B8F2454"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The REA strongly supports the roll out of heat pumps, and recognise they are likely to play a critical role in many off-gas grid businesses, however, it is important to recognise they may not be the suitable solution to all situations. Rather than a heat pump first approach, we would prefer to see businesses empowered and informed through independent advisors, able to consider a wide range of factors, to consider what the right technology solution is for them, whether a heat pump or something else. </w:t>
      </w:r>
    </w:p>
    <w:p w14:paraId="1D717F69"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For example, the history of the Non-Domestic RHI has demonstrated that in many situations where high and varying heat loads are required, such as hospitals, schools, council officers or innovations in district heating, technologies like biomass have proven the most suitable decarbonisation option and providing the best value for money, In other situations, in similar buildings, high heat load heat pumps have also been used successfully. However, a complete range of factors need to be independently considered to ensure the right technology is installed, rather than preferring one technology over others.</w:t>
      </w:r>
    </w:p>
    <w:p w14:paraId="2631B145"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It is important consumer choice is respected and consumers have a wide range of renewable heating technologies to choose from. Government should not be forcing people down a particular renewable technology, instead the government should support the right technology for the right situation through a technology agnostic policy. </w:t>
      </w:r>
    </w:p>
    <w:p w14:paraId="5B6A5A8A" w14:textId="77777777" w:rsidR="002B2F15" w:rsidRDefault="00323E9C">
      <w:pPr>
        <w:numPr>
          <w:ilvl w:val="0"/>
          <w:numId w:val="1"/>
        </w:numPr>
        <w:spacing w:before="120" w:after="120" w:line="240" w:lineRule="auto"/>
        <w:rPr>
          <w:sz w:val="20"/>
          <w:szCs w:val="20"/>
        </w:rPr>
      </w:pPr>
      <w:r>
        <w:rPr>
          <w:rFonts w:ascii="Open Sans" w:eastAsia="Open Sans" w:hAnsi="Open Sans" w:cs="Open Sans"/>
          <w:b/>
          <w:color w:val="2F5496"/>
          <w:sz w:val="20"/>
          <w:szCs w:val="20"/>
        </w:rPr>
        <w:t>Do you agree that most non-domestic off-gas grid buildings will be suitable for a heat pump? Yes/No. Please provide evidence to support your response, including examples of situations where the heat and hot water demand could not be met by a heat pump.</w:t>
      </w:r>
    </w:p>
    <w:p w14:paraId="1A203BFF"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  There is no doubt that heat pumps will have a critical role to play in helping to decarbonise a large number of off-gas grid buildings being used in business and industrial sectors.  . However, a wide variety of factors need to be independently considered in order to ensure that the most efficient and cost-effective solution is installed, whether a heat pump or something else. Aspects property owners should consider in regards to all renewable heating systems  include space, power grid connection, availability of local installers, and the capacity of the property for large electric radiators, amongst other factors,.</w:t>
      </w:r>
    </w:p>
    <w:p w14:paraId="61AA73A3"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For example, in some situations the retrofitting the ideal underfloor heating required for heat pumps to large non-domestic buildings may be extremely expensive for example and alternative technology solutions may prove a better fit to the consumers’ needs</w:t>
      </w:r>
    </w:p>
    <w:p w14:paraId="6323116C" w14:textId="77777777" w:rsidR="002B2F15" w:rsidRDefault="00323E9C">
      <w:pPr>
        <w:numPr>
          <w:ilvl w:val="0"/>
          <w:numId w:val="1"/>
        </w:numPr>
        <w:spacing w:before="120" w:after="120" w:line="240" w:lineRule="auto"/>
        <w:rPr>
          <w:sz w:val="20"/>
          <w:szCs w:val="20"/>
        </w:rPr>
      </w:pPr>
      <w:r>
        <w:rPr>
          <w:rFonts w:ascii="Open Sans" w:eastAsia="Open Sans" w:hAnsi="Open Sans" w:cs="Open Sans"/>
          <w:b/>
          <w:color w:val="2F5496"/>
          <w:sz w:val="20"/>
          <w:szCs w:val="20"/>
        </w:rPr>
        <w:t>What types of buildings are likely to fall into the ‘hard to treat’ category? Please provide evidence to support your response.</w:t>
      </w:r>
    </w:p>
    <w:p w14:paraId="53605AF0"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Typically, hard to treat buildings include those that require particularly high heat loads and/or irregular heat demands, typically relating to a particular industrial process or consumer need.  This may also be the result of the building having poor energy efficiency, which may itself be difficult to treat due to the age or design of the building.  They may also be in areas with poor grid capacity, where the additional demand from industrial scale heat pumps may be challenging to meet. A wide variety of external factors, such as local availability of installers or easy access to biogenic feedstocks, also mean that electrification may not immediately be the most suitable solution</w:t>
      </w:r>
    </w:p>
    <w:p w14:paraId="328D88F2" w14:textId="77777777" w:rsidR="002B2F15" w:rsidRDefault="00323E9C">
      <w:pPr>
        <w:spacing w:before="120" w:after="120" w:line="240" w:lineRule="auto"/>
        <w:rPr>
          <w:rFonts w:ascii="Open Sans" w:eastAsia="Open Sans" w:hAnsi="Open Sans" w:cs="Open Sans"/>
          <w:b/>
          <w:color w:val="2F5496"/>
          <w:sz w:val="20"/>
          <w:szCs w:val="20"/>
        </w:rPr>
      </w:pPr>
      <w:r>
        <w:rPr>
          <w:rFonts w:ascii="Open Sans" w:eastAsia="Open Sans" w:hAnsi="Open Sans" w:cs="Open Sans"/>
          <w:sz w:val="20"/>
          <w:szCs w:val="20"/>
        </w:rPr>
        <w:t xml:space="preserve">Please see attached case studies (annex 1), for examples of where alternative bioenergy renewable heating solutions are used to address hard- to -treat business and industrial heat applications. </w:t>
      </w:r>
    </w:p>
    <w:p w14:paraId="7ACB8AFF" w14:textId="77777777" w:rsidR="002B2F15" w:rsidRDefault="00323E9C">
      <w:pPr>
        <w:numPr>
          <w:ilvl w:val="0"/>
          <w:numId w:val="1"/>
        </w:numPr>
        <w:spacing w:before="120" w:after="120" w:line="240" w:lineRule="auto"/>
        <w:rPr>
          <w:sz w:val="20"/>
          <w:szCs w:val="20"/>
        </w:rPr>
      </w:pPr>
      <w:r>
        <w:rPr>
          <w:rFonts w:ascii="Open Sans" w:eastAsia="Open Sans" w:hAnsi="Open Sans" w:cs="Open Sans"/>
          <w:b/>
          <w:color w:val="2F5496"/>
          <w:sz w:val="20"/>
          <w:szCs w:val="20"/>
        </w:rPr>
        <w:t>What low carbon heating systems do you foresee being used as alternatives to heat pumps in ‘hard to treat’ buildings? Please provide evidence to support your response.</w:t>
      </w:r>
    </w:p>
    <w:p w14:paraId="6DA045BB"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There are a wide range of technologies that might well have a role to play in hard-to-treat buildings, especially those associated with industrial or commercial applications requiring high heat loads or variable demand. Further technologies that will play significant role:</w:t>
      </w:r>
    </w:p>
    <w:p w14:paraId="38A002C2" w14:textId="77777777" w:rsidR="002B2F15" w:rsidRDefault="00323E9C">
      <w:pPr>
        <w:numPr>
          <w:ilvl w:val="0"/>
          <w:numId w:val="2"/>
        </w:numPr>
        <w:pBdr>
          <w:top w:val="nil"/>
          <w:left w:val="nil"/>
          <w:bottom w:val="nil"/>
          <w:right w:val="nil"/>
          <w:between w:val="nil"/>
        </w:pBdr>
        <w:spacing w:after="0"/>
        <w:rPr>
          <w:i/>
          <w:color w:val="000000"/>
          <w:sz w:val="20"/>
          <w:szCs w:val="20"/>
          <w:u w:val="single"/>
        </w:rPr>
      </w:pPr>
      <w:r>
        <w:rPr>
          <w:rFonts w:ascii="Open Sans" w:eastAsia="Open Sans" w:hAnsi="Open Sans" w:cs="Open Sans"/>
          <w:b/>
          <w:i/>
          <w:color w:val="000000"/>
          <w:sz w:val="20"/>
          <w:szCs w:val="20"/>
          <w:u w:val="single"/>
        </w:rPr>
        <w:t xml:space="preserve"> Biomass Heat </w:t>
      </w:r>
    </w:p>
    <w:p w14:paraId="6D968EA3" w14:textId="77777777" w:rsidR="002B2F15" w:rsidRDefault="002B2F15">
      <w:pPr>
        <w:pBdr>
          <w:top w:val="nil"/>
          <w:left w:val="nil"/>
          <w:bottom w:val="nil"/>
          <w:right w:val="nil"/>
          <w:between w:val="nil"/>
        </w:pBdr>
        <w:spacing w:after="0"/>
        <w:rPr>
          <w:rFonts w:ascii="Open Sans" w:eastAsia="Open Sans" w:hAnsi="Open Sans" w:cs="Open Sans"/>
          <w:color w:val="000000"/>
          <w:sz w:val="20"/>
          <w:szCs w:val="20"/>
        </w:rPr>
      </w:pPr>
    </w:p>
    <w:p w14:paraId="43EAEBF7" w14:textId="77777777" w:rsidR="002B2F15" w:rsidRDefault="00323E9C">
      <w:pPr>
        <w:pBdr>
          <w:top w:val="nil"/>
          <w:left w:val="nil"/>
          <w:bottom w:val="nil"/>
          <w:right w:val="nil"/>
          <w:between w:val="nil"/>
        </w:pBdr>
        <w:spacing w:after="0"/>
        <w:rPr>
          <w:rFonts w:ascii="Open Sans" w:eastAsia="Open Sans" w:hAnsi="Open Sans" w:cs="Open Sans"/>
          <w:color w:val="000000"/>
          <w:sz w:val="20"/>
          <w:szCs w:val="20"/>
        </w:rPr>
      </w:pPr>
      <w:r>
        <w:rPr>
          <w:rFonts w:ascii="Open Sans" w:eastAsia="Open Sans" w:hAnsi="Open Sans" w:cs="Open Sans"/>
          <w:color w:val="000000"/>
          <w:sz w:val="20"/>
          <w:szCs w:val="20"/>
        </w:rPr>
        <w:t>Biomass boilers provide the largest contribution under the RHI to heat decarbonisation in the UK today. They are effective in replacing oil boilers in existing buildings and are a crucial technology for powering heat networks. In Sweden over 40% of heat is met via biomass [1]. Biomass is a versatile alternative where electrification may not be possible, they are particularly suited to contexts where a high heat load is required and/or where levels of energy efficiency are low, typically in off-gas grid rural areas and certain on-grid urban areas (e.g. district heating).  There is also potential in urban areas with larger residential or commercial sites, such as schools and hospitals or in new developments combined with heat networks.</w:t>
      </w:r>
    </w:p>
    <w:p w14:paraId="266B3A2C" w14:textId="77777777" w:rsidR="002B2F15" w:rsidRDefault="002B2F15">
      <w:pPr>
        <w:pBdr>
          <w:top w:val="nil"/>
          <w:left w:val="nil"/>
          <w:bottom w:val="nil"/>
          <w:right w:val="nil"/>
          <w:between w:val="nil"/>
        </w:pBdr>
        <w:spacing w:after="0"/>
        <w:rPr>
          <w:rFonts w:ascii="Open Sans" w:eastAsia="Open Sans" w:hAnsi="Open Sans" w:cs="Open Sans"/>
          <w:b/>
          <w:color w:val="000000"/>
          <w:sz w:val="20"/>
          <w:szCs w:val="20"/>
        </w:rPr>
      </w:pPr>
    </w:p>
    <w:p w14:paraId="7AA382D9" w14:textId="77777777" w:rsidR="002B2F15" w:rsidRDefault="00323E9C">
      <w:pPr>
        <w:numPr>
          <w:ilvl w:val="0"/>
          <w:numId w:val="2"/>
        </w:numPr>
        <w:pBdr>
          <w:top w:val="nil"/>
          <w:left w:val="nil"/>
          <w:bottom w:val="nil"/>
          <w:right w:val="nil"/>
          <w:between w:val="nil"/>
        </w:pBdr>
        <w:rPr>
          <w:color w:val="000000"/>
          <w:sz w:val="20"/>
          <w:szCs w:val="20"/>
          <w:u w:val="single"/>
        </w:rPr>
      </w:pPr>
      <w:r>
        <w:rPr>
          <w:rFonts w:ascii="Open Sans" w:eastAsia="Open Sans" w:hAnsi="Open Sans" w:cs="Open Sans"/>
          <w:b/>
          <w:color w:val="000000"/>
          <w:sz w:val="20"/>
          <w:szCs w:val="20"/>
          <w:u w:val="single"/>
        </w:rPr>
        <w:t>Deep Geothermal</w:t>
      </w:r>
    </w:p>
    <w:p w14:paraId="6DDFA901" w14:textId="77777777" w:rsidR="002B2F15" w:rsidRDefault="00323E9C">
      <w:pPr>
        <w:rPr>
          <w:rFonts w:ascii="Open Sans" w:eastAsia="Open Sans" w:hAnsi="Open Sans" w:cs="Open Sans"/>
          <w:sz w:val="20"/>
          <w:szCs w:val="20"/>
        </w:rPr>
      </w:pPr>
      <w:r>
        <w:rPr>
          <w:rFonts w:ascii="Open Sans" w:eastAsia="Open Sans" w:hAnsi="Open Sans" w:cs="Open Sans"/>
          <w:sz w:val="20"/>
          <w:szCs w:val="20"/>
        </w:rPr>
        <w:t xml:space="preserve">Deep Geothermal provides baseload dispatchable green heat perfectly suited to powering renewable heat networks, as is the case elsewhere in Europe where it is seen as a key technology for decarbonising large conurbation of domestic buildings. For example, the Paris basin region has over 40 geothermal plants feeding district heating networks across the city [2]. While the Non-Domestic Renewable Heat Incentive (ND RHI)  has brought geothermal projects close to successful deployment in the UK, Covid-19 related delays means there is now a group of projects that are shovel ready, but have not been able to deploy under the RHI. </w:t>
      </w:r>
    </w:p>
    <w:p w14:paraId="3863740A" w14:textId="77777777" w:rsidR="002B2F15" w:rsidRDefault="00323E9C">
      <w:pPr>
        <w:numPr>
          <w:ilvl w:val="0"/>
          <w:numId w:val="2"/>
        </w:numPr>
        <w:pBdr>
          <w:top w:val="nil"/>
          <w:left w:val="nil"/>
          <w:bottom w:val="nil"/>
          <w:right w:val="nil"/>
          <w:between w:val="nil"/>
        </w:pBdr>
        <w:spacing w:after="0"/>
        <w:rPr>
          <w:color w:val="000000"/>
          <w:sz w:val="20"/>
          <w:szCs w:val="20"/>
          <w:u w:val="single"/>
        </w:rPr>
      </w:pPr>
      <w:proofErr w:type="spellStart"/>
      <w:r>
        <w:rPr>
          <w:rFonts w:ascii="Open Sans" w:eastAsia="Open Sans" w:hAnsi="Open Sans" w:cs="Open Sans"/>
          <w:b/>
          <w:color w:val="000000"/>
          <w:sz w:val="20"/>
          <w:szCs w:val="20"/>
          <w:u w:val="single"/>
        </w:rPr>
        <w:t>BioLPG</w:t>
      </w:r>
      <w:proofErr w:type="spellEnd"/>
    </w:p>
    <w:p w14:paraId="5A677408" w14:textId="77777777" w:rsidR="002B2F15" w:rsidRDefault="002B2F15">
      <w:pPr>
        <w:pBdr>
          <w:top w:val="nil"/>
          <w:left w:val="nil"/>
          <w:bottom w:val="nil"/>
          <w:right w:val="nil"/>
          <w:between w:val="nil"/>
        </w:pBdr>
        <w:rPr>
          <w:rFonts w:ascii="Open Sans" w:eastAsia="Open Sans" w:hAnsi="Open Sans" w:cs="Open Sans"/>
          <w:color w:val="000000"/>
          <w:sz w:val="20"/>
          <w:szCs w:val="20"/>
        </w:rPr>
      </w:pPr>
    </w:p>
    <w:p w14:paraId="4DDB2CEC" w14:textId="231049B7" w:rsidR="002B2F15" w:rsidRDefault="00323E9C">
      <w:pPr>
        <w:pBdr>
          <w:top w:val="nil"/>
          <w:left w:val="nil"/>
          <w:bottom w:val="nil"/>
          <w:right w:val="nil"/>
          <w:between w:val="nil"/>
        </w:pBdr>
        <w:rPr>
          <w:rFonts w:ascii="Open Sans" w:eastAsia="Open Sans" w:hAnsi="Open Sans" w:cs="Open Sans"/>
          <w:color w:val="000000"/>
          <w:sz w:val="20"/>
          <w:szCs w:val="20"/>
          <w:u w:val="single"/>
        </w:rPr>
      </w:pPr>
      <w:proofErr w:type="spellStart"/>
      <w:r>
        <w:rPr>
          <w:rFonts w:ascii="Open Sans" w:eastAsia="Open Sans" w:hAnsi="Open Sans" w:cs="Open Sans"/>
          <w:color w:val="000000"/>
          <w:sz w:val="20"/>
          <w:szCs w:val="20"/>
        </w:rPr>
        <w:t>Biopropane</w:t>
      </w:r>
      <w:proofErr w:type="spellEnd"/>
      <w:r>
        <w:rPr>
          <w:rFonts w:ascii="Open Sans" w:eastAsia="Open Sans" w:hAnsi="Open Sans" w:cs="Open Sans"/>
          <w:color w:val="000000"/>
          <w:sz w:val="20"/>
          <w:szCs w:val="20"/>
        </w:rPr>
        <w:t xml:space="preserve"> (sold as </w:t>
      </w:r>
      <w:proofErr w:type="spellStart"/>
      <w:r>
        <w:rPr>
          <w:rFonts w:ascii="Open Sans" w:eastAsia="Open Sans" w:hAnsi="Open Sans" w:cs="Open Sans"/>
          <w:color w:val="000000"/>
          <w:sz w:val="20"/>
          <w:szCs w:val="20"/>
        </w:rPr>
        <w:t>bioLPG</w:t>
      </w:r>
      <w:proofErr w:type="spellEnd"/>
      <w:r>
        <w:rPr>
          <w:rFonts w:ascii="Open Sans" w:eastAsia="Open Sans" w:hAnsi="Open Sans" w:cs="Open Sans"/>
          <w:color w:val="000000"/>
          <w:sz w:val="20"/>
          <w:szCs w:val="20"/>
        </w:rPr>
        <w:t xml:space="preserve">) is already available in the GB market. </w:t>
      </w:r>
      <w:proofErr w:type="spellStart"/>
      <w:r>
        <w:rPr>
          <w:rFonts w:ascii="Open Sans" w:eastAsia="Open Sans" w:hAnsi="Open Sans" w:cs="Open Sans"/>
          <w:color w:val="000000"/>
          <w:sz w:val="20"/>
          <w:szCs w:val="20"/>
        </w:rPr>
        <w:t>Biopropane</w:t>
      </w:r>
      <w:proofErr w:type="spellEnd"/>
      <w:r>
        <w:rPr>
          <w:rFonts w:ascii="Open Sans" w:eastAsia="Open Sans" w:hAnsi="Open Sans" w:cs="Open Sans"/>
          <w:color w:val="000000"/>
          <w:sz w:val="20"/>
          <w:szCs w:val="20"/>
        </w:rPr>
        <w:t xml:space="preserve"> is chemically identical to conventional propane (LPG) so can be blended in any ratio with conventional LPG, allowing a transition </w:t>
      </w:r>
      <w:r>
        <w:rPr>
          <w:rFonts w:ascii="Open Sans" w:eastAsia="Open Sans" w:hAnsi="Open Sans" w:cs="Open Sans"/>
          <w:sz w:val="20"/>
          <w:szCs w:val="20"/>
        </w:rPr>
        <w:t>to a 100%</w:t>
      </w:r>
      <w:r>
        <w:rPr>
          <w:rFonts w:ascii="Open Sans" w:eastAsia="Open Sans" w:hAnsi="Open Sans" w:cs="Open Sans"/>
          <w:color w:val="000000"/>
          <w:sz w:val="20"/>
          <w:szCs w:val="20"/>
        </w:rPr>
        <w:t xml:space="preserve"> renewable product. An existing LPG boiler is also a </w:t>
      </w:r>
      <w:proofErr w:type="spellStart"/>
      <w:r>
        <w:rPr>
          <w:rFonts w:ascii="Open Sans" w:eastAsia="Open Sans" w:hAnsi="Open Sans" w:cs="Open Sans"/>
          <w:color w:val="000000"/>
          <w:sz w:val="20"/>
          <w:szCs w:val="20"/>
        </w:rPr>
        <w:t>biopropane</w:t>
      </w:r>
      <w:proofErr w:type="spellEnd"/>
      <w:r>
        <w:rPr>
          <w:rFonts w:ascii="Open Sans" w:eastAsia="Open Sans" w:hAnsi="Open Sans" w:cs="Open Sans"/>
          <w:color w:val="000000"/>
          <w:sz w:val="20"/>
          <w:szCs w:val="20"/>
        </w:rPr>
        <w:t xml:space="preserve"> boiler: minimising infrastructure change requirements, especially in domestic situations. The UK’s liquid gas industry has committed to a 2040 100% renewable target.</w:t>
      </w:r>
      <w:r w:rsidR="002F58F8">
        <w:rPr>
          <w:rFonts w:ascii="Open Sans" w:eastAsia="Open Sans" w:hAnsi="Open Sans" w:cs="Open Sans"/>
          <w:color w:val="000000"/>
          <w:sz w:val="20"/>
          <w:szCs w:val="20"/>
        </w:rPr>
        <w:t xml:space="preserve"> W</w:t>
      </w:r>
      <w:r w:rsidR="002F58F8" w:rsidRPr="002F58F8">
        <w:rPr>
          <w:rFonts w:ascii="Open Sans" w:eastAsia="Open Sans" w:hAnsi="Open Sans" w:cs="Open Sans"/>
          <w:color w:val="000000"/>
          <w:sz w:val="20"/>
          <w:szCs w:val="20"/>
        </w:rPr>
        <w:t xml:space="preserve">e are aware that R&amp;D is being carried out to explore alternative pathways to </w:t>
      </w:r>
      <w:hyperlink r:id="rId7" w:history="1">
        <w:r w:rsidR="002F58F8" w:rsidRPr="002F58F8">
          <w:rPr>
            <w:rStyle w:val="Hyperlink"/>
            <w:rFonts w:ascii="Open Sans" w:eastAsia="Open Sans" w:hAnsi="Open Sans" w:cs="Open Sans"/>
            <w:sz w:val="20"/>
            <w:szCs w:val="20"/>
          </w:rPr>
          <w:t xml:space="preserve">produce </w:t>
        </w:r>
        <w:proofErr w:type="spellStart"/>
        <w:r w:rsidR="002F58F8" w:rsidRPr="002F58F8">
          <w:rPr>
            <w:rStyle w:val="Hyperlink"/>
            <w:rFonts w:ascii="Open Sans" w:eastAsia="Open Sans" w:hAnsi="Open Sans" w:cs="Open Sans"/>
            <w:sz w:val="20"/>
            <w:szCs w:val="20"/>
          </w:rPr>
          <w:t>biopropane</w:t>
        </w:r>
        <w:proofErr w:type="spellEnd"/>
        <w:r w:rsidR="002F58F8" w:rsidRPr="002F58F8">
          <w:rPr>
            <w:rStyle w:val="Hyperlink"/>
            <w:rFonts w:ascii="Open Sans" w:eastAsia="Open Sans" w:hAnsi="Open Sans" w:cs="Open Sans"/>
            <w:sz w:val="20"/>
            <w:szCs w:val="20"/>
          </w:rPr>
          <w:t xml:space="preserve"> in a sustainable way</w:t>
        </w:r>
      </w:hyperlink>
      <w:r w:rsidR="002F58F8" w:rsidRPr="002F58F8">
        <w:rPr>
          <w:rFonts w:ascii="Open Sans" w:eastAsia="Open Sans" w:hAnsi="Open Sans" w:cs="Open Sans"/>
          <w:color w:val="000000"/>
          <w:sz w:val="20"/>
          <w:szCs w:val="20"/>
        </w:rPr>
        <w:t xml:space="preserve">. For example, see this article recently published with positive results on the production of </w:t>
      </w:r>
      <w:proofErr w:type="spellStart"/>
      <w:r w:rsidR="002F58F8" w:rsidRPr="002F58F8">
        <w:rPr>
          <w:rFonts w:ascii="Open Sans" w:eastAsia="Open Sans" w:hAnsi="Open Sans" w:cs="Open Sans"/>
          <w:color w:val="000000"/>
          <w:sz w:val="20"/>
          <w:szCs w:val="20"/>
        </w:rPr>
        <w:t>biopropane</w:t>
      </w:r>
      <w:proofErr w:type="spellEnd"/>
      <w:r w:rsidR="002F58F8" w:rsidRPr="002F58F8">
        <w:rPr>
          <w:rFonts w:ascii="Open Sans" w:eastAsia="Open Sans" w:hAnsi="Open Sans" w:cs="Open Sans"/>
          <w:color w:val="000000"/>
          <w:sz w:val="20"/>
          <w:szCs w:val="20"/>
        </w:rPr>
        <w:t xml:space="preserve"> from the Decarboxylation of butyric acid, which can be obtained from biomass</w:t>
      </w:r>
      <w:r w:rsidR="002F58F8">
        <w:rPr>
          <w:rFonts w:ascii="Open Sans" w:eastAsia="Open Sans" w:hAnsi="Open Sans" w:cs="Open Sans"/>
          <w:color w:val="000000"/>
          <w:sz w:val="20"/>
          <w:szCs w:val="20"/>
        </w:rPr>
        <w:t xml:space="preserve">. </w:t>
      </w:r>
      <w:r>
        <w:rPr>
          <w:rFonts w:ascii="Open Sans" w:eastAsia="Open Sans" w:hAnsi="Open Sans" w:cs="Open Sans"/>
          <w:color w:val="000000"/>
          <w:sz w:val="20"/>
          <w:szCs w:val="20"/>
        </w:rPr>
        <w:br/>
      </w:r>
      <w:r>
        <w:rPr>
          <w:rFonts w:ascii="Open Sans" w:eastAsia="Open Sans" w:hAnsi="Open Sans" w:cs="Open Sans"/>
          <w:color w:val="000000"/>
          <w:sz w:val="20"/>
          <w:szCs w:val="20"/>
        </w:rPr>
        <w:br/>
        <w:t xml:space="preserve">      </w:t>
      </w:r>
      <w:r>
        <w:rPr>
          <w:rFonts w:ascii="Open Sans" w:eastAsia="Open Sans" w:hAnsi="Open Sans" w:cs="Open Sans"/>
          <w:b/>
          <w:sz w:val="20"/>
          <w:szCs w:val="20"/>
          <w:u w:val="single"/>
        </w:rPr>
        <w:t xml:space="preserve">-       </w:t>
      </w:r>
      <w:r>
        <w:rPr>
          <w:rFonts w:ascii="Open Sans" w:eastAsia="Open Sans" w:hAnsi="Open Sans" w:cs="Open Sans"/>
          <w:b/>
          <w:color w:val="000000"/>
          <w:sz w:val="20"/>
          <w:szCs w:val="20"/>
          <w:u w:val="single"/>
        </w:rPr>
        <w:t>Thermal Heat Storage Batteries</w:t>
      </w:r>
    </w:p>
    <w:p w14:paraId="6C5747A7" w14:textId="77777777" w:rsidR="002B2F15" w:rsidRDefault="00323E9C">
      <w:pPr>
        <w:spacing w:before="120" w:after="120"/>
        <w:rPr>
          <w:rFonts w:ascii="Open Sans" w:eastAsia="Open Sans" w:hAnsi="Open Sans" w:cs="Open Sans"/>
          <w:sz w:val="20"/>
          <w:szCs w:val="20"/>
        </w:rPr>
      </w:pPr>
      <w:r>
        <w:rPr>
          <w:rFonts w:ascii="Open Sans" w:eastAsia="Open Sans" w:hAnsi="Open Sans" w:cs="Open Sans"/>
          <w:sz w:val="20"/>
          <w:szCs w:val="20"/>
        </w:rPr>
        <w:t xml:space="preserve">BEIS must also consider the role of thermal battery energy storage which can be used to efficiently store waste heat from industrial processes, shifting and reducing demand in commercial heat uses, as well as helping make district heating projects more energy efficient.  They can be charged using excess process heat, or directly from heat pumps, ground-source heat pumps, biomass boilers and photovoltaics. At the domestic scale, up to ~12kWh, they can be used to make buildings on a heat network more energy-efficient, sustainable, and self-sufficient. At the utility-scale, large scale static or transportable heat storage (200 kWh to multiple MWh) is also possible, helping to use heat where, and when, it is most needed. With the transition to a greater decentralised energy system and a need to spread out heat demand, especially on the electricity grid, thermal storage is likely to play a crucial role in enabling heat decarbonisation both in the domestic and non-domestic sector. </w:t>
      </w:r>
    </w:p>
    <w:p w14:paraId="6B64BD6A" w14:textId="77777777" w:rsidR="002B2F15" w:rsidRDefault="00323E9C">
      <w:pPr>
        <w:numPr>
          <w:ilvl w:val="0"/>
          <w:numId w:val="2"/>
        </w:numPr>
        <w:pBdr>
          <w:top w:val="nil"/>
          <w:left w:val="nil"/>
          <w:bottom w:val="nil"/>
          <w:right w:val="nil"/>
          <w:between w:val="nil"/>
        </w:pBdr>
        <w:spacing w:before="120" w:after="120"/>
        <w:rPr>
          <w:color w:val="000000"/>
          <w:sz w:val="20"/>
          <w:szCs w:val="20"/>
        </w:rPr>
      </w:pPr>
      <w:r>
        <w:rPr>
          <w:rFonts w:ascii="Open Sans" w:eastAsia="Open Sans" w:hAnsi="Open Sans" w:cs="Open Sans"/>
          <w:b/>
          <w:color w:val="000000"/>
          <w:sz w:val="20"/>
          <w:szCs w:val="20"/>
        </w:rPr>
        <w:t>AD Biogas and Syngas</w:t>
      </w:r>
    </w:p>
    <w:p w14:paraId="12C36D24" w14:textId="77777777" w:rsidR="002B2F15" w:rsidRDefault="00323E9C">
      <w:pPr>
        <w:spacing w:before="120" w:after="120"/>
        <w:rPr>
          <w:rFonts w:ascii="Open Sans" w:eastAsia="Open Sans" w:hAnsi="Open Sans" w:cs="Open Sans"/>
          <w:sz w:val="20"/>
          <w:szCs w:val="20"/>
        </w:rPr>
      </w:pPr>
      <w:r>
        <w:rPr>
          <w:rFonts w:ascii="Open Sans" w:eastAsia="Open Sans" w:hAnsi="Open Sans" w:cs="Open Sans"/>
          <w:sz w:val="20"/>
          <w:szCs w:val="20"/>
        </w:rPr>
        <w:t xml:space="preserve">Anaerobic Digestion has been successful in replacing the fossil fuel heat required in commercial operations that already have access to significant levels of biogenic materials, typical as a waste by-product of another industrial process. The use of onsite biogas has already proved effective in decarbonising  farm buildings, onsite drying processes (such as in food production) and the households, neighbours and agricultural workforce's own households demand for renewable heat from biogas (as both, heating and hot water supply), whilst delivering numerous additional environmental and agronomic benefits, such as the potential for chilling/cooling as well and the application of </w:t>
      </w:r>
      <w:proofErr w:type="spellStart"/>
      <w:r>
        <w:rPr>
          <w:rFonts w:ascii="Open Sans" w:eastAsia="Open Sans" w:hAnsi="Open Sans" w:cs="Open Sans"/>
          <w:sz w:val="20"/>
          <w:szCs w:val="20"/>
        </w:rPr>
        <w:t>biofertilisers</w:t>
      </w:r>
      <w:proofErr w:type="spellEnd"/>
      <w:r>
        <w:rPr>
          <w:rFonts w:ascii="Open Sans" w:eastAsia="Open Sans" w:hAnsi="Open Sans" w:cs="Open Sans"/>
          <w:sz w:val="20"/>
          <w:szCs w:val="20"/>
        </w:rPr>
        <w:t xml:space="preserve"> to agricultural land to replace chemical fertilisers. Similar potential is also seen in the use of on-site syngas generation where gasification and pyrolysis systems are used on waste or biomass feedstocks. There is an opportunity, and significant interest, in AD and Advanced conversion technology projects, especially in the agricultural and food manufacturing sectors where it is in creating added value</w:t>
      </w:r>
      <w:r>
        <w:t>.</w:t>
      </w:r>
    </w:p>
    <w:p w14:paraId="6E3ECBA0" w14:textId="77777777" w:rsidR="002B2F15" w:rsidRDefault="00323E9C">
      <w:pPr>
        <w:numPr>
          <w:ilvl w:val="0"/>
          <w:numId w:val="2"/>
        </w:numPr>
        <w:pBdr>
          <w:top w:val="nil"/>
          <w:left w:val="nil"/>
          <w:bottom w:val="nil"/>
          <w:right w:val="nil"/>
          <w:between w:val="nil"/>
        </w:pBdr>
        <w:rPr>
          <w:color w:val="000000"/>
          <w:sz w:val="20"/>
          <w:szCs w:val="20"/>
          <w:u w:val="single"/>
        </w:rPr>
      </w:pPr>
      <w:r>
        <w:rPr>
          <w:rFonts w:ascii="Open Sans" w:eastAsia="Open Sans" w:hAnsi="Open Sans" w:cs="Open Sans"/>
          <w:b/>
          <w:color w:val="000000"/>
          <w:sz w:val="20"/>
          <w:szCs w:val="20"/>
          <w:u w:val="single"/>
        </w:rPr>
        <w:t>Hydrogen</w:t>
      </w:r>
    </w:p>
    <w:p w14:paraId="7A16B940" w14:textId="77777777" w:rsidR="002B2F15" w:rsidRDefault="00323E9C">
      <w:pPr>
        <w:pBdr>
          <w:top w:val="nil"/>
          <w:left w:val="nil"/>
          <w:bottom w:val="nil"/>
          <w:right w:val="nil"/>
          <w:between w:val="nil"/>
        </w:pBdr>
        <w:spacing w:before="120" w:after="120" w:line="240" w:lineRule="auto"/>
        <w:rPr>
          <w:rFonts w:ascii="Open Sans" w:eastAsia="Open Sans" w:hAnsi="Open Sans" w:cs="Open Sans"/>
          <w:color w:val="000000"/>
        </w:rPr>
      </w:pPr>
      <w:r>
        <w:rPr>
          <w:rFonts w:ascii="Open Sans" w:eastAsia="Open Sans" w:hAnsi="Open Sans" w:cs="Open Sans"/>
          <w:color w:val="000000"/>
          <w:sz w:val="20"/>
          <w:szCs w:val="20"/>
        </w:rPr>
        <w:t>Hydrogen is a carbon free energy carrier with the potential to decarbonise challenging sectors (e.g. industrial clusters, heating and transport - in particular aviation, marine and heavy freight). It can also be used for large scale energy storage. Hydrogen has zero emissions at the point of use, but its upstream or “well to tank” (</w:t>
      </w:r>
      <w:proofErr w:type="spellStart"/>
      <w:r>
        <w:rPr>
          <w:rFonts w:ascii="Open Sans" w:eastAsia="Open Sans" w:hAnsi="Open Sans" w:cs="Open Sans"/>
          <w:color w:val="000000"/>
          <w:sz w:val="20"/>
          <w:szCs w:val="20"/>
        </w:rPr>
        <w:t>WtT</w:t>
      </w:r>
      <w:proofErr w:type="spellEnd"/>
      <w:r>
        <w:rPr>
          <w:rFonts w:ascii="Open Sans" w:eastAsia="Open Sans" w:hAnsi="Open Sans" w:cs="Open Sans"/>
          <w:color w:val="000000"/>
          <w:sz w:val="20"/>
          <w:szCs w:val="20"/>
        </w:rPr>
        <w:t>) emissions vary considerably, depending on how it is made</w:t>
      </w:r>
      <w:r>
        <w:rPr>
          <w:rFonts w:ascii="Open Sans" w:eastAsia="Open Sans" w:hAnsi="Open Sans" w:cs="Open Sans"/>
          <w:color w:val="000000"/>
        </w:rPr>
        <w:t>.</w:t>
      </w:r>
    </w:p>
    <w:p w14:paraId="54CDBD77" w14:textId="77777777" w:rsidR="002B2F15" w:rsidRDefault="00323E9C">
      <w:pPr>
        <w:spacing w:before="120" w:after="120"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 xml:space="preserve">Industrial users are likely to be early adopters of hydrogen for a number of reasons, including but not limited to the following: industrial end users are likely to have fewer cost-effective alternative decarbonisation options. In addition, it is also easier to convert to hydrogen a large appliance (e.g. a large boiler) than many small appliances, and the transportation of hydrogen is also easier to address (e.g. when the SMR plant can be built next to the industrial user). </w:t>
      </w:r>
    </w:p>
    <w:p w14:paraId="73EA69C0" w14:textId="77777777" w:rsidR="002B2F15" w:rsidRDefault="00323E9C">
      <w:pPr>
        <w:spacing w:before="120" w:after="120"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t xml:space="preserve">Hydrogen is likely to play a key role in decarbonising hard-to-abate industrial sectors such as steel, ammonia, refineries and chemical plants, where other decarbonisation options such as electrification or bioenergy are not available. Hydrogen can either be used as a fuel to produce industrial high temperature process heat (e.g. in cement production), as a feedstock/chemical reagent (e.g. in ammonia or methanol production) or as a reducing agent in the production of direct reduced iron (DRI) (steel). </w:t>
      </w:r>
    </w:p>
    <w:p w14:paraId="02E7DDB2" w14:textId="77777777" w:rsidR="002B2F15" w:rsidRDefault="00323E9C">
      <w:pPr>
        <w:numPr>
          <w:ilvl w:val="0"/>
          <w:numId w:val="2"/>
        </w:numPr>
        <w:rPr>
          <w:sz w:val="20"/>
          <w:szCs w:val="20"/>
          <w:u w:val="single"/>
        </w:rPr>
      </w:pPr>
      <w:r>
        <w:rPr>
          <w:rFonts w:ascii="Open Sans" w:eastAsia="Open Sans" w:hAnsi="Open Sans" w:cs="Open Sans"/>
          <w:b/>
          <w:sz w:val="20"/>
          <w:szCs w:val="20"/>
          <w:u w:val="single"/>
        </w:rPr>
        <w:t>Agri-food sector</w:t>
      </w:r>
    </w:p>
    <w:p w14:paraId="14309B5B" w14:textId="77777777" w:rsidR="002B2F15" w:rsidRDefault="00323E9C">
      <w:pPr>
        <w:rPr>
          <w:rFonts w:ascii="Open Sans" w:eastAsia="Open Sans" w:hAnsi="Open Sans" w:cs="Open Sans"/>
          <w:color w:val="000000"/>
          <w:sz w:val="20"/>
          <w:szCs w:val="20"/>
        </w:rPr>
      </w:pPr>
      <w:r>
        <w:rPr>
          <w:rFonts w:ascii="Open Sans" w:eastAsia="Open Sans" w:hAnsi="Open Sans" w:cs="Open Sans"/>
          <w:color w:val="000000"/>
          <w:sz w:val="20"/>
          <w:szCs w:val="20"/>
        </w:rPr>
        <w:t xml:space="preserve">Where individual farms or food factories have no access to the gas grid, they are not being incentivised to invest in converting their process residues into bioenergy (as is being done by </w:t>
      </w:r>
      <w:proofErr w:type="spellStart"/>
      <w:r>
        <w:rPr>
          <w:rFonts w:ascii="Open Sans" w:eastAsia="Open Sans" w:hAnsi="Open Sans" w:cs="Open Sans"/>
          <w:color w:val="000000"/>
          <w:sz w:val="20"/>
          <w:szCs w:val="20"/>
        </w:rPr>
        <w:t>Brewdog</w:t>
      </w:r>
      <w:proofErr w:type="spellEnd"/>
      <w:r>
        <w:rPr>
          <w:rFonts w:ascii="Open Sans" w:eastAsia="Open Sans" w:hAnsi="Open Sans" w:cs="Open Sans"/>
          <w:color w:val="000000"/>
          <w:sz w:val="20"/>
          <w:szCs w:val="20"/>
        </w:rPr>
        <w:t xml:space="preserve">). Hence, a source of funding becomes essential to support the business case for an on-site biogas/biomethane plant. Significant capital investment is needed up front to build the AD plant, the biogas CHP/boiler and/or the biogas upgrade equipment, biomethane fuel utilisation and potential CO2 capturing infrastructure. The Green Gas Support Scheme (GGSS) will not support these types of projects, because biomethane produced on site cannot be cost-effectively injected into the gas grid and allow the operator to claim the future GGSS tariffs. We identified this as a gap at various consultation stages of the GGSS and our understanding </w:t>
      </w:r>
      <w:r>
        <w:rPr>
          <w:rFonts w:ascii="Open Sans" w:eastAsia="Open Sans" w:hAnsi="Open Sans" w:cs="Open Sans"/>
          <w:sz w:val="20"/>
          <w:szCs w:val="20"/>
        </w:rPr>
        <w:t>from the Government</w:t>
      </w:r>
      <w:r>
        <w:rPr>
          <w:rFonts w:ascii="Open Sans" w:eastAsia="Open Sans" w:hAnsi="Open Sans" w:cs="Open Sans"/>
          <w:color w:val="000000"/>
          <w:sz w:val="20"/>
          <w:szCs w:val="20"/>
        </w:rPr>
        <w:t xml:space="preserve"> is that the gap would be filled by other future mechanisms under the Government’s industrial decarbonisation programme.</w:t>
      </w:r>
    </w:p>
    <w:p w14:paraId="27C4B38D" w14:textId="77777777" w:rsidR="002B2F15" w:rsidRDefault="00323E9C">
      <w:pPr>
        <w:rPr>
          <w:rFonts w:ascii="Open Sans" w:eastAsia="Open Sans" w:hAnsi="Open Sans" w:cs="Open Sans"/>
          <w:color w:val="000000"/>
          <w:sz w:val="20"/>
          <w:szCs w:val="20"/>
        </w:rPr>
      </w:pPr>
      <w:r>
        <w:rPr>
          <w:rFonts w:ascii="Open Sans" w:eastAsia="Open Sans" w:hAnsi="Open Sans" w:cs="Open Sans"/>
          <w:color w:val="000000"/>
          <w:sz w:val="20"/>
          <w:szCs w:val="20"/>
        </w:rPr>
        <w:t>The food and beverage sector has typically significant volumes of on-site residues / effluents that need treating, and also significant requirements for process heat (and in some cases power), as well as haulage fleets for materials supplies and product distribution all of which need decarbonising (including diesel HGVs). An on-site anaerobic digestion system deployed at these factory or farm processing sites could make use of these residues / effluents, whilst providing part of the heat and power requirements for the beverage or food manufacturing process - especially within processes that have a significant heat requirement (distilleries, breweries etc.). It can also produce biomethane to fuel their fleet (both for product haulage and delivering inputs and raw materials).</w:t>
      </w:r>
    </w:p>
    <w:p w14:paraId="4028E943" w14:textId="77777777" w:rsidR="002B2F15" w:rsidRDefault="00323E9C">
      <w:pPr>
        <w:rPr>
          <w:rFonts w:ascii="Open Sans" w:eastAsia="Open Sans" w:hAnsi="Open Sans" w:cs="Open Sans"/>
          <w:sz w:val="20"/>
          <w:szCs w:val="20"/>
        </w:rPr>
      </w:pPr>
      <w:r>
        <w:rPr>
          <w:rFonts w:ascii="Open Sans" w:eastAsia="Open Sans" w:hAnsi="Open Sans" w:cs="Open Sans"/>
          <w:color w:val="000000"/>
          <w:sz w:val="20"/>
          <w:szCs w:val="20"/>
        </w:rPr>
        <w:t>WRAP (2018) estimates that food manufacturing produces 1.5 Mt of food waste per year, with 6,700 SME’s accounting for 97% of businesses. Members of the REA estimate that 100 of these (1.5%) with on-site AD producing 100 m3 of biogas, each generating circa 4 GW of heat per year (or 1.8 GW electric and 2.2 GW heat in a CHP), could supply 400 GW per annum of clean heat or over 30,000 tonnes of low emissions, decarbonised HGV fuel.</w:t>
      </w:r>
    </w:p>
    <w:p w14:paraId="7C897C4A" w14:textId="77777777" w:rsidR="002B2F15" w:rsidRDefault="00323E9C">
      <w:pPr>
        <w:spacing w:line="240" w:lineRule="auto"/>
        <w:ind w:right="-45"/>
        <w:rPr>
          <w:rFonts w:ascii="Open Sans" w:eastAsia="Open Sans" w:hAnsi="Open Sans" w:cs="Open Sans"/>
          <w:sz w:val="20"/>
          <w:szCs w:val="20"/>
        </w:rPr>
      </w:pPr>
      <w:r>
        <w:rPr>
          <w:rFonts w:ascii="Open Sans" w:eastAsia="Open Sans" w:hAnsi="Open Sans" w:cs="Open Sans"/>
          <w:color w:val="000000"/>
          <w:sz w:val="20"/>
          <w:szCs w:val="20"/>
        </w:rPr>
        <w:t xml:space="preserve">[1] </w:t>
      </w:r>
      <w:r>
        <w:rPr>
          <w:rFonts w:ascii="Open Sans" w:eastAsia="Open Sans" w:hAnsi="Open Sans" w:cs="Open Sans"/>
          <w:sz w:val="20"/>
          <w:szCs w:val="20"/>
        </w:rPr>
        <w:t xml:space="preserve"> Werner (2017) District heating and cooling in Sweden, </w:t>
      </w:r>
      <w:hyperlink r:id="rId8">
        <w:r>
          <w:rPr>
            <w:rFonts w:ascii="Open Sans" w:eastAsia="Open Sans" w:hAnsi="Open Sans" w:cs="Open Sans"/>
            <w:color w:val="0000FF"/>
            <w:sz w:val="20"/>
            <w:szCs w:val="20"/>
            <w:u w:val="single"/>
          </w:rPr>
          <w:t>https://www.sciencedirect.com/science/article/pii/S0360544217304140?via%3Dihub</w:t>
        </w:r>
      </w:hyperlink>
      <w:r>
        <w:rPr>
          <w:rFonts w:ascii="Open Sans" w:eastAsia="Open Sans" w:hAnsi="Open Sans" w:cs="Open Sans"/>
          <w:sz w:val="20"/>
          <w:szCs w:val="20"/>
        </w:rPr>
        <w:t xml:space="preserve"> </w:t>
      </w:r>
    </w:p>
    <w:p w14:paraId="417211A1" w14:textId="77777777" w:rsidR="002B2F15" w:rsidRDefault="00323E9C">
      <w:pPr>
        <w:spacing w:line="240" w:lineRule="auto"/>
        <w:ind w:right="-45"/>
        <w:rPr>
          <w:rFonts w:ascii="Arial" w:eastAsia="Arial" w:hAnsi="Arial" w:cs="Arial"/>
          <w:sz w:val="20"/>
          <w:szCs w:val="20"/>
        </w:rPr>
      </w:pPr>
      <w:r>
        <w:rPr>
          <w:sz w:val="20"/>
          <w:szCs w:val="20"/>
        </w:rPr>
        <w:t xml:space="preserve">[2] EGEC Geothermal (2019) Geothermal Energy Use, Country Update for France, </w:t>
      </w:r>
      <w:hyperlink r:id="rId9">
        <w:r>
          <w:rPr>
            <w:color w:val="0000FF"/>
            <w:sz w:val="20"/>
            <w:szCs w:val="20"/>
            <w:u w:val="single"/>
          </w:rPr>
          <w:t>http://www.afpg.asso.fr/wp-content/uploads/2019/06/EGC-2019-Country-Update-For-France.pdf</w:t>
        </w:r>
      </w:hyperlink>
      <w:r>
        <w:rPr>
          <w:rFonts w:ascii="Arial" w:eastAsia="Arial" w:hAnsi="Arial" w:cs="Arial"/>
          <w:sz w:val="20"/>
          <w:szCs w:val="20"/>
        </w:rPr>
        <w:t xml:space="preserve"> </w:t>
      </w:r>
    </w:p>
    <w:p w14:paraId="501B12F2" w14:textId="77777777" w:rsidR="002B2F15" w:rsidRDefault="00323E9C">
      <w:pPr>
        <w:spacing w:line="240" w:lineRule="auto"/>
        <w:ind w:right="-45"/>
        <w:rPr>
          <w:rFonts w:ascii="Open Sans" w:eastAsia="Open Sans" w:hAnsi="Open Sans" w:cs="Open Sans"/>
          <w:sz w:val="20"/>
          <w:szCs w:val="20"/>
          <w:u w:val="single"/>
        </w:rPr>
      </w:pPr>
      <w:r>
        <w:rPr>
          <w:rFonts w:ascii="Open Sans" w:eastAsia="Open Sans" w:hAnsi="Open Sans" w:cs="Open Sans"/>
          <w:sz w:val="20"/>
          <w:szCs w:val="20"/>
        </w:rPr>
        <w:t xml:space="preserve">[3] Frontier Economics (2020) Business models for low-carbon hydrogen production, </w:t>
      </w:r>
      <w:hyperlink r:id="rId10">
        <w:r>
          <w:rPr>
            <w:rFonts w:ascii="Open Sans" w:eastAsia="Open Sans" w:hAnsi="Open Sans" w:cs="Open Sans"/>
            <w:color w:val="0000FF"/>
            <w:sz w:val="20"/>
            <w:szCs w:val="20"/>
            <w:u w:val="single"/>
          </w:rPr>
          <w:t>https://www.frontier-economics.com/media/4157/business-models-for-low-carbon-hydrogen-production.pdf</w:t>
        </w:r>
      </w:hyperlink>
      <w:r>
        <w:rPr>
          <w:rFonts w:ascii="Open Sans" w:eastAsia="Open Sans" w:hAnsi="Open Sans" w:cs="Open Sans"/>
          <w:sz w:val="20"/>
          <w:szCs w:val="20"/>
        </w:rPr>
        <w:t xml:space="preserve">  </w:t>
      </w:r>
    </w:p>
    <w:p w14:paraId="39B2B65D" w14:textId="77777777" w:rsidR="002B2F15" w:rsidRDefault="00323E9C">
      <w:pPr>
        <w:numPr>
          <w:ilvl w:val="0"/>
          <w:numId w:val="1"/>
        </w:numPr>
        <w:spacing w:before="120" w:after="120" w:line="240" w:lineRule="auto"/>
        <w:rPr>
          <w:sz w:val="20"/>
          <w:szCs w:val="20"/>
        </w:rPr>
      </w:pPr>
      <w:r>
        <w:rPr>
          <w:rFonts w:ascii="Open Sans" w:eastAsia="Open Sans" w:hAnsi="Open Sans" w:cs="Open Sans"/>
          <w:b/>
          <w:color w:val="2F5496"/>
          <w:sz w:val="20"/>
          <w:szCs w:val="20"/>
        </w:rPr>
        <w:t>Will these alternative low carbon heating systems align with the net zero, sustainability, air quality and consumer experience criteria set out as bullet points in the ‘Alternative low carbon systems’ section? Please provide evidence to support your response.</w:t>
      </w:r>
    </w:p>
    <w:p w14:paraId="180AEF92"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Yes, all three are recognised as renewable heating technologies under existing policies such as the RHI. Biomass Heat, for example. is already done in accordance with strong sustainability governance arrangements.</w:t>
      </w:r>
    </w:p>
    <w:p w14:paraId="76956916"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The UK’s bioenergy sustainability governance arrangements are regarded as one of the most comprehensive frameworks in the world. All government bioenergy support schemes have associated regulations and reporting requirements that must be fulfilled. This includes considering land use change, biodiversity, and overall lifecycle GHG emission calculations. Use of virgin biomass is also subject to The UK Timber Standard5 which sets criteria across a range of social, economic and environmental metrics, reflecting proper forestry practice and are based on internationally agreed principles.</w:t>
      </w:r>
    </w:p>
    <w:p w14:paraId="5CED61E8"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Biomass fuels used for heat production under the RHI must be registered against the Biomass Suppliers list or Sustainable Fuel Register. Much of the industry uses independent voluntary certification schemes, such as EN Plus or </w:t>
      </w:r>
      <w:proofErr w:type="spellStart"/>
      <w:r>
        <w:rPr>
          <w:rFonts w:ascii="Open Sans" w:eastAsia="Open Sans" w:hAnsi="Open Sans" w:cs="Open Sans"/>
          <w:sz w:val="20"/>
          <w:szCs w:val="20"/>
        </w:rPr>
        <w:t>Woodsure</w:t>
      </w:r>
      <w:proofErr w:type="spellEnd"/>
      <w:r>
        <w:rPr>
          <w:rFonts w:ascii="Open Sans" w:eastAsia="Open Sans" w:hAnsi="Open Sans" w:cs="Open Sans"/>
          <w:sz w:val="20"/>
          <w:szCs w:val="20"/>
        </w:rPr>
        <w:t>, to audit and assess supply chain practices to ensure they not only meet, but go beyond, national sustainability requirements.</w:t>
      </w:r>
    </w:p>
    <w:p w14:paraId="19D1F74C"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The REA recognises the importance of strong air quality controls. In relation to biomass boilers these are best implemented through strong fuel and maintenance standards along with the mandating of high-quality flue gas filters. These are mature technologies that are readily available.  Where tighter emission and maintenance standards are put in place, biomass boilers meet emission levels that cause no issues for urban air quality.  It is also important that the government doesn’t treat all rural areas as the same, and recognises there are some rural areas where air quality can become a real issue, where it is just as important that standards are maintained. </w:t>
      </w:r>
    </w:p>
    <w:p w14:paraId="2708D54F"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 That being said, if the government believes it too difficult to mandate such standards on domestic properties, and decide an urban ban is appropriate, then this must not set a precedent for all biomass installations. Biomass, due to its ability to meet higher and varying heat loads, has a particularly strong role to play in commercial applications, including public sector buildings such as hospitals, schools, public swimming pools, council offices and innovation in district heating schemes. The RHI has also demonstrated that biomass provides the best value for money of any technology at these scales, averaging £463/ kW across the range of biomass tariffs in the Non-Domestic RHI - half that of any other technology.  Such buildings are, however, commonly located within on-gas grid areas where an urban ban would unnecessarily block a vital decarbonisation option for such commercial operations. </w:t>
      </w:r>
    </w:p>
    <w:p w14:paraId="18EC021B" w14:textId="77777777" w:rsidR="002B2F15" w:rsidRDefault="002B2F15">
      <w:pPr>
        <w:spacing w:before="120" w:after="120" w:line="240" w:lineRule="auto"/>
        <w:rPr>
          <w:rFonts w:ascii="Open Sans" w:eastAsia="Open Sans" w:hAnsi="Open Sans" w:cs="Open Sans"/>
          <w:b/>
          <w:color w:val="2F5496"/>
          <w:sz w:val="20"/>
          <w:szCs w:val="20"/>
        </w:rPr>
      </w:pPr>
    </w:p>
    <w:p w14:paraId="31198772" w14:textId="77777777" w:rsidR="002B2F15" w:rsidRDefault="00323E9C">
      <w:pPr>
        <w:numPr>
          <w:ilvl w:val="0"/>
          <w:numId w:val="1"/>
        </w:numPr>
        <w:spacing w:before="120" w:after="120" w:line="240" w:lineRule="auto"/>
        <w:rPr>
          <w:sz w:val="20"/>
          <w:szCs w:val="20"/>
        </w:rPr>
      </w:pPr>
      <w:r>
        <w:rPr>
          <w:rFonts w:ascii="Open Sans" w:eastAsia="Open Sans" w:hAnsi="Open Sans" w:cs="Open Sans"/>
          <w:b/>
          <w:color w:val="2F5496"/>
          <w:sz w:val="20"/>
          <w:szCs w:val="20"/>
        </w:rPr>
        <w:t>Are there instances where both heat pumps and alternative low carbon heating technologies will be unsuitable for meeting a building’s space heating and hot water demands – i.e., ‘untreatable buildings’? Yes/No. If yes, how and when do you foresee low carbon heating technologies developing to overcome these challenges? Please provide evidence to support your response.</w:t>
      </w:r>
    </w:p>
    <w:p w14:paraId="3B6DFEC0"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No, there are no instances where a building is untreatable by any low carbon technology. If a building is untreatable by both heat pumps and alternate low carbon technologies this is most likely a severe energy efficiency or cost issue. Examples could include heritage buildings, but often these buildings can’t be made treatable without significant upgrades.  The government should be taking steps to ensure all buildings are treatable by some form of low carbon heat. Bio-LPGs are one technology that could be used as a tool to make untreatable buildings treatable. </w:t>
      </w:r>
    </w:p>
    <w:p w14:paraId="05D2D988" w14:textId="77777777" w:rsidR="002B2F15" w:rsidRDefault="002B2F15">
      <w:pPr>
        <w:spacing w:before="120" w:after="120" w:line="240" w:lineRule="auto"/>
        <w:rPr>
          <w:rFonts w:ascii="Open Sans" w:eastAsia="Open Sans" w:hAnsi="Open Sans" w:cs="Open Sans"/>
          <w:b/>
          <w:color w:val="2F5496"/>
          <w:sz w:val="20"/>
          <w:szCs w:val="20"/>
        </w:rPr>
      </w:pPr>
    </w:p>
    <w:p w14:paraId="04EFD85A" w14:textId="77777777" w:rsidR="002B2F15" w:rsidRDefault="00323E9C">
      <w:pPr>
        <w:spacing w:before="120" w:after="120" w:line="240" w:lineRule="auto"/>
        <w:rPr>
          <w:rFonts w:ascii="Open Sans" w:eastAsia="Open Sans" w:hAnsi="Open Sans" w:cs="Open Sans"/>
          <w:b/>
          <w:color w:val="2F5496"/>
          <w:sz w:val="24"/>
          <w:szCs w:val="24"/>
          <w:u w:val="single"/>
        </w:rPr>
      </w:pPr>
      <w:r>
        <w:rPr>
          <w:rFonts w:ascii="Open Sans" w:eastAsia="Open Sans" w:hAnsi="Open Sans" w:cs="Open Sans"/>
          <w:b/>
          <w:color w:val="2F5496"/>
          <w:sz w:val="24"/>
          <w:szCs w:val="24"/>
          <w:u w:val="single"/>
        </w:rPr>
        <w:t>The cost of transitioning</w:t>
      </w:r>
    </w:p>
    <w:p w14:paraId="004BB30A" w14:textId="77777777" w:rsidR="002B2F15" w:rsidRDefault="00323E9C">
      <w:pPr>
        <w:numPr>
          <w:ilvl w:val="0"/>
          <w:numId w:val="1"/>
        </w:numPr>
        <w:spacing w:before="120" w:after="120" w:line="240" w:lineRule="auto"/>
        <w:rPr>
          <w:sz w:val="20"/>
          <w:szCs w:val="20"/>
        </w:rPr>
      </w:pPr>
      <w:r>
        <w:rPr>
          <w:rFonts w:ascii="Open Sans" w:eastAsia="Open Sans" w:hAnsi="Open Sans" w:cs="Open Sans"/>
          <w:b/>
          <w:color w:val="2F5496"/>
          <w:sz w:val="20"/>
          <w:szCs w:val="20"/>
        </w:rPr>
        <w:t>How do you foresee the costs associated with installing a heat pump in non-domestic buildings changing over the next 10 years? Please consider a range of system sizes in your response and provide evidence to support your answer.</w:t>
      </w:r>
    </w:p>
    <w:p w14:paraId="73203EE7" w14:textId="77777777" w:rsidR="002B2F15" w:rsidRDefault="002B2F15">
      <w:pPr>
        <w:spacing w:before="120" w:after="120" w:line="240" w:lineRule="auto"/>
        <w:rPr>
          <w:rFonts w:ascii="Open Sans" w:eastAsia="Open Sans" w:hAnsi="Open Sans" w:cs="Open Sans"/>
          <w:b/>
          <w:color w:val="2F5496"/>
          <w:sz w:val="20"/>
          <w:szCs w:val="20"/>
        </w:rPr>
      </w:pPr>
    </w:p>
    <w:p w14:paraId="371A0D92" w14:textId="77777777" w:rsidR="002B2F15" w:rsidRDefault="00323E9C">
      <w:pPr>
        <w:numPr>
          <w:ilvl w:val="0"/>
          <w:numId w:val="1"/>
        </w:numPr>
        <w:spacing w:before="120" w:after="120" w:line="240" w:lineRule="auto"/>
        <w:rPr>
          <w:sz w:val="20"/>
          <w:szCs w:val="20"/>
        </w:rPr>
      </w:pPr>
      <w:r>
        <w:rPr>
          <w:rFonts w:ascii="Open Sans" w:eastAsia="Open Sans" w:hAnsi="Open Sans" w:cs="Open Sans"/>
          <w:b/>
          <w:color w:val="2F5496"/>
          <w:sz w:val="20"/>
          <w:szCs w:val="20"/>
        </w:rPr>
        <w:t>How do you foresee the costs associated with installing alternative low carbon heating systems in non-domestic buildings changing over the next 10 years (i.e., other than heat pumps)? Please consider a range of system sizes in your response and provide evidence to support your answer.</w:t>
      </w:r>
    </w:p>
    <w:p w14:paraId="7D87603E"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Given the size of the renewable heat market it is difficult to bring costs down at this time, however it should be noted renewable heating has been on a downwards trend in regards to cost. CAPEX prices will decrease once technologies have had time to get established and build expertise. In relation to bioenergy heat technologies, the opportunities for cost reductions are likely to come from development of innovative domestic feedstocks which will both increase availability and reduce reliance on imports.   Whilst costs will reduce some members believe the government is being rather optimistic in renewable heat price reduction in this consultation document.</w:t>
      </w:r>
    </w:p>
    <w:p w14:paraId="4D84324B" w14:textId="77777777" w:rsidR="002B2F15" w:rsidRDefault="00323E9C">
      <w:pPr>
        <w:numPr>
          <w:ilvl w:val="0"/>
          <w:numId w:val="1"/>
        </w:numPr>
        <w:spacing w:before="120" w:after="120" w:line="240" w:lineRule="auto"/>
        <w:rPr>
          <w:sz w:val="20"/>
          <w:szCs w:val="20"/>
        </w:rPr>
      </w:pPr>
      <w:r>
        <w:rPr>
          <w:rFonts w:ascii="Open Sans" w:eastAsia="Open Sans" w:hAnsi="Open Sans" w:cs="Open Sans"/>
          <w:b/>
          <w:color w:val="2F5496"/>
          <w:sz w:val="20"/>
          <w:szCs w:val="20"/>
        </w:rPr>
        <w:t>How can the government support cost reductions in low carbon heating technologies suitable for non-domestic buildings, particularly heat pumps? Please consider buildings of differing sizes and energy use.</w:t>
      </w:r>
    </w:p>
    <w:p w14:paraId="638A462E"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Introducing a technology neutral policy framework for bringing multiple renewable heat technologies to market. This would include Research and Development support, similar to the government's Heat Pump Ready Programme. A technology agnostic research and development grant would be strongly welcomed. Members have also raised that fuel costs remain one of the greatest challenges for renewable heat technologies. Any support government can give in reducing fuel costs would be very welcome, for example through the Net Zero Innovation Portfolio. </w:t>
      </w:r>
    </w:p>
    <w:p w14:paraId="4AB331DF" w14:textId="77777777" w:rsidR="002B2F15" w:rsidRDefault="00323E9C">
      <w:pPr>
        <w:numPr>
          <w:ilvl w:val="0"/>
          <w:numId w:val="1"/>
        </w:numPr>
        <w:spacing w:before="120" w:after="120" w:line="240" w:lineRule="auto"/>
        <w:rPr>
          <w:sz w:val="20"/>
          <w:szCs w:val="20"/>
        </w:rPr>
      </w:pPr>
      <w:r>
        <w:rPr>
          <w:rFonts w:ascii="Open Sans" w:eastAsia="Open Sans" w:hAnsi="Open Sans" w:cs="Open Sans"/>
          <w:b/>
          <w:color w:val="2F5496"/>
          <w:sz w:val="20"/>
          <w:szCs w:val="20"/>
        </w:rPr>
        <w:t>How accurate is our indicative modelling for the cost of transitioning to low carbon heat? Please provide evidence to support your response. This should include details on the types of buildings the costs are associated with, including its floor area (m2), energy use (kWh) and the type of heating system it currently uses.</w:t>
      </w:r>
    </w:p>
    <w:p w14:paraId="578D05B6" w14:textId="77777777" w:rsidR="002B2F15" w:rsidRDefault="002B2F15">
      <w:pPr>
        <w:spacing w:before="120" w:after="120" w:line="240" w:lineRule="auto"/>
        <w:rPr>
          <w:rFonts w:ascii="Open Sans" w:eastAsia="Open Sans" w:hAnsi="Open Sans" w:cs="Open Sans"/>
          <w:b/>
          <w:color w:val="2F5496"/>
          <w:sz w:val="20"/>
          <w:szCs w:val="20"/>
        </w:rPr>
      </w:pPr>
    </w:p>
    <w:p w14:paraId="5820FED1" w14:textId="77777777" w:rsidR="002B2F15" w:rsidRDefault="00323E9C">
      <w:pPr>
        <w:numPr>
          <w:ilvl w:val="0"/>
          <w:numId w:val="1"/>
        </w:numPr>
        <w:spacing w:before="120" w:after="120" w:line="240" w:lineRule="auto"/>
        <w:rPr>
          <w:sz w:val="20"/>
          <w:szCs w:val="20"/>
        </w:rPr>
      </w:pPr>
      <w:r>
        <w:rPr>
          <w:rFonts w:ascii="Open Sans" w:eastAsia="Open Sans" w:hAnsi="Open Sans" w:cs="Open Sans"/>
          <w:b/>
          <w:color w:val="2F5496"/>
          <w:sz w:val="20"/>
          <w:szCs w:val="20"/>
        </w:rPr>
        <w:t>How can we support the green finance market to develop the products and investor demand that businesses will need to fund their transition to low carbon heat?</w:t>
      </w:r>
    </w:p>
    <w:p w14:paraId="04DC80C1" w14:textId="77777777" w:rsidR="002B2F15" w:rsidRDefault="00323E9C">
      <w:pPr>
        <w:spacing w:before="120" w:after="120" w:line="240" w:lineRule="auto"/>
        <w:rPr>
          <w:rFonts w:ascii="Open Sans" w:eastAsia="Open Sans" w:hAnsi="Open Sans" w:cs="Open Sans"/>
          <w:b/>
          <w:sz w:val="20"/>
          <w:szCs w:val="20"/>
        </w:rPr>
      </w:pPr>
      <w:r>
        <w:rPr>
          <w:rFonts w:ascii="Open Sans" w:eastAsia="Open Sans" w:hAnsi="Open Sans" w:cs="Open Sans"/>
          <w:b/>
          <w:sz w:val="20"/>
          <w:szCs w:val="20"/>
          <w:highlight w:val="yellow"/>
        </w:rPr>
        <w:t>Particular input needed from members</w:t>
      </w:r>
      <w:r>
        <w:rPr>
          <w:rFonts w:ascii="Open Sans" w:eastAsia="Open Sans" w:hAnsi="Open Sans" w:cs="Open Sans"/>
          <w:b/>
          <w:sz w:val="20"/>
          <w:szCs w:val="20"/>
        </w:rPr>
        <w:t xml:space="preserve"> </w:t>
      </w:r>
    </w:p>
    <w:p w14:paraId="1A442403" w14:textId="77777777" w:rsidR="002B2F15" w:rsidRDefault="002B2F15">
      <w:pPr>
        <w:spacing w:before="120" w:after="120" w:line="240" w:lineRule="auto"/>
        <w:rPr>
          <w:rFonts w:ascii="Open Sans" w:eastAsia="Open Sans" w:hAnsi="Open Sans" w:cs="Open Sans"/>
          <w:b/>
          <w:color w:val="2F5496"/>
          <w:sz w:val="20"/>
          <w:szCs w:val="20"/>
        </w:rPr>
      </w:pPr>
    </w:p>
    <w:p w14:paraId="43264DE6" w14:textId="77777777" w:rsidR="002B2F15" w:rsidRDefault="00323E9C">
      <w:pPr>
        <w:spacing w:before="120" w:after="120" w:line="240" w:lineRule="auto"/>
        <w:rPr>
          <w:rFonts w:ascii="Open Sans" w:eastAsia="Open Sans" w:hAnsi="Open Sans" w:cs="Open Sans"/>
          <w:b/>
          <w:color w:val="2F5496"/>
          <w:sz w:val="24"/>
          <w:szCs w:val="24"/>
          <w:u w:val="single"/>
        </w:rPr>
      </w:pPr>
      <w:r>
        <w:rPr>
          <w:rFonts w:ascii="Open Sans" w:eastAsia="Open Sans" w:hAnsi="Open Sans" w:cs="Open Sans"/>
          <w:b/>
          <w:color w:val="2F5496"/>
          <w:sz w:val="24"/>
          <w:szCs w:val="24"/>
          <w:u w:val="single"/>
        </w:rPr>
        <w:t>Back-up systems</w:t>
      </w:r>
    </w:p>
    <w:p w14:paraId="2F873CFC" w14:textId="77777777" w:rsidR="002B2F15" w:rsidRDefault="00323E9C">
      <w:pPr>
        <w:numPr>
          <w:ilvl w:val="0"/>
          <w:numId w:val="1"/>
        </w:numPr>
        <w:spacing w:before="120" w:after="120" w:line="240" w:lineRule="auto"/>
        <w:rPr>
          <w:sz w:val="20"/>
          <w:szCs w:val="20"/>
        </w:rPr>
      </w:pPr>
      <w:r>
        <w:rPr>
          <w:rFonts w:ascii="Open Sans" w:eastAsia="Open Sans" w:hAnsi="Open Sans" w:cs="Open Sans"/>
          <w:b/>
          <w:color w:val="2F5496"/>
          <w:sz w:val="20"/>
          <w:szCs w:val="20"/>
        </w:rPr>
        <w:t>In what situations are fossil fuel back-up systems common and how frequently are they used? Please provide evidence to support your response.</w:t>
      </w:r>
    </w:p>
    <w:p w14:paraId="723B4D83"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A backup heating system of some kind can be common in public sector and community buildings.</w:t>
      </w:r>
    </w:p>
    <w:p w14:paraId="68197CBE" w14:textId="77777777" w:rsidR="002B2F15" w:rsidRDefault="002B2F15">
      <w:pPr>
        <w:spacing w:before="120" w:after="120" w:line="240" w:lineRule="auto"/>
        <w:rPr>
          <w:rFonts w:ascii="Open Sans" w:eastAsia="Open Sans" w:hAnsi="Open Sans" w:cs="Open Sans"/>
          <w:sz w:val="20"/>
          <w:szCs w:val="20"/>
        </w:rPr>
      </w:pPr>
    </w:p>
    <w:p w14:paraId="34D3836E" w14:textId="77777777" w:rsidR="002B2F15" w:rsidRDefault="00323E9C">
      <w:pPr>
        <w:numPr>
          <w:ilvl w:val="0"/>
          <w:numId w:val="1"/>
        </w:numPr>
        <w:spacing w:before="120" w:after="120" w:line="240" w:lineRule="auto"/>
        <w:rPr>
          <w:sz w:val="20"/>
          <w:szCs w:val="20"/>
        </w:rPr>
      </w:pPr>
      <w:r>
        <w:rPr>
          <w:rFonts w:ascii="Open Sans" w:eastAsia="Open Sans" w:hAnsi="Open Sans" w:cs="Open Sans"/>
          <w:b/>
          <w:color w:val="2F5496"/>
          <w:sz w:val="20"/>
          <w:szCs w:val="20"/>
        </w:rPr>
        <w:t>What low carbon back-up solutions are available for buildings with a heat pump as their primary system? Please provide evidence to support your response.</w:t>
      </w:r>
    </w:p>
    <w:p w14:paraId="3165D6D9"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In some cases alternative renewable heating systems could be used as an alternative to a heat pump through a hybrid system. This could include a biomass boiler running from wood chips, or a solar panel leading to a solar thermal network within the property.</w:t>
      </w:r>
    </w:p>
    <w:p w14:paraId="2AF00C0A" w14:textId="77777777" w:rsidR="002B2F15" w:rsidRDefault="002B2F15">
      <w:pPr>
        <w:spacing w:before="120" w:after="120" w:line="240" w:lineRule="auto"/>
        <w:rPr>
          <w:rFonts w:ascii="Open Sans" w:eastAsia="Open Sans" w:hAnsi="Open Sans" w:cs="Open Sans"/>
          <w:b/>
          <w:color w:val="2F5496"/>
          <w:sz w:val="24"/>
          <w:szCs w:val="24"/>
          <w:u w:val="single"/>
        </w:rPr>
      </w:pPr>
    </w:p>
    <w:p w14:paraId="560AA0DE" w14:textId="77777777" w:rsidR="002B2F15" w:rsidRDefault="00323E9C">
      <w:pPr>
        <w:spacing w:before="120" w:after="120" w:line="240" w:lineRule="auto"/>
        <w:rPr>
          <w:rFonts w:ascii="Open Sans" w:eastAsia="Open Sans" w:hAnsi="Open Sans" w:cs="Open Sans"/>
          <w:b/>
          <w:color w:val="2F5496"/>
          <w:sz w:val="24"/>
          <w:szCs w:val="24"/>
          <w:u w:val="single"/>
        </w:rPr>
      </w:pPr>
      <w:r>
        <w:rPr>
          <w:rFonts w:ascii="Open Sans" w:eastAsia="Open Sans" w:hAnsi="Open Sans" w:cs="Open Sans"/>
          <w:b/>
          <w:color w:val="2F5496"/>
          <w:sz w:val="24"/>
          <w:szCs w:val="24"/>
          <w:u w:val="single"/>
        </w:rPr>
        <w:t>Consumer protection</w:t>
      </w:r>
    </w:p>
    <w:p w14:paraId="70CA3831" w14:textId="77777777" w:rsidR="002B2F15" w:rsidRDefault="00323E9C">
      <w:pPr>
        <w:numPr>
          <w:ilvl w:val="0"/>
          <w:numId w:val="1"/>
        </w:numPr>
        <w:spacing w:before="120" w:after="120" w:line="240" w:lineRule="auto"/>
        <w:rPr>
          <w:sz w:val="20"/>
          <w:szCs w:val="20"/>
        </w:rPr>
      </w:pPr>
      <w:r>
        <w:rPr>
          <w:rFonts w:ascii="Open Sans" w:eastAsia="Open Sans" w:hAnsi="Open Sans" w:cs="Open Sans"/>
          <w:b/>
          <w:color w:val="2F5496"/>
          <w:sz w:val="20"/>
          <w:szCs w:val="20"/>
        </w:rPr>
        <w:t>Taking into consideration existing certification schemes, are businesses adequately protected when installing a low carbon heating system up to 45-kilowatts? Please provide evidence to support your response.</w:t>
      </w:r>
    </w:p>
    <w:p w14:paraId="18DA9DF3" w14:textId="77777777" w:rsidR="002B2F15" w:rsidRDefault="00323E9C">
      <w:pPr>
        <w:spacing w:before="120" w:after="120" w:line="240" w:lineRule="auto"/>
        <w:rPr>
          <w:rFonts w:ascii="Open Sans" w:eastAsia="Open Sans" w:hAnsi="Open Sans" w:cs="Open Sans"/>
          <w:b/>
          <w:color w:val="2F5496"/>
          <w:sz w:val="20"/>
          <w:szCs w:val="20"/>
        </w:rPr>
      </w:pPr>
      <w:r>
        <w:rPr>
          <w:rFonts w:ascii="Open Sans" w:eastAsia="Open Sans" w:hAnsi="Open Sans" w:cs="Open Sans"/>
          <w:sz w:val="20"/>
          <w:szCs w:val="20"/>
        </w:rPr>
        <w:t xml:space="preserve">Yes, existing renewable heating certification schemes and regulators such as Ofgem, MCS, and REAL provide adequate protection for businesses when installing low carbon heating under existing support schemes.  However the regulations must continue to require certification to protect consumers in new support schemes and regulations, as if this is not enshrined in legislation it may open the door to less reputable, new entrants. </w:t>
      </w:r>
    </w:p>
    <w:p w14:paraId="15EA275B" w14:textId="77777777" w:rsidR="002B2F15" w:rsidRDefault="00323E9C">
      <w:pPr>
        <w:numPr>
          <w:ilvl w:val="0"/>
          <w:numId w:val="1"/>
        </w:numPr>
        <w:spacing w:before="120" w:after="120" w:line="240" w:lineRule="auto"/>
        <w:rPr>
          <w:sz w:val="20"/>
          <w:szCs w:val="20"/>
        </w:rPr>
      </w:pPr>
      <w:r>
        <w:rPr>
          <w:rFonts w:ascii="Open Sans" w:eastAsia="Open Sans" w:hAnsi="Open Sans" w:cs="Open Sans"/>
          <w:b/>
          <w:color w:val="2F5496"/>
          <w:sz w:val="20"/>
          <w:szCs w:val="20"/>
        </w:rPr>
        <w:t>Do businesses that install low carbon heating systems with a capacity over 45-kilowatts require consumer protection? Yes/No. If Yes, how should this differ from standards available for installations up to 45-kilowatts?</w:t>
      </w:r>
    </w:p>
    <w:p w14:paraId="52F48AC0"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Yes businesses that install low carbon heating with a capacity of over 45-kilowatts may require further consumer protection. This is due to the larger renewable heating system having a much greater capital costs, but also the increasing risks associated with a larger, more complex system that might need specialist consumer protection and regulation. </w:t>
      </w:r>
    </w:p>
    <w:p w14:paraId="0A7BC68A" w14:textId="77777777" w:rsidR="002B2F15" w:rsidRDefault="002B2F15">
      <w:pPr>
        <w:spacing w:before="120" w:after="120" w:line="240" w:lineRule="auto"/>
        <w:rPr>
          <w:rFonts w:ascii="Open Sans" w:eastAsia="Open Sans" w:hAnsi="Open Sans" w:cs="Open Sans"/>
          <w:sz w:val="20"/>
          <w:szCs w:val="20"/>
        </w:rPr>
      </w:pPr>
    </w:p>
    <w:p w14:paraId="497C46FE" w14:textId="77777777" w:rsidR="002B2F15" w:rsidRDefault="00323E9C">
      <w:pPr>
        <w:spacing w:before="120" w:after="120" w:line="240" w:lineRule="auto"/>
        <w:rPr>
          <w:rFonts w:ascii="Open Sans" w:eastAsia="Open Sans" w:hAnsi="Open Sans" w:cs="Open Sans"/>
          <w:b/>
          <w:color w:val="2F5496"/>
          <w:sz w:val="24"/>
          <w:szCs w:val="24"/>
          <w:u w:val="single"/>
        </w:rPr>
      </w:pPr>
      <w:r>
        <w:rPr>
          <w:rFonts w:ascii="Open Sans" w:eastAsia="Open Sans" w:hAnsi="Open Sans" w:cs="Open Sans"/>
          <w:b/>
          <w:color w:val="2F5496"/>
          <w:sz w:val="24"/>
          <w:szCs w:val="24"/>
          <w:u w:val="single"/>
        </w:rPr>
        <w:t>Managing compliance</w:t>
      </w:r>
    </w:p>
    <w:p w14:paraId="3FBC5437" w14:textId="77777777" w:rsidR="002B2F15" w:rsidRDefault="00323E9C">
      <w:pPr>
        <w:numPr>
          <w:ilvl w:val="0"/>
          <w:numId w:val="1"/>
        </w:numPr>
        <w:spacing w:before="120" w:after="120" w:line="240" w:lineRule="auto"/>
        <w:rPr>
          <w:sz w:val="20"/>
          <w:szCs w:val="20"/>
        </w:rPr>
      </w:pPr>
      <w:r>
        <w:rPr>
          <w:rFonts w:ascii="Open Sans" w:eastAsia="Open Sans" w:hAnsi="Open Sans" w:cs="Open Sans"/>
          <w:b/>
          <w:color w:val="2F5496"/>
          <w:sz w:val="20"/>
          <w:szCs w:val="20"/>
        </w:rPr>
        <w:t>Do you have any views on how best to ensure compliance with the proposed regulations laid out through this consultation? Please provide evidence to support your answer.</w:t>
      </w:r>
    </w:p>
    <w:p w14:paraId="36F7A8EF"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It will be very difficult to police individual businesses. Members are concerned around relying on Councils’ Building Controls to enforce this, as in reality it becomes a self-enforcement mechanism. Members believe that a system can rely on individual self-enforcement to a certain extent but local authorities are too overstretched and under-funded to ensure proper compliance.  Our members would support compliance via positive enforcement such as a grant towards low carbon heating that increases the more efficient the technology you use. This would incentivise businesses to put in the best possible low-carbon heating technology.</w:t>
      </w:r>
    </w:p>
    <w:p w14:paraId="5618A254"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Important lessons were learnt during the Non-Domestic RHI, which over time saw standards slowly tightened around installation, fuel and maintenance practices across all sizes of project. It is critical that these lessons are taken forward and maintained for all forms of renewable heating technology to avoid poor consumer installation which could undermine public confidence in heat decarbonisation technologies. It is worth noting that there is serious industry concern that so far these lessons are not being maintained, as demonstrated by the design of the Boiler Upgrade Scheme, which provided no ongoing requirements around standards.</w:t>
      </w:r>
    </w:p>
    <w:p w14:paraId="0A1851A0" w14:textId="77777777" w:rsidR="002B2F15" w:rsidRDefault="002B2F15">
      <w:pPr>
        <w:spacing w:before="120" w:after="120" w:line="240" w:lineRule="auto"/>
        <w:rPr>
          <w:rFonts w:ascii="Open Sans" w:eastAsia="Open Sans" w:hAnsi="Open Sans" w:cs="Open Sans"/>
          <w:sz w:val="20"/>
          <w:szCs w:val="20"/>
        </w:rPr>
      </w:pPr>
    </w:p>
    <w:p w14:paraId="62002A2F" w14:textId="77777777" w:rsidR="002B2F15" w:rsidRDefault="002B2F15">
      <w:pPr>
        <w:spacing w:before="120" w:after="120" w:line="240" w:lineRule="auto"/>
        <w:rPr>
          <w:rFonts w:ascii="Open Sans" w:eastAsia="Open Sans" w:hAnsi="Open Sans" w:cs="Open Sans"/>
          <w:b/>
          <w:color w:val="2F5496"/>
          <w:sz w:val="20"/>
          <w:szCs w:val="20"/>
        </w:rPr>
      </w:pPr>
    </w:p>
    <w:p w14:paraId="3B5F3CB8" w14:textId="77777777" w:rsidR="002B2F15" w:rsidRDefault="00323E9C">
      <w:pPr>
        <w:spacing w:before="120" w:after="120" w:line="240" w:lineRule="auto"/>
        <w:rPr>
          <w:rFonts w:ascii="Open Sans" w:eastAsia="Open Sans" w:hAnsi="Open Sans" w:cs="Open Sans"/>
          <w:b/>
          <w:color w:val="2F5496"/>
          <w:sz w:val="24"/>
          <w:szCs w:val="24"/>
          <w:u w:val="single"/>
        </w:rPr>
      </w:pPr>
      <w:r>
        <w:rPr>
          <w:rFonts w:ascii="Open Sans" w:eastAsia="Open Sans" w:hAnsi="Open Sans" w:cs="Open Sans"/>
          <w:b/>
          <w:color w:val="2F5496"/>
          <w:sz w:val="24"/>
          <w:szCs w:val="24"/>
          <w:u w:val="single"/>
        </w:rPr>
        <w:t>Other trigger points to reinforce the policy</w:t>
      </w:r>
    </w:p>
    <w:p w14:paraId="4FA92B0C" w14:textId="77777777" w:rsidR="002B2F15" w:rsidRDefault="00323E9C">
      <w:pPr>
        <w:numPr>
          <w:ilvl w:val="0"/>
          <w:numId w:val="1"/>
        </w:numPr>
        <w:spacing w:before="120" w:after="120" w:line="240" w:lineRule="auto"/>
        <w:rPr>
          <w:sz w:val="20"/>
          <w:szCs w:val="20"/>
        </w:rPr>
      </w:pPr>
      <w:r>
        <w:rPr>
          <w:rFonts w:ascii="Open Sans" w:eastAsia="Open Sans" w:hAnsi="Open Sans" w:cs="Open Sans"/>
          <w:b/>
          <w:color w:val="2F5496"/>
          <w:sz w:val="20"/>
          <w:szCs w:val="20"/>
        </w:rPr>
        <w:t>What is the typical lifespan of a non-domestic heating system used in an off-gas grid building? How does this vary by system capacity? Please provide evidence to support your response, which should include the type and size of heating systems.</w:t>
      </w:r>
    </w:p>
    <w:p w14:paraId="27E53AC9"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An average lifespan would be 10-15 years but systems have operated for over 30 years in exceptional cases. Lifespans can vary by a number of years depending on size, complexity, availability of spare parts and maintenance, so this average could change wildly from case to case.</w:t>
      </w:r>
    </w:p>
    <w:p w14:paraId="200CF92E" w14:textId="77777777" w:rsidR="002B2F15" w:rsidRDefault="002B2F15">
      <w:pPr>
        <w:spacing w:before="120" w:after="120" w:line="240" w:lineRule="auto"/>
        <w:rPr>
          <w:rFonts w:ascii="Open Sans" w:eastAsia="Open Sans" w:hAnsi="Open Sans" w:cs="Open Sans"/>
          <w:b/>
          <w:color w:val="2F5496"/>
          <w:sz w:val="20"/>
          <w:szCs w:val="20"/>
        </w:rPr>
      </w:pPr>
    </w:p>
    <w:p w14:paraId="2CC00A1E" w14:textId="77777777" w:rsidR="002B2F15" w:rsidRDefault="00323E9C">
      <w:pPr>
        <w:numPr>
          <w:ilvl w:val="0"/>
          <w:numId w:val="1"/>
        </w:numPr>
        <w:spacing w:before="120" w:after="120" w:line="240" w:lineRule="auto"/>
        <w:rPr>
          <w:sz w:val="20"/>
          <w:szCs w:val="20"/>
        </w:rPr>
      </w:pPr>
      <w:r>
        <w:rPr>
          <w:rFonts w:ascii="Open Sans" w:eastAsia="Open Sans" w:hAnsi="Open Sans" w:cs="Open Sans"/>
          <w:b/>
          <w:color w:val="2F5496"/>
          <w:sz w:val="20"/>
          <w:szCs w:val="20"/>
        </w:rPr>
        <w:t>What are the potential implications for businesses of introducing an end date by which all buildings must have transitioned to low carbon heating (e.g. in the early 2040s)?</w:t>
      </w:r>
    </w:p>
    <w:p w14:paraId="5E50E169"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Implications could include costs related to not only upgrading the heating system but making the necessary refurbishments to make said system effective. Other implications could be training staff in safely operating the new heating system. </w:t>
      </w:r>
    </w:p>
    <w:p w14:paraId="5FE4620B"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However, overall, the REA are in favour of a clear market signal being given through a strong end -date that makes clear when business will have been expected to have made the transition. </w:t>
      </w:r>
    </w:p>
    <w:p w14:paraId="57922539" w14:textId="77777777" w:rsidR="002B2F15" w:rsidRDefault="002B2F15">
      <w:pPr>
        <w:spacing w:before="120" w:after="120" w:line="240" w:lineRule="auto"/>
        <w:rPr>
          <w:rFonts w:ascii="Open Sans" w:eastAsia="Open Sans" w:hAnsi="Open Sans" w:cs="Open Sans"/>
          <w:sz w:val="20"/>
          <w:szCs w:val="20"/>
        </w:rPr>
      </w:pPr>
    </w:p>
    <w:p w14:paraId="1CAAE4C2" w14:textId="77777777" w:rsidR="002B2F15" w:rsidRDefault="00323E9C">
      <w:pPr>
        <w:numPr>
          <w:ilvl w:val="0"/>
          <w:numId w:val="1"/>
        </w:numPr>
        <w:spacing w:before="120" w:after="120" w:line="240" w:lineRule="auto"/>
        <w:rPr>
          <w:sz w:val="20"/>
          <w:szCs w:val="20"/>
        </w:rPr>
      </w:pPr>
      <w:r>
        <w:rPr>
          <w:rFonts w:ascii="Open Sans" w:eastAsia="Open Sans" w:hAnsi="Open Sans" w:cs="Open Sans"/>
          <w:b/>
          <w:color w:val="2F5496"/>
          <w:sz w:val="20"/>
          <w:szCs w:val="20"/>
        </w:rPr>
        <w:t>What are the potential implications for businesses of introducing trigger points for installing a low carbon heating system, in addition to the natural replacement cycle, such as at the point of let or sale?</w:t>
      </w:r>
    </w:p>
    <w:p w14:paraId="6316B347"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Implications could include additional costs at the point of sale as well as other general inconveniences coming with heating upgrades. There is a risk that without a backstop businesses replace their fossil heating system with a new cheap fossil fuel heating system to avoid being caught in the policy. A trigger point at an inconvenient time could also bring a lack of activity and competitiveness for the business. There are also concerns around the welfare of livestock on farms should heating fail suddenly and farms have to engage in a lengthy heat retrofit.</w:t>
      </w:r>
    </w:p>
    <w:p w14:paraId="78E88B99" w14:textId="77777777" w:rsidR="002B2F15" w:rsidRDefault="002B2F15">
      <w:pPr>
        <w:spacing w:before="120" w:after="120" w:line="240" w:lineRule="auto"/>
        <w:rPr>
          <w:rFonts w:ascii="Open Sans" w:eastAsia="Open Sans" w:hAnsi="Open Sans" w:cs="Open Sans"/>
          <w:b/>
          <w:color w:val="2F5496"/>
          <w:sz w:val="20"/>
          <w:szCs w:val="20"/>
        </w:rPr>
      </w:pPr>
    </w:p>
    <w:p w14:paraId="0C406080" w14:textId="77777777" w:rsidR="002B2F15" w:rsidRDefault="00323E9C">
      <w:pPr>
        <w:spacing w:before="120" w:after="120" w:line="240" w:lineRule="auto"/>
        <w:rPr>
          <w:rFonts w:ascii="Open Sans" w:eastAsia="Open Sans" w:hAnsi="Open Sans" w:cs="Open Sans"/>
          <w:b/>
          <w:color w:val="2F5496"/>
          <w:sz w:val="24"/>
          <w:szCs w:val="24"/>
          <w:u w:val="single"/>
        </w:rPr>
      </w:pPr>
      <w:r>
        <w:rPr>
          <w:rFonts w:ascii="Open Sans" w:eastAsia="Open Sans" w:hAnsi="Open Sans" w:cs="Open Sans"/>
          <w:b/>
          <w:color w:val="2F5496"/>
          <w:sz w:val="24"/>
          <w:szCs w:val="24"/>
          <w:u w:val="single"/>
        </w:rPr>
        <w:t>Equality Act 2010</w:t>
      </w:r>
    </w:p>
    <w:p w14:paraId="1CC2C1FA" w14:textId="77777777" w:rsidR="002B2F15" w:rsidRDefault="00323E9C">
      <w:pPr>
        <w:numPr>
          <w:ilvl w:val="0"/>
          <w:numId w:val="1"/>
        </w:numPr>
        <w:spacing w:before="120" w:after="120" w:line="240" w:lineRule="auto"/>
        <w:rPr>
          <w:sz w:val="20"/>
          <w:szCs w:val="20"/>
        </w:rPr>
      </w:pPr>
      <w:r>
        <w:rPr>
          <w:rFonts w:ascii="Open Sans" w:eastAsia="Open Sans" w:hAnsi="Open Sans" w:cs="Open Sans"/>
          <w:b/>
          <w:color w:val="2F5496"/>
          <w:sz w:val="20"/>
          <w:szCs w:val="20"/>
        </w:rPr>
        <w:t>Do you have any evidence on how groups protected under the Public Sector Equality Duty may be affected by our proposals to phase out high carbon fossil fuel heating in nondomestic buildings off the gas grid?</w:t>
      </w:r>
    </w:p>
    <w:p w14:paraId="7698657D" w14:textId="77777777" w:rsidR="002B2F15" w:rsidRDefault="002B2F15">
      <w:pPr>
        <w:spacing w:before="120" w:after="120" w:line="240" w:lineRule="auto"/>
        <w:rPr>
          <w:rFonts w:ascii="Open Sans" w:eastAsia="Open Sans" w:hAnsi="Open Sans" w:cs="Open Sans"/>
          <w:b/>
          <w:color w:val="2F5496"/>
          <w:sz w:val="20"/>
          <w:szCs w:val="20"/>
        </w:rPr>
      </w:pPr>
    </w:p>
    <w:p w14:paraId="4F7A6C2A" w14:textId="77777777" w:rsidR="002B2F15" w:rsidRDefault="00323E9C">
      <w:pPr>
        <w:numPr>
          <w:ilvl w:val="0"/>
          <w:numId w:val="1"/>
        </w:numPr>
        <w:spacing w:before="120" w:after="120" w:line="240" w:lineRule="auto"/>
        <w:rPr>
          <w:sz w:val="20"/>
          <w:szCs w:val="20"/>
        </w:rPr>
      </w:pPr>
      <w:r>
        <w:rPr>
          <w:rFonts w:ascii="Open Sans" w:eastAsia="Open Sans" w:hAnsi="Open Sans" w:cs="Open Sans"/>
          <w:b/>
          <w:color w:val="2F5496"/>
          <w:sz w:val="20"/>
          <w:szCs w:val="20"/>
        </w:rPr>
        <w:t>Do you have any views on what more could be done to ensure businesses and communities affected by our proposals experience a smooth transition to low carbon heat? Please provide evidence to support your answer.</w:t>
      </w:r>
    </w:p>
    <w:p w14:paraId="2694558F" w14:textId="77777777" w:rsidR="002B2F15" w:rsidRDefault="002B2F15">
      <w:pPr>
        <w:ind w:left="720"/>
        <w:rPr>
          <w:rFonts w:ascii="Open Sans" w:eastAsia="Open Sans" w:hAnsi="Open Sans" w:cs="Open Sans"/>
          <w:b/>
          <w:color w:val="2F5496"/>
          <w:sz w:val="20"/>
          <w:szCs w:val="20"/>
        </w:rPr>
      </w:pPr>
    </w:p>
    <w:p w14:paraId="23A321AC" w14:textId="77777777" w:rsidR="002B2F15" w:rsidRDefault="002B2F15">
      <w:pPr>
        <w:spacing w:before="120" w:after="120" w:line="240" w:lineRule="auto"/>
        <w:rPr>
          <w:rFonts w:ascii="Open Sans" w:eastAsia="Open Sans" w:hAnsi="Open Sans" w:cs="Open Sans"/>
          <w:b/>
          <w:color w:val="2F5496"/>
          <w:sz w:val="20"/>
          <w:szCs w:val="20"/>
        </w:rPr>
      </w:pPr>
    </w:p>
    <w:p w14:paraId="444F8B57" w14:textId="77777777" w:rsidR="002B2F15" w:rsidRDefault="002B2F15">
      <w:pPr>
        <w:spacing w:before="120" w:after="120" w:line="240" w:lineRule="auto"/>
        <w:rPr>
          <w:rFonts w:ascii="Open Sans" w:eastAsia="Open Sans" w:hAnsi="Open Sans" w:cs="Open Sans"/>
          <w:b/>
          <w:color w:val="2F5496"/>
          <w:sz w:val="20"/>
          <w:szCs w:val="20"/>
        </w:rPr>
      </w:pPr>
    </w:p>
    <w:p w14:paraId="3AA169DD" w14:textId="77777777" w:rsidR="002B2F15" w:rsidRDefault="00323E9C">
      <w:pPr>
        <w:spacing w:before="120" w:after="120" w:line="240" w:lineRule="auto"/>
        <w:rPr>
          <w:rFonts w:ascii="Open Sans" w:eastAsia="Open Sans" w:hAnsi="Open Sans" w:cs="Open Sans"/>
          <w:b/>
          <w:color w:val="2F5496"/>
          <w:sz w:val="24"/>
          <w:szCs w:val="24"/>
          <w:u w:val="single"/>
        </w:rPr>
      </w:pPr>
      <w:r>
        <w:rPr>
          <w:rFonts w:ascii="Open Sans" w:eastAsia="Open Sans" w:hAnsi="Open Sans" w:cs="Open Sans"/>
          <w:b/>
          <w:color w:val="2F5496"/>
          <w:sz w:val="24"/>
          <w:szCs w:val="24"/>
          <w:u w:val="single"/>
        </w:rPr>
        <w:t>Other</w:t>
      </w:r>
    </w:p>
    <w:p w14:paraId="5D671448" w14:textId="77777777" w:rsidR="002B2F15" w:rsidRDefault="00323E9C">
      <w:pPr>
        <w:numPr>
          <w:ilvl w:val="0"/>
          <w:numId w:val="1"/>
        </w:numPr>
        <w:spacing w:before="120" w:after="120" w:line="240" w:lineRule="auto"/>
        <w:rPr>
          <w:sz w:val="20"/>
          <w:szCs w:val="20"/>
        </w:rPr>
      </w:pPr>
      <w:r>
        <w:rPr>
          <w:rFonts w:ascii="Open Sans" w:eastAsia="Open Sans" w:hAnsi="Open Sans" w:cs="Open Sans"/>
          <w:b/>
          <w:color w:val="2F5496"/>
          <w:sz w:val="20"/>
          <w:szCs w:val="20"/>
        </w:rPr>
        <w:t>Please use this space to provide any further views not already captured in your responses to the previous consultation questions</w:t>
      </w:r>
    </w:p>
    <w:p w14:paraId="5681F58E" w14:textId="77777777" w:rsidR="002B2F15" w:rsidRDefault="00323E9C">
      <w:pPr>
        <w:spacing w:before="120" w:after="120" w:line="240" w:lineRule="auto"/>
        <w:rPr>
          <w:rFonts w:ascii="Open Sans" w:eastAsia="Open Sans" w:hAnsi="Open Sans" w:cs="Open Sans"/>
          <w:sz w:val="20"/>
          <w:szCs w:val="20"/>
        </w:rPr>
      </w:pPr>
      <w:r>
        <w:rPr>
          <w:rFonts w:ascii="Open Sans" w:eastAsia="Open Sans" w:hAnsi="Open Sans" w:cs="Open Sans"/>
          <w:sz w:val="20"/>
          <w:szCs w:val="20"/>
        </w:rPr>
        <w:t xml:space="preserve">It is clear that some form of grant or low cost funding will be needed to deliver this policy whether at property trigger point or at a backstop date, given the other strains on businesses at this time, so this policy can only work in conjunction with effective financing options. </w:t>
      </w:r>
    </w:p>
    <w:p w14:paraId="52B63BE6" w14:textId="77777777" w:rsidR="002B2F15" w:rsidRDefault="002B2F15">
      <w:pPr>
        <w:spacing w:before="120" w:after="120" w:line="240" w:lineRule="auto"/>
        <w:rPr>
          <w:rFonts w:ascii="Open Sans" w:eastAsia="Open Sans" w:hAnsi="Open Sans" w:cs="Open Sans"/>
          <w:b/>
          <w:color w:val="2F5496"/>
          <w:sz w:val="20"/>
          <w:szCs w:val="20"/>
        </w:rPr>
      </w:pPr>
    </w:p>
    <w:sectPr w:rsidR="002B2F15">
      <w:headerReference w:type="default" r:id="rId11"/>
      <w:footerReference w:type="default" r:id="rId12"/>
      <w:headerReference w:type="first" r:id="rId13"/>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8BC1A" w14:textId="77777777" w:rsidR="00B454A9" w:rsidRDefault="00323E9C">
      <w:pPr>
        <w:spacing w:after="0" w:line="240" w:lineRule="auto"/>
      </w:pPr>
      <w:r>
        <w:separator/>
      </w:r>
    </w:p>
  </w:endnote>
  <w:endnote w:type="continuationSeparator" w:id="0">
    <w:p w14:paraId="33D80D05" w14:textId="77777777" w:rsidR="00B454A9" w:rsidRDefault="00323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DD85D" w14:textId="77777777" w:rsidR="002B2F15" w:rsidRDefault="00323E9C">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79624358" w14:textId="77777777" w:rsidR="002B2F15" w:rsidRDefault="002B2F1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4D54D" w14:textId="77777777" w:rsidR="00B454A9" w:rsidRDefault="00323E9C">
      <w:pPr>
        <w:spacing w:after="0" w:line="240" w:lineRule="auto"/>
      </w:pPr>
      <w:r>
        <w:separator/>
      </w:r>
    </w:p>
  </w:footnote>
  <w:footnote w:type="continuationSeparator" w:id="0">
    <w:p w14:paraId="1BD294AC" w14:textId="77777777" w:rsidR="00B454A9" w:rsidRDefault="00323E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A57B4" w14:textId="77777777" w:rsidR="002B2F15" w:rsidRDefault="00323E9C">
    <w:pPr>
      <w:pBdr>
        <w:top w:val="nil"/>
        <w:left w:val="nil"/>
        <w:bottom w:val="nil"/>
        <w:right w:val="nil"/>
        <w:between w:val="nil"/>
      </w:pBdr>
      <w:tabs>
        <w:tab w:val="center" w:pos="4513"/>
        <w:tab w:val="right" w:pos="9026"/>
      </w:tabs>
      <w:spacing w:after="0" w:line="240" w:lineRule="auto"/>
      <w:rPr>
        <w:i/>
        <w:color w:val="000000"/>
        <w:sz w:val="20"/>
        <w:szCs w:val="20"/>
      </w:rPr>
    </w:pPr>
    <w:r>
      <w:rPr>
        <w:color w:val="000000"/>
        <w:sz w:val="18"/>
        <w:szCs w:val="18"/>
      </w:rPr>
      <w:tab/>
    </w:r>
    <w:r>
      <w:rPr>
        <w:i/>
        <w:color w:val="000000"/>
        <w:sz w:val="20"/>
        <w:szCs w:val="20"/>
      </w:rPr>
      <w:t>REA Response to</w:t>
    </w:r>
    <w:r>
      <w:rPr>
        <w:i/>
        <w:sz w:val="20"/>
        <w:szCs w:val="20"/>
      </w:rPr>
      <w:t xml:space="preserve"> Phasing out the installation of fossil fuel heating in</w:t>
    </w:r>
    <w:r>
      <w:t xml:space="preserve"> </w:t>
    </w:r>
    <w:r>
      <w:rPr>
        <w:i/>
        <w:sz w:val="20"/>
        <w:szCs w:val="20"/>
      </w:rPr>
      <w:t>businesses and public buildings off the gas grid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0B70F" w14:textId="5E5F85BA" w:rsidR="002B2F15" w:rsidRDefault="000D7163">
    <w:pPr>
      <w:pBdr>
        <w:top w:val="nil"/>
        <w:left w:val="nil"/>
        <w:bottom w:val="nil"/>
        <w:right w:val="nil"/>
        <w:between w:val="nil"/>
      </w:pBdr>
      <w:tabs>
        <w:tab w:val="center" w:pos="4513"/>
        <w:tab w:val="right" w:pos="9026"/>
      </w:tabs>
      <w:spacing w:after="0" w:line="240" w:lineRule="auto"/>
      <w:rPr>
        <w:rFonts w:ascii="Open Sans" w:eastAsia="Open Sans" w:hAnsi="Open Sans" w:cs="Open Sans"/>
        <w:color w:val="06926B"/>
      </w:rPr>
    </w:pPr>
    <w:r>
      <w:rPr>
        <w:rFonts w:ascii="Open Sans" w:eastAsia="Open Sans" w:hAnsi="Open Sans" w:cs="Open Sans"/>
      </w:rPr>
      <w:t>07/01/2022</w:t>
    </w:r>
    <w:r w:rsidR="00323E9C">
      <w:rPr>
        <w:noProof/>
      </w:rPr>
      <w:drawing>
        <wp:anchor distT="0" distB="0" distL="114300" distR="114300" simplePos="0" relativeHeight="251658240" behindDoc="0" locked="0" layoutInCell="1" hidden="0" allowOverlap="1" wp14:anchorId="095B8BCC" wp14:editId="180EBBAC">
          <wp:simplePos x="0" y="0"/>
          <wp:positionH relativeFrom="column">
            <wp:posOffset>4786630</wp:posOffset>
          </wp:positionH>
          <wp:positionV relativeFrom="paragraph">
            <wp:posOffset>-311142</wp:posOffset>
          </wp:positionV>
          <wp:extent cx="1378585" cy="716915"/>
          <wp:effectExtent l="0" t="0" r="0" b="0"/>
          <wp:wrapSquare wrapText="bothSides" distT="0" distB="0" distL="114300" distR="114300"/>
          <wp:docPr id="1" name="image1.png" descr="Icon&#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with medium confidence"/>
                  <pic:cNvPicPr preferRelativeResize="0"/>
                </pic:nvPicPr>
                <pic:blipFill>
                  <a:blip r:embed="rId1"/>
                  <a:srcRect/>
                  <a:stretch>
                    <a:fillRect/>
                  </a:stretch>
                </pic:blipFill>
                <pic:spPr>
                  <a:xfrm>
                    <a:off x="0" y="0"/>
                    <a:ext cx="1378585" cy="716915"/>
                  </a:xfrm>
                  <a:prstGeom prst="rect">
                    <a:avLst/>
                  </a:prstGeom>
                  <a:ln/>
                </pic:spPr>
              </pic:pic>
            </a:graphicData>
          </a:graphic>
        </wp:anchor>
      </w:drawing>
    </w:r>
  </w:p>
  <w:p w14:paraId="5B1B9842" w14:textId="77777777" w:rsidR="002B2F15" w:rsidRDefault="002B2F15">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24448"/>
    <w:multiLevelType w:val="multilevel"/>
    <w:tmpl w:val="6A00D7F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0DD3BC4"/>
    <w:multiLevelType w:val="multilevel"/>
    <w:tmpl w:val="32AC36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2774BD3"/>
    <w:multiLevelType w:val="hybridMultilevel"/>
    <w:tmpl w:val="25DE42C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F15"/>
    <w:rsid w:val="000D7163"/>
    <w:rsid w:val="002B2F15"/>
    <w:rsid w:val="002F58F8"/>
    <w:rsid w:val="00323E9C"/>
    <w:rsid w:val="003E4C04"/>
    <w:rsid w:val="00B454A9"/>
    <w:rsid w:val="00BD22DA"/>
    <w:rsid w:val="00BE4087"/>
    <w:rsid w:val="00C26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E6BA8"/>
  <w15:docId w15:val="{B38AA482-DCDF-4F22-9706-6C7F053E5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BD22DA"/>
    <w:pPr>
      <w:ind w:left="720"/>
      <w:contextualSpacing/>
    </w:pPr>
  </w:style>
  <w:style w:type="paragraph" w:styleId="Header">
    <w:name w:val="header"/>
    <w:basedOn w:val="Normal"/>
    <w:link w:val="HeaderChar"/>
    <w:uiPriority w:val="99"/>
    <w:unhideWhenUsed/>
    <w:rsid w:val="000D71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7163"/>
  </w:style>
  <w:style w:type="paragraph" w:styleId="Footer">
    <w:name w:val="footer"/>
    <w:basedOn w:val="Normal"/>
    <w:link w:val="FooterChar"/>
    <w:uiPriority w:val="99"/>
    <w:unhideWhenUsed/>
    <w:rsid w:val="000D71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7163"/>
  </w:style>
  <w:style w:type="character" w:styleId="Hyperlink">
    <w:name w:val="Hyperlink"/>
    <w:basedOn w:val="DefaultParagraphFont"/>
    <w:uiPriority w:val="99"/>
    <w:unhideWhenUsed/>
    <w:rsid w:val="002F58F8"/>
    <w:rPr>
      <w:color w:val="0000FF" w:themeColor="hyperlink"/>
      <w:u w:val="single"/>
    </w:rPr>
  </w:style>
  <w:style w:type="character" w:styleId="UnresolvedMention">
    <w:name w:val="Unresolved Mention"/>
    <w:basedOn w:val="DefaultParagraphFont"/>
    <w:uiPriority w:val="99"/>
    <w:semiHidden/>
    <w:unhideWhenUsed/>
    <w:rsid w:val="002F58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0360544217304140?via%3Dihub"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mdpi.com/1996-1073/15/1/268"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rontier-economics.com/media/4157/business-models-for-low-carbon-hydrogen-production.pdf" TargetMode="External"/><Relationship Id="rId4" Type="http://schemas.openxmlformats.org/officeDocument/2006/relationships/webSettings" Target="webSettings.xml"/><Relationship Id="rId9" Type="http://schemas.openxmlformats.org/officeDocument/2006/relationships/hyperlink" Target="http://www.afpg.asso.fr/wp-content/uploads/2019/06/EGC-2019-Country-Update-For-France.pdf"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4817</Words>
  <Characters>27462</Characters>
  <Application>Microsoft Office Word</Application>
  <DocSecurity>0</DocSecurity>
  <Lines>228</Lines>
  <Paragraphs>64</Paragraphs>
  <ScaleCrop>false</ScaleCrop>
  <Company/>
  <LinksUpToDate>false</LinksUpToDate>
  <CharactersWithSpaces>32215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Pablo John</cp:lastModifiedBy>
  <cp:revision>8</cp:revision>
  <dcterms:created xsi:type="dcterms:W3CDTF">2022-01-05T13:02:00Z</dcterms:created>
  <dcterms:modified xsi:type="dcterms:W3CDTF">2022-01-07T14:33:00Z</dcterms:modified>
</cp:coreProperties>
</file>