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7202B" w14:textId="6A620136" w:rsidR="00747D30" w:rsidRPr="005356B4" w:rsidRDefault="00747D30" w:rsidP="00EF7E23">
      <w:pPr>
        <w:rPr>
          <w:b/>
          <w:bCs/>
          <w:color w:val="4472C4"/>
          <w:sz w:val="28"/>
          <w:szCs w:val="28"/>
        </w:rPr>
      </w:pPr>
      <w:r w:rsidRPr="005356B4">
        <w:rPr>
          <w:b/>
          <w:bCs/>
          <w:color w:val="4472C4"/>
          <w:sz w:val="28"/>
          <w:szCs w:val="28"/>
        </w:rPr>
        <w:t>RESPONSE</w:t>
      </w:r>
    </w:p>
    <w:p w14:paraId="20D18CCF" w14:textId="026B3AB0" w:rsidR="00747D30" w:rsidRPr="005356B4" w:rsidRDefault="00747D30" w:rsidP="00EF7E23">
      <w:pPr>
        <w:rPr>
          <w:b/>
          <w:bCs/>
          <w:color w:val="4472C4"/>
          <w:sz w:val="28"/>
          <w:szCs w:val="28"/>
        </w:rPr>
      </w:pPr>
      <w:r w:rsidRPr="005356B4">
        <w:rPr>
          <w:b/>
          <w:bCs/>
          <w:color w:val="4472C4"/>
          <w:sz w:val="28"/>
          <w:szCs w:val="28"/>
        </w:rPr>
        <w:t>Respondent: REA</w:t>
      </w:r>
    </w:p>
    <w:p w14:paraId="4673EDB9" w14:textId="7116D376" w:rsidR="00747D30" w:rsidRDefault="00747D30" w:rsidP="00EF7E23">
      <w:pPr>
        <w:rPr>
          <w:b/>
          <w:bCs/>
          <w:color w:val="4472C4"/>
          <w:sz w:val="28"/>
          <w:szCs w:val="28"/>
        </w:rPr>
      </w:pPr>
      <w:r w:rsidRPr="005356B4">
        <w:rPr>
          <w:b/>
          <w:bCs/>
          <w:color w:val="4472C4"/>
          <w:sz w:val="28"/>
          <w:szCs w:val="28"/>
        </w:rPr>
        <w:t xml:space="preserve">Contact: Kiara Zennaro, Head of heat and Green Gas lead, REA. </w:t>
      </w:r>
      <w:r w:rsidR="005356B4">
        <w:rPr>
          <w:b/>
          <w:bCs/>
          <w:color w:val="4472C4"/>
          <w:sz w:val="28"/>
          <w:szCs w:val="28"/>
        </w:rPr>
        <w:t xml:space="preserve">Email: </w:t>
      </w:r>
      <w:hyperlink r:id="rId10" w:history="1">
        <w:r w:rsidR="005356B4" w:rsidRPr="005356B4">
          <w:rPr>
            <w:rStyle w:val="Hyperlink"/>
            <w:b/>
            <w:bCs/>
            <w:sz w:val="28"/>
            <w:szCs w:val="28"/>
          </w:rPr>
          <w:t>kiara@r-e-a.net</w:t>
        </w:r>
      </w:hyperlink>
      <w:r>
        <w:rPr>
          <w:b/>
          <w:bCs/>
          <w:color w:val="4472C4"/>
          <w:sz w:val="28"/>
          <w:szCs w:val="28"/>
        </w:rPr>
        <w:t xml:space="preserve"> </w:t>
      </w:r>
    </w:p>
    <w:p w14:paraId="65DF2FA3" w14:textId="77777777" w:rsidR="00747D30" w:rsidRDefault="00747D30" w:rsidP="00EF7E23">
      <w:pPr>
        <w:rPr>
          <w:b/>
          <w:bCs/>
          <w:color w:val="4472C4"/>
          <w:sz w:val="28"/>
          <w:szCs w:val="28"/>
        </w:rPr>
      </w:pPr>
    </w:p>
    <w:p w14:paraId="54D30895" w14:textId="77777777" w:rsidR="00747D30" w:rsidRDefault="00747D30" w:rsidP="00EF7E23">
      <w:pPr>
        <w:rPr>
          <w:b/>
          <w:bCs/>
          <w:color w:val="4472C4"/>
          <w:sz w:val="28"/>
          <w:szCs w:val="28"/>
        </w:rPr>
      </w:pPr>
    </w:p>
    <w:p w14:paraId="1481C5AA" w14:textId="3E3365BE" w:rsidR="00EF7E23" w:rsidRDefault="00EF7E23" w:rsidP="00EF7E23">
      <w:r>
        <w:rPr>
          <w:b/>
          <w:bCs/>
          <w:color w:val="4472C4"/>
          <w:sz w:val="28"/>
          <w:szCs w:val="28"/>
        </w:rPr>
        <w:t>8. Questions for Consultation</w:t>
      </w:r>
    </w:p>
    <w:p w14:paraId="5188B431" w14:textId="77777777" w:rsidR="00EF7E23" w:rsidRDefault="00EF7E23" w:rsidP="00EF7E23">
      <w:r>
        <w:t xml:space="preserve">Key questions on which Cadent is seeking views from the wider gas industry are set out in this section and are also provided in a separate editable document for population by respondents. </w:t>
      </w:r>
    </w:p>
    <w:p w14:paraId="0475A6CD" w14:textId="77777777" w:rsidR="00EF7E23" w:rsidRDefault="00EF7E23" w:rsidP="00EF7E23">
      <w:r>
        <w:t xml:space="preserve">Respondents should identify their organisation, business activity (e.g., Shipper, Supplier, Producer, Gas Technology, Academia, etc.) and indicate which, if any of your responses you wish to remain confidential. Confidential information will be anonymised accordingly. </w:t>
      </w:r>
    </w:p>
    <w:p w14:paraId="308CC8A3" w14:textId="77777777" w:rsidR="00EF7E23" w:rsidRDefault="00EF7E23" w:rsidP="00EF7E23">
      <w:r>
        <w:t xml:space="preserve">It would be helpful if Shippers / Suppliers could give an indication of the scale and type of their consumer base, which could aid normalisation of high-level indicative implementation costs for updating the final project CBA.  </w:t>
      </w:r>
    </w:p>
    <w:p w14:paraId="23F9D79A" w14:textId="77777777" w:rsidR="00EF7E23" w:rsidRDefault="00EF7E23" w:rsidP="00EF7E23"/>
    <w:p w14:paraId="42D1063D" w14:textId="77777777" w:rsidR="00EF7E23" w:rsidRDefault="00EF7E23" w:rsidP="00EF7E23">
      <w:pPr>
        <w:pStyle w:val="BodyText"/>
      </w:pPr>
      <w:r>
        <w:rPr>
          <w:rStyle w:val="Heading4Char"/>
          <w:rFonts w:ascii="Calibri" w:hAnsi="Calibri"/>
          <w:color w:val="000000"/>
          <w:sz w:val="24"/>
          <w:szCs w:val="24"/>
        </w:rPr>
        <w:t>Statement 1 – Option A: Work Within Existing Frameworks</w:t>
      </w:r>
    </w:p>
    <w:p w14:paraId="67E91D16" w14:textId="77777777" w:rsidR="00EF7E23" w:rsidRDefault="00EF7E23" w:rsidP="00EF7E23">
      <w:r>
        <w:rPr>
          <w:b/>
          <w:bCs/>
        </w:rPr>
        <w:t>Progressing this option could provide a no-regrets route to begin decarbonising the UKs gas distribution networks by enabling blending of low carbon gases without the need for changes to gas billing systems and regulations. This could be the enduring solution or while the option(s) that require billing reform and investment are developed.</w:t>
      </w:r>
    </w:p>
    <w:p w14:paraId="750DC768" w14:textId="77777777" w:rsidR="00EF7E23" w:rsidRDefault="00EF7E23" w:rsidP="00EF7E23">
      <w:pPr>
        <w:pStyle w:val="BodyText"/>
      </w:pPr>
      <w:r>
        <w:rPr>
          <w:rStyle w:val="Heading4Char"/>
          <w:rFonts w:ascii="Calibri" w:hAnsi="Calibri"/>
          <w:color w:val="4472C4"/>
          <w:sz w:val="24"/>
          <w:szCs w:val="24"/>
        </w:rPr>
        <w:t>Question 1:      Do you agree with statement 1?</w:t>
      </w:r>
    </w:p>
    <w:tbl>
      <w:tblPr>
        <w:tblW w:w="0" w:type="auto"/>
        <w:tblCellMar>
          <w:left w:w="0" w:type="dxa"/>
          <w:right w:w="0" w:type="dxa"/>
        </w:tblCellMar>
        <w:tblLook w:val="04A0" w:firstRow="1" w:lastRow="0" w:firstColumn="1" w:lastColumn="0" w:noHBand="0" w:noVBand="1"/>
      </w:tblPr>
      <w:tblGrid>
        <w:gridCol w:w="1074"/>
        <w:gridCol w:w="481"/>
        <w:gridCol w:w="7451"/>
      </w:tblGrid>
      <w:tr w:rsidR="00EF7E23" w14:paraId="49988267" w14:textId="77777777">
        <w:tc>
          <w:tcPr>
            <w:tcW w:w="1074" w:type="dxa"/>
            <w:tcBorders>
              <w:top w:val="single" w:sz="8" w:space="0" w:color="auto"/>
              <w:left w:val="single" w:sz="8" w:space="0" w:color="auto"/>
              <w:bottom w:val="single" w:sz="8" w:space="0" w:color="auto"/>
              <w:right w:val="single" w:sz="8" w:space="0" w:color="auto"/>
            </w:tcBorders>
            <w:shd w:val="clear" w:color="auto" w:fill="D5DCE4"/>
            <w:tcMar>
              <w:top w:w="0" w:type="dxa"/>
              <w:left w:w="108" w:type="dxa"/>
              <w:bottom w:w="0" w:type="dxa"/>
              <w:right w:w="108" w:type="dxa"/>
            </w:tcMar>
            <w:hideMark/>
          </w:tcPr>
          <w:p w14:paraId="2CA7C8A2" w14:textId="77777777" w:rsidR="00EF7E23" w:rsidRDefault="00EF7E23">
            <w:pPr>
              <w:jc w:val="center"/>
            </w:pPr>
            <w:r>
              <w:t>Response</w:t>
            </w:r>
          </w:p>
        </w:tc>
        <w:tc>
          <w:tcPr>
            <w:tcW w:w="481" w:type="dxa"/>
            <w:tcBorders>
              <w:top w:val="single" w:sz="8" w:space="0" w:color="auto"/>
              <w:left w:val="nil"/>
              <w:bottom w:val="single" w:sz="8" w:space="0" w:color="auto"/>
              <w:right w:val="single" w:sz="8" w:space="0" w:color="auto"/>
            </w:tcBorders>
            <w:shd w:val="clear" w:color="auto" w:fill="D5DCE4"/>
            <w:tcMar>
              <w:top w:w="0" w:type="dxa"/>
              <w:left w:w="108" w:type="dxa"/>
              <w:bottom w:w="0" w:type="dxa"/>
              <w:right w:w="108" w:type="dxa"/>
            </w:tcMar>
            <w:hideMark/>
          </w:tcPr>
          <w:p w14:paraId="3BC8BF66" w14:textId="77777777" w:rsidR="00EF7E23" w:rsidRDefault="00EF7E23">
            <w:r>
              <w:rPr>
                <w:color w:val="000000"/>
              </w:rPr>
              <w:t>(X)</w:t>
            </w:r>
          </w:p>
        </w:tc>
        <w:tc>
          <w:tcPr>
            <w:tcW w:w="7461" w:type="dxa"/>
            <w:tcBorders>
              <w:top w:val="single" w:sz="8" w:space="0" w:color="auto"/>
              <w:left w:val="nil"/>
              <w:bottom w:val="single" w:sz="8" w:space="0" w:color="auto"/>
              <w:right w:val="single" w:sz="8" w:space="0" w:color="auto"/>
            </w:tcBorders>
            <w:shd w:val="clear" w:color="auto" w:fill="D5DCE4"/>
            <w:tcMar>
              <w:top w:w="0" w:type="dxa"/>
              <w:left w:w="108" w:type="dxa"/>
              <w:bottom w:w="0" w:type="dxa"/>
              <w:right w:w="108" w:type="dxa"/>
            </w:tcMar>
            <w:hideMark/>
          </w:tcPr>
          <w:p w14:paraId="1F639003" w14:textId="77777777" w:rsidR="00EF7E23" w:rsidRDefault="00EF7E23">
            <w:r>
              <w:rPr>
                <w:color w:val="000000"/>
              </w:rPr>
              <w:t>Please explain the reasoning for your response in this section.</w:t>
            </w:r>
          </w:p>
        </w:tc>
      </w:tr>
      <w:tr w:rsidR="00EF7E23" w14:paraId="57693E3F" w14:textId="77777777">
        <w:tc>
          <w:tcPr>
            <w:tcW w:w="1074" w:type="dxa"/>
            <w:tcBorders>
              <w:top w:val="nil"/>
              <w:left w:val="single" w:sz="8" w:space="0" w:color="auto"/>
              <w:bottom w:val="single" w:sz="8" w:space="0" w:color="auto"/>
              <w:right w:val="single" w:sz="8" w:space="0" w:color="auto"/>
            </w:tcBorders>
            <w:shd w:val="clear" w:color="auto" w:fill="D5DCE4"/>
            <w:tcMar>
              <w:top w:w="0" w:type="dxa"/>
              <w:left w:w="108" w:type="dxa"/>
              <w:bottom w:w="0" w:type="dxa"/>
              <w:right w:w="108" w:type="dxa"/>
            </w:tcMar>
            <w:hideMark/>
          </w:tcPr>
          <w:p w14:paraId="7ACF95E9" w14:textId="77777777" w:rsidR="00EF7E23" w:rsidRDefault="00EF7E23">
            <w:r>
              <w:rPr>
                <w:color w:val="000000"/>
                <w:sz w:val="18"/>
                <w:szCs w:val="18"/>
              </w:rPr>
              <w:t>Strongly Agree</w:t>
            </w:r>
          </w:p>
        </w:tc>
        <w:tc>
          <w:tcPr>
            <w:tcW w:w="481" w:type="dxa"/>
            <w:tcBorders>
              <w:top w:val="nil"/>
              <w:left w:val="nil"/>
              <w:bottom w:val="single" w:sz="8" w:space="0" w:color="auto"/>
              <w:right w:val="single" w:sz="8" w:space="0" w:color="auto"/>
            </w:tcBorders>
            <w:tcMar>
              <w:top w:w="0" w:type="dxa"/>
              <w:left w:w="108" w:type="dxa"/>
              <w:bottom w:w="0" w:type="dxa"/>
              <w:right w:w="108" w:type="dxa"/>
            </w:tcMar>
            <w:hideMark/>
          </w:tcPr>
          <w:p w14:paraId="08B70C73" w14:textId="77777777" w:rsidR="00EF7E23" w:rsidRDefault="00EF7E23">
            <w:r>
              <w:t> </w:t>
            </w:r>
          </w:p>
        </w:tc>
        <w:tc>
          <w:tcPr>
            <w:tcW w:w="7461"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7318E602" w14:textId="0A1B9762" w:rsidR="00561148" w:rsidRDefault="00AB7A49" w:rsidP="00AB7A49">
            <w:r>
              <w:t>W</w:t>
            </w:r>
            <w:r w:rsidR="003131EB">
              <w:t>e see this as an interim solution while options B or C are</w:t>
            </w:r>
            <w:r>
              <w:t xml:space="preserve"> being</w:t>
            </w:r>
            <w:r w:rsidR="003131EB">
              <w:t xml:space="preserve"> developed. </w:t>
            </w:r>
          </w:p>
          <w:p w14:paraId="3EED5925" w14:textId="77777777" w:rsidR="00561148" w:rsidRDefault="00561148" w:rsidP="00AB7A49"/>
          <w:p w14:paraId="21C79618" w14:textId="3E5DBF83" w:rsidR="00F02A56" w:rsidRDefault="00AB7A49" w:rsidP="00AB7A49">
            <w:r>
              <w:t xml:space="preserve">However, </w:t>
            </w:r>
            <w:r w:rsidR="00F02A56">
              <w:t xml:space="preserve">adopting option A in the interim must not mean ‘doing nothing’. It is paramount that this option does not become an excuse for delaying the implementation of </w:t>
            </w:r>
            <w:r w:rsidR="008B3709">
              <w:t xml:space="preserve">the </w:t>
            </w:r>
            <w:r w:rsidR="00F02A56">
              <w:t xml:space="preserve">other solutions identified (B and C): these must be progressed swiftly. We also need to ensure that the billing regime addresses both hydrogen </w:t>
            </w:r>
            <w:r w:rsidR="00F02A56" w:rsidRPr="00734088">
              <w:rPr>
                <w:u w:val="single"/>
              </w:rPr>
              <w:t>and</w:t>
            </w:r>
            <w:r w:rsidR="00F02A56" w:rsidRPr="00734088">
              <w:t xml:space="preserve"> </w:t>
            </w:r>
            <w:r w:rsidR="00F02A56">
              <w:t xml:space="preserve">biomethane: a solution that </w:t>
            </w:r>
            <w:r w:rsidR="00734088">
              <w:t>accommodates</w:t>
            </w:r>
            <w:r w:rsidR="00F02A56">
              <w:t xml:space="preserve"> only one of </w:t>
            </w:r>
            <w:r w:rsidR="00734088">
              <w:t>the</w:t>
            </w:r>
            <w:r w:rsidR="008B3709">
              <w:t xml:space="preserve">m </w:t>
            </w:r>
            <w:r w:rsidR="00734088">
              <w:t>and undermine</w:t>
            </w:r>
            <w:r w:rsidR="008B3709">
              <w:t>s</w:t>
            </w:r>
            <w:r w:rsidR="00734088">
              <w:t xml:space="preserve"> the other </w:t>
            </w:r>
            <w:r w:rsidR="00F02A56">
              <w:t>will not be suitable</w:t>
            </w:r>
            <w:r w:rsidR="00734088">
              <w:t xml:space="preserve"> - both green gases are set to play an important role to advance the decarbonisation of the gas grid and reach net zero. </w:t>
            </w:r>
          </w:p>
          <w:p w14:paraId="2D88D118" w14:textId="233AD8AB" w:rsidR="005356B4" w:rsidRDefault="005356B4" w:rsidP="00AB7A49"/>
          <w:p w14:paraId="4B267C53" w14:textId="4665F6E5" w:rsidR="005356B4" w:rsidRDefault="005356B4" w:rsidP="005356B4">
            <w:pPr>
              <w:pStyle w:val="CommentText"/>
              <w:rPr>
                <w:sz w:val="22"/>
                <w:szCs w:val="22"/>
              </w:rPr>
            </w:pPr>
            <w:r w:rsidRPr="005356B4">
              <w:rPr>
                <w:sz w:val="22"/>
                <w:szCs w:val="22"/>
              </w:rPr>
              <w:t xml:space="preserve">Renewable gas </w:t>
            </w:r>
            <w:r>
              <w:rPr>
                <w:sz w:val="22"/>
                <w:szCs w:val="22"/>
              </w:rPr>
              <w:t xml:space="preserve">offers and affordable and secure alternative to fossil gas and helps reduce demand of fossil gas and our dependency on external suppliers, such as Russia. This is particularly important </w:t>
            </w:r>
            <w:proofErr w:type="gramStart"/>
            <w:r>
              <w:rPr>
                <w:sz w:val="22"/>
                <w:szCs w:val="22"/>
              </w:rPr>
              <w:t>in light of</w:t>
            </w:r>
            <w:proofErr w:type="gramEnd"/>
            <w:r>
              <w:rPr>
                <w:sz w:val="22"/>
                <w:szCs w:val="22"/>
              </w:rPr>
              <w:t xml:space="preserve"> the current energy price crisis and the Ukrainian situation.  Many industry associations in Europe are calling for more ambitious targets for the deployment of renewable gases by 2030 and for Member States to adopt ambitious renewable gas strategies</w:t>
            </w:r>
            <w:r w:rsidR="003D3054">
              <w:rPr>
                <w:sz w:val="22"/>
                <w:szCs w:val="22"/>
              </w:rPr>
              <w:t xml:space="preserve"> to improve energy security and reduce reliance on imported gas</w:t>
            </w:r>
            <w:r>
              <w:rPr>
                <w:sz w:val="22"/>
                <w:szCs w:val="22"/>
              </w:rPr>
              <w:t xml:space="preserve">.  </w:t>
            </w:r>
          </w:p>
          <w:p w14:paraId="24A9C46A" w14:textId="77777777" w:rsidR="005356B4" w:rsidRDefault="005356B4" w:rsidP="005356B4">
            <w:pPr>
              <w:pStyle w:val="CommentText"/>
              <w:rPr>
                <w:sz w:val="22"/>
                <w:szCs w:val="22"/>
              </w:rPr>
            </w:pPr>
          </w:p>
          <w:p w14:paraId="113884E0" w14:textId="007237B5" w:rsidR="00F02A56" w:rsidRDefault="00734088" w:rsidP="00AB7A49">
            <w:r>
              <w:t>For example, we understand that option A will enable accommodating increasing volumes of hydrogen in the grid</w:t>
            </w:r>
            <w:r w:rsidR="008B3709">
              <w:t xml:space="preserve">. </w:t>
            </w:r>
            <w:r>
              <w:t xml:space="preserve">This is </w:t>
            </w:r>
            <w:r w:rsidR="008B3709">
              <w:t xml:space="preserve">very </w:t>
            </w:r>
            <w:r>
              <w:t xml:space="preserve">positive and </w:t>
            </w:r>
            <w:r w:rsidR="0023439C">
              <w:t xml:space="preserve">certainly </w:t>
            </w:r>
            <w:r>
              <w:t>welcome. However,</w:t>
            </w:r>
            <w:r w:rsidR="002614AD">
              <w:t xml:space="preserve"> it is unclear whether this would benefit biomethane plants, particularly existing ones as the network companies may feel this a less pressing issue and/or that the current situation whereby more expensive, fossil propane is added to the biomethane is an adequate long-term solution.</w:t>
            </w:r>
            <w:r>
              <w:t xml:space="preserve"> </w:t>
            </w:r>
            <w:r w:rsidR="002614AD">
              <w:t>T</w:t>
            </w:r>
            <w:r w:rsidR="00F02A56">
              <w:t>he</w:t>
            </w:r>
            <w:r w:rsidR="00561148">
              <w:t xml:space="preserve"> </w:t>
            </w:r>
            <w:r w:rsidR="002614AD">
              <w:t xml:space="preserve">requirement </w:t>
            </w:r>
            <w:r w:rsidR="002614AD">
              <w:lastRenderedPageBreak/>
              <w:t xml:space="preserve">to </w:t>
            </w:r>
            <w:r w:rsidR="00561148">
              <w:t xml:space="preserve">add propane </w:t>
            </w:r>
            <w:r w:rsidR="002614AD">
              <w:t>is</w:t>
            </w:r>
            <w:r w:rsidR="00561148">
              <w:t xml:space="preserve"> </w:t>
            </w:r>
            <w:r w:rsidR="008E12D5">
              <w:t xml:space="preserve">a significant </w:t>
            </w:r>
            <w:r w:rsidR="002933A0">
              <w:t xml:space="preserve">net </w:t>
            </w:r>
            <w:r w:rsidR="008E12D5">
              <w:t>cost</w:t>
            </w:r>
            <w:r w:rsidR="002614AD">
              <w:t>,</w:t>
            </w:r>
            <w:r w:rsidR="008E12D5">
              <w:t xml:space="preserve"> in both financial and environmental terms, to</w:t>
            </w:r>
            <w:r w:rsidR="00F02A56">
              <w:t xml:space="preserve"> the biomethane sector </w:t>
            </w:r>
            <w:r w:rsidR="002933A0">
              <w:t xml:space="preserve">and </w:t>
            </w:r>
            <w:r w:rsidR="008B3709">
              <w:t xml:space="preserve">more generally </w:t>
            </w:r>
            <w:r w:rsidR="00F02A56">
              <w:t xml:space="preserve">to </w:t>
            </w:r>
            <w:r w:rsidR="002933A0">
              <w:t xml:space="preserve">the </w:t>
            </w:r>
            <w:r w:rsidR="008E12D5">
              <w:t xml:space="preserve">economy. </w:t>
            </w:r>
            <w:r w:rsidR="00F02A56">
              <w:t xml:space="preserve">Given the </w:t>
            </w:r>
            <w:r w:rsidR="008B3709">
              <w:t xml:space="preserve">financial </w:t>
            </w:r>
            <w:r w:rsidR="00F02A56">
              <w:t xml:space="preserve">support </w:t>
            </w:r>
            <w:r>
              <w:t xml:space="preserve">to biomethane production </w:t>
            </w:r>
            <w:r w:rsidR="00F02A56">
              <w:t xml:space="preserve">provided by Government under schemes such as the Green Gas Support Scheme and the Renewable Transport Fuel Obligation, the volumes of biomethane injected into the network are set to grow in the transition. There is also </w:t>
            </w:r>
            <w:r>
              <w:t xml:space="preserve">the </w:t>
            </w:r>
            <w:r w:rsidR="00F02A56">
              <w:t>potential for additional production</w:t>
            </w:r>
            <w:r>
              <w:t xml:space="preserve"> and injection </w:t>
            </w:r>
            <w:r w:rsidR="00F02A56">
              <w:t xml:space="preserve">of biomethane combined with CCS under unsubsidised financial models which may result in even greater volumes of biomethane. </w:t>
            </w:r>
            <w:r w:rsidR="008B3709">
              <w:t>Some of our members are already planning projects of th</w:t>
            </w:r>
            <w:r w:rsidR="0023439C">
              <w:t>is</w:t>
            </w:r>
            <w:r w:rsidR="008B3709">
              <w:t xml:space="preserve"> kind. Thus</w:t>
            </w:r>
            <w:r>
              <w:t xml:space="preserve">, </w:t>
            </w:r>
            <w:r w:rsidR="008B3709">
              <w:t xml:space="preserve">unless the requirement to propanate is reconsidered, its </w:t>
            </w:r>
            <w:r w:rsidR="00F02A56">
              <w:t xml:space="preserve">cost </w:t>
            </w:r>
            <w:r w:rsidR="008B3709">
              <w:t>will increase in line with the anticipated sector growth. It should be noted that this is a</w:t>
            </w:r>
            <w:r w:rsidR="000F327D">
              <w:t xml:space="preserve"> net cost </w:t>
            </w:r>
            <w:r w:rsidR="0001380E">
              <w:t xml:space="preserve">unfairly </w:t>
            </w:r>
            <w:r w:rsidR="000F327D">
              <w:t xml:space="preserve">borne by the biomethane sector </w:t>
            </w:r>
            <w:r w:rsidR="008B3709">
              <w:t>which is</w:t>
            </w:r>
            <w:r w:rsidR="000F327D">
              <w:t xml:space="preserve"> not recovered / passed onto consumer bill</w:t>
            </w:r>
            <w:r w:rsidR="008B3709">
              <w:t xml:space="preserve">s in the same way </w:t>
            </w:r>
            <w:r w:rsidR="000F327D">
              <w:t xml:space="preserve">the shrinkage cost is. </w:t>
            </w:r>
            <w:r w:rsidR="00F02A56">
              <w:t xml:space="preserve"> </w:t>
            </w:r>
          </w:p>
          <w:p w14:paraId="603DE18F" w14:textId="77777777" w:rsidR="008B3709" w:rsidRDefault="008B3709" w:rsidP="00AB7A49"/>
          <w:p w14:paraId="267BDE01" w14:textId="335E9B83" w:rsidR="00561148" w:rsidRDefault="00734088" w:rsidP="00747D30">
            <w:r>
              <w:t xml:space="preserve">Some members have </w:t>
            </w:r>
            <w:r w:rsidR="0001380E">
              <w:t>suggested</w:t>
            </w:r>
            <w:r>
              <w:t xml:space="preserve"> </w:t>
            </w:r>
            <w:r w:rsidR="0001380E">
              <w:t>that the merits of an</w:t>
            </w:r>
            <w:r w:rsidR="008E12D5">
              <w:t xml:space="preserve"> alternative</w:t>
            </w:r>
            <w:r>
              <w:t xml:space="preserve">, additional </w:t>
            </w:r>
            <w:r w:rsidR="00F51F99">
              <w:t xml:space="preserve">option </w:t>
            </w:r>
            <w:r w:rsidR="000F327D">
              <w:t>(‘option F’)</w:t>
            </w:r>
            <w:r w:rsidR="0001380E">
              <w:t xml:space="preserve"> should be seriously looked at. They suggested that the </w:t>
            </w:r>
            <w:r w:rsidR="008E12D5">
              <w:t xml:space="preserve">billing approach used prior to the FWACV </w:t>
            </w:r>
            <w:r w:rsidR="002933A0">
              <w:t xml:space="preserve">system </w:t>
            </w:r>
            <w:r w:rsidR="0001380E">
              <w:t xml:space="preserve">being in place could be adopted </w:t>
            </w:r>
            <w:proofErr w:type="spellStart"/>
            <w:proofErr w:type="gramStart"/>
            <w:r w:rsidR="008E12D5">
              <w:t>ie</w:t>
            </w:r>
            <w:proofErr w:type="spellEnd"/>
            <w:proofErr w:type="gramEnd"/>
            <w:r w:rsidR="008E12D5">
              <w:t xml:space="preserve"> </w:t>
            </w:r>
            <w:r w:rsidR="008E12D5" w:rsidRPr="008E12D5">
              <w:t>doing away with FWACV and moving to lowest Source</w:t>
            </w:r>
            <w:r w:rsidR="008E12D5">
              <w:t>. Th</w:t>
            </w:r>
            <w:r w:rsidR="00F51F99">
              <w:t>is</w:t>
            </w:r>
            <w:r w:rsidR="008E12D5">
              <w:t xml:space="preserve"> was the approach used for </w:t>
            </w:r>
            <w:r w:rsidR="008E12D5" w:rsidRPr="008E12D5">
              <w:t xml:space="preserve">30 years before </w:t>
            </w:r>
            <w:r w:rsidR="008E12D5">
              <w:t xml:space="preserve">the </w:t>
            </w:r>
            <w:r w:rsidR="008E12D5" w:rsidRPr="008E12D5">
              <w:t>FWACV</w:t>
            </w:r>
            <w:r w:rsidR="0001380E">
              <w:t xml:space="preserve">, and it would entail: </w:t>
            </w:r>
            <w:r w:rsidR="00261FED">
              <w:t xml:space="preserve"> </w:t>
            </w:r>
          </w:p>
          <w:p w14:paraId="3E32CC6F" w14:textId="77777777" w:rsidR="008E12D5" w:rsidRDefault="008E12D5" w:rsidP="00747D30"/>
          <w:p w14:paraId="6D642025" w14:textId="5D4B3150" w:rsidR="008E12D5" w:rsidRPr="008E12D5" w:rsidRDefault="008E12D5" w:rsidP="008E12D5">
            <w:pPr>
              <w:pStyle w:val="ListParagraph"/>
              <w:numPr>
                <w:ilvl w:val="0"/>
                <w:numId w:val="2"/>
              </w:numPr>
              <w:ind w:left="317" w:hanging="284"/>
              <w:rPr>
                <w:rFonts w:ascii="Calibri" w:eastAsiaTheme="minorHAnsi" w:hAnsi="Calibri" w:cs="Calibri"/>
                <w:sz w:val="22"/>
                <w:szCs w:val="22"/>
                <w:lang w:eastAsia="en-US"/>
              </w:rPr>
            </w:pPr>
            <w:r w:rsidRPr="008E12D5">
              <w:rPr>
                <w:rFonts w:ascii="Calibri" w:eastAsiaTheme="minorHAnsi" w:hAnsi="Calibri" w:cs="Calibri"/>
                <w:sz w:val="22"/>
                <w:szCs w:val="22"/>
                <w:lang w:eastAsia="en-US"/>
              </w:rPr>
              <w:t>remov</w:t>
            </w:r>
            <w:r w:rsidR="0001380E">
              <w:rPr>
                <w:rFonts w:ascii="Calibri" w:eastAsiaTheme="minorHAnsi" w:hAnsi="Calibri" w:cs="Calibri"/>
                <w:sz w:val="22"/>
                <w:szCs w:val="22"/>
                <w:lang w:eastAsia="en-US"/>
              </w:rPr>
              <w:t>ing</w:t>
            </w:r>
            <w:r w:rsidRPr="008E12D5">
              <w:rPr>
                <w:rFonts w:ascii="Calibri" w:eastAsiaTheme="minorHAnsi" w:hAnsi="Calibri" w:cs="Calibri"/>
                <w:sz w:val="22"/>
                <w:szCs w:val="22"/>
                <w:lang w:eastAsia="en-US"/>
              </w:rPr>
              <w:t xml:space="preserve"> the FWACV system and inject</w:t>
            </w:r>
            <w:r w:rsidR="0001380E">
              <w:rPr>
                <w:rFonts w:ascii="Calibri" w:eastAsiaTheme="minorHAnsi" w:hAnsi="Calibri" w:cs="Calibri"/>
                <w:sz w:val="22"/>
                <w:szCs w:val="22"/>
                <w:lang w:eastAsia="en-US"/>
              </w:rPr>
              <w:t>ing</w:t>
            </w:r>
            <w:r w:rsidRPr="008E12D5">
              <w:rPr>
                <w:rFonts w:ascii="Calibri" w:eastAsiaTheme="minorHAnsi" w:hAnsi="Calibri" w:cs="Calibri"/>
                <w:sz w:val="22"/>
                <w:szCs w:val="22"/>
                <w:lang w:eastAsia="en-US"/>
              </w:rPr>
              <w:t xml:space="preserve"> biomethane without the addition of propane</w:t>
            </w:r>
            <w:r w:rsidR="002933A0">
              <w:rPr>
                <w:rFonts w:ascii="Calibri" w:eastAsiaTheme="minorHAnsi" w:hAnsi="Calibri" w:cs="Calibri"/>
                <w:sz w:val="22"/>
                <w:szCs w:val="22"/>
                <w:lang w:eastAsia="en-US"/>
              </w:rPr>
              <w:t>, and</w:t>
            </w:r>
          </w:p>
          <w:p w14:paraId="092D7FE7" w14:textId="58D6C867" w:rsidR="008E12D5" w:rsidRDefault="008E12D5" w:rsidP="008E12D5">
            <w:pPr>
              <w:pStyle w:val="ListParagraph"/>
              <w:numPr>
                <w:ilvl w:val="0"/>
                <w:numId w:val="2"/>
              </w:numPr>
              <w:ind w:left="317" w:hanging="284"/>
              <w:rPr>
                <w:rFonts w:ascii="Calibri" w:eastAsiaTheme="minorHAnsi" w:hAnsi="Calibri" w:cs="Calibri"/>
                <w:sz w:val="22"/>
                <w:szCs w:val="22"/>
                <w:lang w:eastAsia="en-US"/>
              </w:rPr>
            </w:pPr>
            <w:r w:rsidRPr="008E12D5">
              <w:rPr>
                <w:rFonts w:ascii="Calibri" w:eastAsiaTheme="minorHAnsi" w:hAnsi="Calibri" w:cs="Calibri"/>
                <w:sz w:val="22"/>
                <w:szCs w:val="22"/>
                <w:lang w:eastAsia="en-US"/>
              </w:rPr>
              <w:t>cap</w:t>
            </w:r>
            <w:r w:rsidR="0001380E">
              <w:rPr>
                <w:rFonts w:ascii="Calibri" w:eastAsiaTheme="minorHAnsi" w:hAnsi="Calibri" w:cs="Calibri"/>
                <w:sz w:val="22"/>
                <w:szCs w:val="22"/>
                <w:lang w:eastAsia="en-US"/>
              </w:rPr>
              <w:t>ping</w:t>
            </w:r>
            <w:r w:rsidRPr="008E12D5">
              <w:rPr>
                <w:rFonts w:ascii="Calibri" w:eastAsiaTheme="minorHAnsi" w:hAnsi="Calibri" w:cs="Calibri"/>
                <w:sz w:val="22"/>
                <w:szCs w:val="22"/>
                <w:lang w:eastAsia="en-US"/>
              </w:rPr>
              <w:t xml:space="preserve"> billing at the lowest CV gas in the charging zone</w:t>
            </w:r>
            <w:r w:rsidR="002933A0">
              <w:rPr>
                <w:rFonts w:ascii="Calibri" w:eastAsiaTheme="minorHAnsi" w:hAnsi="Calibri" w:cs="Calibri"/>
                <w:sz w:val="22"/>
                <w:szCs w:val="22"/>
                <w:lang w:eastAsia="en-US"/>
              </w:rPr>
              <w:t>.</w:t>
            </w:r>
          </w:p>
          <w:p w14:paraId="076F465A" w14:textId="77777777" w:rsidR="002933A0" w:rsidRPr="008E12D5" w:rsidRDefault="002933A0" w:rsidP="002933A0">
            <w:pPr>
              <w:pStyle w:val="ListParagraph"/>
              <w:ind w:left="317"/>
              <w:rPr>
                <w:rFonts w:ascii="Calibri" w:eastAsiaTheme="minorHAnsi" w:hAnsi="Calibri" w:cs="Calibri"/>
                <w:sz w:val="22"/>
                <w:szCs w:val="22"/>
                <w:lang w:eastAsia="en-US"/>
              </w:rPr>
            </w:pPr>
          </w:p>
          <w:p w14:paraId="7688F4A6" w14:textId="4A55AF6F" w:rsidR="00942467" w:rsidRDefault="008E12D5" w:rsidP="00942467">
            <w:r>
              <w:t>Under the above approach, m</w:t>
            </w:r>
            <w:r w:rsidRPr="008E12D5">
              <w:t>ost people would be under billed for the energy they are supplied</w:t>
            </w:r>
            <w:r w:rsidR="002933A0">
              <w:t>,</w:t>
            </w:r>
            <w:r w:rsidRPr="008E12D5">
              <w:t xml:space="preserve"> and no-one would be overcharged (</w:t>
            </w:r>
            <w:r>
              <w:t xml:space="preserve">for example, </w:t>
            </w:r>
            <w:r w:rsidRPr="008E12D5">
              <w:t>everyone would be billed at biomethane CV)</w:t>
            </w:r>
            <w:r>
              <w:t xml:space="preserve"> and the </w:t>
            </w:r>
            <w:r w:rsidRPr="008E12D5">
              <w:t>resulting shrinkage would be shared evenly over all consumers</w:t>
            </w:r>
            <w:r>
              <w:t xml:space="preserve">. </w:t>
            </w:r>
            <w:r w:rsidR="00942467">
              <w:t xml:space="preserve">For consumers, the result would be </w:t>
            </w:r>
            <w:proofErr w:type="gramStart"/>
            <w:r w:rsidR="00942467">
              <w:t>similar to</w:t>
            </w:r>
            <w:proofErr w:type="gramEnd"/>
            <w:r w:rsidR="00942467">
              <w:t xml:space="preserve"> the current system, but the practical</w:t>
            </w:r>
            <w:r w:rsidR="0001380E">
              <w:t xml:space="preserve">, positive </w:t>
            </w:r>
            <w:r w:rsidR="00942467">
              <w:t xml:space="preserve">impact would be that </w:t>
            </w:r>
            <w:r w:rsidR="0001380E">
              <w:t>it would remove</w:t>
            </w:r>
            <w:r w:rsidR="00942467">
              <w:t xml:space="preserve"> the need for propane addition.</w:t>
            </w:r>
          </w:p>
          <w:p w14:paraId="0645954E" w14:textId="367D87CF" w:rsidR="001C73D4" w:rsidRDefault="001C73D4" w:rsidP="008E12D5"/>
          <w:p w14:paraId="08CFEC11" w14:textId="038A41DC" w:rsidR="001C73D4" w:rsidRDefault="0001380E" w:rsidP="008E12D5">
            <w:pPr>
              <w:rPr>
                <w:lang w:eastAsia="en-GB"/>
              </w:rPr>
            </w:pPr>
            <w:r>
              <w:rPr>
                <w:lang w:eastAsia="en-GB"/>
              </w:rPr>
              <w:t>The member</w:t>
            </w:r>
            <w:r w:rsidR="002614AD">
              <w:rPr>
                <w:lang w:eastAsia="en-GB"/>
              </w:rPr>
              <w:t>s proposing this</w:t>
            </w:r>
            <w:r>
              <w:rPr>
                <w:lang w:eastAsia="en-GB"/>
              </w:rPr>
              <w:t xml:space="preserve"> said: ‘</w:t>
            </w:r>
            <w:r w:rsidR="00942467" w:rsidRPr="0001380E">
              <w:rPr>
                <w:i/>
                <w:iCs/>
                <w:lang w:eastAsia="en-GB"/>
              </w:rPr>
              <w:t xml:space="preserve">If there was no propanation, in </w:t>
            </w:r>
            <w:r w:rsidR="001C73D4" w:rsidRPr="0001380E">
              <w:rPr>
                <w:i/>
                <w:iCs/>
                <w:lang w:eastAsia="en-GB"/>
              </w:rPr>
              <w:t>every area the CV that can be used to bill customers would be capped a little above the CV of the biomethane, in line with the regulations. So</w:t>
            </w:r>
            <w:r w:rsidR="00942467" w:rsidRPr="0001380E">
              <w:rPr>
                <w:i/>
                <w:iCs/>
                <w:lang w:eastAsia="en-GB"/>
              </w:rPr>
              <w:t>,</w:t>
            </w:r>
            <w:r w:rsidR="001C73D4" w:rsidRPr="0001380E">
              <w:rPr>
                <w:i/>
                <w:iCs/>
                <w:lang w:eastAsia="en-GB"/>
              </w:rPr>
              <w:t xml:space="preserve"> everyone would pay less for their gas than they do now. However, the gas would still have to be paid for and that cost would be picked up as shrinkage. This cost is borne by all gas customers</w:t>
            </w:r>
            <w:r w:rsidR="00942467" w:rsidRPr="0001380E">
              <w:rPr>
                <w:i/>
                <w:iCs/>
                <w:lang w:eastAsia="en-GB"/>
              </w:rPr>
              <w:t xml:space="preserve"> as</w:t>
            </w:r>
            <w:r w:rsidR="001C73D4" w:rsidRPr="0001380E">
              <w:rPr>
                <w:i/>
                <w:iCs/>
                <w:lang w:eastAsia="en-GB"/>
              </w:rPr>
              <w:t xml:space="preserve"> it is passed through by the networks. There could be a timing issue, but the net effect is everyone pays more, and everyone pays less in a </w:t>
            </w:r>
            <w:proofErr w:type="gramStart"/>
            <w:r w:rsidR="001C73D4" w:rsidRPr="0001380E">
              <w:rPr>
                <w:i/>
                <w:iCs/>
                <w:lang w:eastAsia="en-GB"/>
              </w:rPr>
              <w:t>zero sum</w:t>
            </w:r>
            <w:proofErr w:type="gramEnd"/>
            <w:r w:rsidR="001C73D4" w:rsidRPr="0001380E">
              <w:rPr>
                <w:i/>
                <w:iCs/>
                <w:lang w:eastAsia="en-GB"/>
              </w:rPr>
              <w:t xml:space="preserve"> game. CV shrinkage costs are not </w:t>
            </w:r>
            <w:r w:rsidR="00942467" w:rsidRPr="0001380E">
              <w:rPr>
                <w:i/>
                <w:iCs/>
                <w:lang w:eastAsia="en-GB"/>
              </w:rPr>
              <w:t xml:space="preserve">net </w:t>
            </w:r>
            <w:r w:rsidR="001C73D4" w:rsidRPr="0001380E">
              <w:rPr>
                <w:i/>
                <w:iCs/>
                <w:lang w:eastAsia="en-GB"/>
              </w:rPr>
              <w:t>costs to the economy in the same way propanation is.</w:t>
            </w:r>
            <w:r w:rsidRPr="0001380E">
              <w:rPr>
                <w:i/>
                <w:iCs/>
                <w:lang w:eastAsia="en-GB"/>
              </w:rPr>
              <w:t>’</w:t>
            </w:r>
          </w:p>
          <w:p w14:paraId="3A208F48" w14:textId="77777777" w:rsidR="0001380E" w:rsidRDefault="0001380E" w:rsidP="008E12D5"/>
          <w:p w14:paraId="53BF7F11" w14:textId="423B0FD7" w:rsidR="0001380E" w:rsidRDefault="0001380E" w:rsidP="008E12D5">
            <w:r>
              <w:t xml:space="preserve">However, it would be important to understand the implications of this approach for hydrogen. Given this gas’ lower CV, when capping occurs, the quantity and impact of shrinkage would be by far greater than with biomethane. </w:t>
            </w:r>
          </w:p>
          <w:p w14:paraId="24E53E6C" w14:textId="09987FA4" w:rsidR="0001380E" w:rsidRDefault="0001380E" w:rsidP="008E12D5"/>
          <w:p w14:paraId="090DB7D7" w14:textId="4A73E25F" w:rsidR="008E12D5" w:rsidRPr="00D522C2" w:rsidRDefault="002614AD" w:rsidP="008E12D5">
            <w:pPr>
              <w:rPr>
                <w:b/>
                <w:bCs/>
              </w:rPr>
            </w:pPr>
            <w:r w:rsidRPr="005356B4">
              <w:t xml:space="preserve">An alternative approach </w:t>
            </w:r>
            <w:r w:rsidR="0001380E" w:rsidRPr="005356B4">
              <w:t xml:space="preserve">would be to </w:t>
            </w:r>
            <w:r w:rsidR="00D522C2" w:rsidRPr="005356B4">
              <w:t>giv</w:t>
            </w:r>
            <w:r w:rsidRPr="005356B4">
              <w:t>e</w:t>
            </w:r>
            <w:r w:rsidR="00D522C2" w:rsidRPr="005356B4">
              <w:t xml:space="preserve"> </w:t>
            </w:r>
            <w:r w:rsidR="0001380E" w:rsidRPr="005356B4">
              <w:t>greater leeway on the point at which capping occurs (</w:t>
            </w:r>
            <w:proofErr w:type="gramStart"/>
            <w:r w:rsidR="0001380E" w:rsidRPr="005356B4">
              <w:t>e.g.</w:t>
            </w:r>
            <w:proofErr w:type="gramEnd"/>
            <w:r w:rsidR="0001380E" w:rsidRPr="005356B4">
              <w:t xml:space="preserve"> change the 1 MJ/m</w:t>
            </w:r>
            <w:r w:rsidR="0001380E" w:rsidRPr="005356B4">
              <w:rPr>
                <w:vertAlign w:val="superscript"/>
              </w:rPr>
              <w:t>3</w:t>
            </w:r>
            <w:r w:rsidR="0001380E" w:rsidRPr="005356B4">
              <w:t xml:space="preserve"> cap to 1.5 / 2 MJ/m</w:t>
            </w:r>
            <w:r w:rsidR="0001380E" w:rsidRPr="005356B4">
              <w:rPr>
                <w:vertAlign w:val="superscript"/>
              </w:rPr>
              <w:t>3</w:t>
            </w:r>
            <w:r w:rsidR="0001380E" w:rsidRPr="005356B4">
              <w:t xml:space="preserve">). This would go a long way in helping accommodate more biomethane in the system without the need for propanation, whilst also not </w:t>
            </w:r>
            <w:r w:rsidR="00D522C2" w:rsidRPr="005356B4">
              <w:t xml:space="preserve">having a </w:t>
            </w:r>
            <w:r w:rsidRPr="005356B4">
              <w:t>more moderate benefit for hydrogen</w:t>
            </w:r>
            <w:r w:rsidR="00D522C2" w:rsidRPr="005356B4">
              <w:t xml:space="preserve">. This option could be looked in combination with </w:t>
            </w:r>
            <w:r w:rsidR="00F67B31" w:rsidRPr="005356B4">
              <w:t xml:space="preserve">option A and </w:t>
            </w:r>
            <w:r w:rsidR="00D522C2" w:rsidRPr="005356B4">
              <w:t>other options.</w:t>
            </w:r>
            <w:r w:rsidR="00D522C2">
              <w:rPr>
                <w:b/>
                <w:bCs/>
              </w:rPr>
              <w:t xml:space="preserve"> </w:t>
            </w:r>
            <w:r>
              <w:rPr>
                <w:b/>
                <w:bCs/>
              </w:rPr>
              <w:t xml:space="preserve">We recommend this is given serious consideration as an option and its </w:t>
            </w:r>
            <w:r>
              <w:rPr>
                <w:b/>
                <w:bCs/>
              </w:rPr>
              <w:lastRenderedPageBreak/>
              <w:t>risks and benefits evaluated alongside the other proposals put forward in this consultation.</w:t>
            </w:r>
          </w:p>
          <w:p w14:paraId="64356B75" w14:textId="77777777" w:rsidR="0001380E" w:rsidRDefault="0001380E" w:rsidP="008E12D5"/>
          <w:p w14:paraId="47609416" w14:textId="2C6D196E" w:rsidR="00D522C2" w:rsidRDefault="00D522C2" w:rsidP="00734088">
            <w:r>
              <w:t>Finally, e</w:t>
            </w:r>
            <w:r w:rsidR="00734088">
              <w:t>specially in the initial phase of option A (</w:t>
            </w:r>
            <w:r w:rsidR="00734088" w:rsidRPr="00AB7A49">
              <w:t>Minority Energy Flow</w:t>
            </w:r>
            <w:r w:rsidR="00734088">
              <w:t xml:space="preserve">) we would need to see the gas networks’ biomethane blending strategy adopted as a matter of some urgency to </w:t>
            </w:r>
            <w:r>
              <w:t xml:space="preserve">reduce as much as possible </w:t>
            </w:r>
            <w:r w:rsidR="00734088">
              <w:t xml:space="preserve">situations where biomethane needs enriching with propane. </w:t>
            </w:r>
          </w:p>
          <w:p w14:paraId="1B2FF014" w14:textId="77777777" w:rsidR="00D522C2" w:rsidRDefault="00D522C2" w:rsidP="00734088"/>
          <w:p w14:paraId="636419D0" w14:textId="5F1DF43F" w:rsidR="00734088" w:rsidRDefault="00734088" w:rsidP="00734088">
            <w:r>
              <w:t>We understand that as the second phase (Majority Energy Flow) kicks in, the need for b</w:t>
            </w:r>
            <w:r w:rsidRPr="00747D30">
              <w:t xml:space="preserve">iomethane enrichment </w:t>
            </w:r>
            <w:r>
              <w:t xml:space="preserve">would be </w:t>
            </w:r>
            <w:r w:rsidRPr="00747D30">
              <w:t>reduced</w:t>
            </w:r>
            <w:r>
              <w:t xml:space="preserve"> anyway</w:t>
            </w:r>
            <w:r w:rsidRPr="00747D30">
              <w:t xml:space="preserve"> or switched off as H</w:t>
            </w:r>
            <w:r w:rsidRPr="00747D30">
              <w:rPr>
                <w:vertAlign w:val="subscript"/>
              </w:rPr>
              <w:t>2</w:t>
            </w:r>
            <w:r w:rsidRPr="00747D30">
              <w:t xml:space="preserve"> blend at primary offtakes lowers LDZ FWACV. </w:t>
            </w:r>
          </w:p>
          <w:p w14:paraId="76A002A5" w14:textId="123F28B7" w:rsidR="00561148" w:rsidRDefault="00561148" w:rsidP="00747D30"/>
          <w:p w14:paraId="5181E397" w14:textId="77777777" w:rsidR="00561148" w:rsidRPr="00747D30" w:rsidRDefault="00561148" w:rsidP="00747D30"/>
          <w:p w14:paraId="7165548B" w14:textId="27F50D1B" w:rsidR="00747D30" w:rsidRDefault="00747D30" w:rsidP="00AB7A49"/>
        </w:tc>
      </w:tr>
      <w:tr w:rsidR="00EF7E23" w14:paraId="7ABB24B9" w14:textId="77777777">
        <w:tc>
          <w:tcPr>
            <w:tcW w:w="1074" w:type="dxa"/>
            <w:tcBorders>
              <w:top w:val="nil"/>
              <w:left w:val="single" w:sz="8" w:space="0" w:color="auto"/>
              <w:bottom w:val="single" w:sz="8" w:space="0" w:color="auto"/>
              <w:right w:val="single" w:sz="8" w:space="0" w:color="auto"/>
            </w:tcBorders>
            <w:shd w:val="clear" w:color="auto" w:fill="D5DCE4"/>
            <w:tcMar>
              <w:top w:w="0" w:type="dxa"/>
              <w:left w:w="108" w:type="dxa"/>
              <w:bottom w:w="0" w:type="dxa"/>
              <w:right w:w="108" w:type="dxa"/>
            </w:tcMar>
            <w:hideMark/>
          </w:tcPr>
          <w:p w14:paraId="7B85EA7F" w14:textId="77777777" w:rsidR="00EF7E23" w:rsidRDefault="00EF7E23">
            <w:r>
              <w:rPr>
                <w:color w:val="000000"/>
                <w:sz w:val="18"/>
                <w:szCs w:val="18"/>
              </w:rPr>
              <w:t>Agree</w:t>
            </w:r>
          </w:p>
        </w:tc>
        <w:tc>
          <w:tcPr>
            <w:tcW w:w="481" w:type="dxa"/>
            <w:tcBorders>
              <w:top w:val="nil"/>
              <w:left w:val="nil"/>
              <w:bottom w:val="single" w:sz="8" w:space="0" w:color="auto"/>
              <w:right w:val="single" w:sz="8" w:space="0" w:color="auto"/>
            </w:tcBorders>
            <w:tcMar>
              <w:top w:w="0" w:type="dxa"/>
              <w:left w:w="108" w:type="dxa"/>
              <w:bottom w:w="0" w:type="dxa"/>
              <w:right w:w="108" w:type="dxa"/>
            </w:tcMar>
            <w:hideMark/>
          </w:tcPr>
          <w:p w14:paraId="5B8214C1" w14:textId="5F6253A3" w:rsidR="00EF7E23" w:rsidRDefault="003131EB">
            <w:r>
              <w:t>X</w:t>
            </w:r>
            <w:r w:rsidR="00EF7E23">
              <w:t> </w:t>
            </w:r>
          </w:p>
        </w:tc>
        <w:tc>
          <w:tcPr>
            <w:tcW w:w="0" w:type="auto"/>
            <w:vMerge/>
            <w:tcBorders>
              <w:top w:val="nil"/>
              <w:left w:val="nil"/>
              <w:bottom w:val="single" w:sz="8" w:space="0" w:color="auto"/>
              <w:right w:val="single" w:sz="8" w:space="0" w:color="auto"/>
            </w:tcBorders>
            <w:vAlign w:val="center"/>
            <w:hideMark/>
          </w:tcPr>
          <w:p w14:paraId="28630B74" w14:textId="77777777" w:rsidR="00EF7E23" w:rsidRDefault="00EF7E23"/>
        </w:tc>
      </w:tr>
      <w:tr w:rsidR="00EF7E23" w14:paraId="4A79DFC9" w14:textId="77777777">
        <w:tc>
          <w:tcPr>
            <w:tcW w:w="1074" w:type="dxa"/>
            <w:tcBorders>
              <w:top w:val="nil"/>
              <w:left w:val="single" w:sz="8" w:space="0" w:color="auto"/>
              <w:bottom w:val="single" w:sz="8" w:space="0" w:color="auto"/>
              <w:right w:val="single" w:sz="8" w:space="0" w:color="auto"/>
            </w:tcBorders>
            <w:shd w:val="clear" w:color="auto" w:fill="D5DCE4"/>
            <w:tcMar>
              <w:top w:w="0" w:type="dxa"/>
              <w:left w:w="108" w:type="dxa"/>
              <w:bottom w:w="0" w:type="dxa"/>
              <w:right w:w="108" w:type="dxa"/>
            </w:tcMar>
            <w:hideMark/>
          </w:tcPr>
          <w:p w14:paraId="787CC743" w14:textId="77777777" w:rsidR="00EF7E23" w:rsidRDefault="00EF7E23">
            <w:r>
              <w:rPr>
                <w:color w:val="000000"/>
                <w:sz w:val="18"/>
                <w:szCs w:val="18"/>
              </w:rPr>
              <w:t>Neither</w:t>
            </w:r>
          </w:p>
        </w:tc>
        <w:tc>
          <w:tcPr>
            <w:tcW w:w="481" w:type="dxa"/>
            <w:tcBorders>
              <w:top w:val="nil"/>
              <w:left w:val="nil"/>
              <w:bottom w:val="single" w:sz="8" w:space="0" w:color="auto"/>
              <w:right w:val="single" w:sz="8" w:space="0" w:color="auto"/>
            </w:tcBorders>
            <w:tcMar>
              <w:top w:w="0" w:type="dxa"/>
              <w:left w:w="108" w:type="dxa"/>
              <w:bottom w:w="0" w:type="dxa"/>
              <w:right w:w="108" w:type="dxa"/>
            </w:tcMar>
            <w:hideMark/>
          </w:tcPr>
          <w:p w14:paraId="65F5517E" w14:textId="77777777" w:rsidR="00EF7E23" w:rsidRDefault="00EF7E23">
            <w:r>
              <w:t> </w:t>
            </w:r>
          </w:p>
        </w:tc>
        <w:tc>
          <w:tcPr>
            <w:tcW w:w="0" w:type="auto"/>
            <w:vMerge/>
            <w:tcBorders>
              <w:top w:val="nil"/>
              <w:left w:val="nil"/>
              <w:bottom w:val="single" w:sz="8" w:space="0" w:color="auto"/>
              <w:right w:val="single" w:sz="8" w:space="0" w:color="auto"/>
            </w:tcBorders>
            <w:vAlign w:val="center"/>
            <w:hideMark/>
          </w:tcPr>
          <w:p w14:paraId="0F444E3B" w14:textId="77777777" w:rsidR="00EF7E23" w:rsidRDefault="00EF7E23"/>
        </w:tc>
      </w:tr>
      <w:tr w:rsidR="00EF7E23" w14:paraId="7D860D62" w14:textId="77777777">
        <w:tc>
          <w:tcPr>
            <w:tcW w:w="1074" w:type="dxa"/>
            <w:tcBorders>
              <w:top w:val="nil"/>
              <w:left w:val="single" w:sz="8" w:space="0" w:color="auto"/>
              <w:bottom w:val="single" w:sz="8" w:space="0" w:color="auto"/>
              <w:right w:val="single" w:sz="8" w:space="0" w:color="auto"/>
            </w:tcBorders>
            <w:shd w:val="clear" w:color="auto" w:fill="D5DCE4"/>
            <w:tcMar>
              <w:top w:w="0" w:type="dxa"/>
              <w:left w:w="108" w:type="dxa"/>
              <w:bottom w:w="0" w:type="dxa"/>
              <w:right w:w="108" w:type="dxa"/>
            </w:tcMar>
            <w:hideMark/>
          </w:tcPr>
          <w:p w14:paraId="408AFE42" w14:textId="77777777" w:rsidR="00EF7E23" w:rsidRDefault="00EF7E23">
            <w:r>
              <w:rPr>
                <w:color w:val="000000"/>
                <w:sz w:val="18"/>
                <w:szCs w:val="18"/>
              </w:rPr>
              <w:t>Disagree</w:t>
            </w:r>
          </w:p>
        </w:tc>
        <w:tc>
          <w:tcPr>
            <w:tcW w:w="481" w:type="dxa"/>
            <w:tcBorders>
              <w:top w:val="nil"/>
              <w:left w:val="nil"/>
              <w:bottom w:val="single" w:sz="8" w:space="0" w:color="auto"/>
              <w:right w:val="single" w:sz="8" w:space="0" w:color="auto"/>
            </w:tcBorders>
            <w:tcMar>
              <w:top w:w="0" w:type="dxa"/>
              <w:left w:w="108" w:type="dxa"/>
              <w:bottom w:w="0" w:type="dxa"/>
              <w:right w:w="108" w:type="dxa"/>
            </w:tcMar>
            <w:hideMark/>
          </w:tcPr>
          <w:p w14:paraId="2F48F475" w14:textId="77777777" w:rsidR="00EF7E23" w:rsidRDefault="00EF7E23">
            <w:r>
              <w:t> </w:t>
            </w:r>
          </w:p>
        </w:tc>
        <w:tc>
          <w:tcPr>
            <w:tcW w:w="0" w:type="auto"/>
            <w:vMerge/>
            <w:tcBorders>
              <w:top w:val="nil"/>
              <w:left w:val="nil"/>
              <w:bottom w:val="single" w:sz="8" w:space="0" w:color="auto"/>
              <w:right w:val="single" w:sz="8" w:space="0" w:color="auto"/>
            </w:tcBorders>
            <w:vAlign w:val="center"/>
            <w:hideMark/>
          </w:tcPr>
          <w:p w14:paraId="1CD6F51D" w14:textId="77777777" w:rsidR="00EF7E23" w:rsidRDefault="00EF7E23"/>
        </w:tc>
      </w:tr>
      <w:tr w:rsidR="00EF7E23" w14:paraId="034BC1E3" w14:textId="77777777">
        <w:tc>
          <w:tcPr>
            <w:tcW w:w="1074" w:type="dxa"/>
            <w:tcBorders>
              <w:top w:val="nil"/>
              <w:left w:val="single" w:sz="8" w:space="0" w:color="auto"/>
              <w:bottom w:val="single" w:sz="8" w:space="0" w:color="auto"/>
              <w:right w:val="single" w:sz="8" w:space="0" w:color="auto"/>
            </w:tcBorders>
            <w:shd w:val="clear" w:color="auto" w:fill="D5DCE4"/>
            <w:tcMar>
              <w:top w:w="0" w:type="dxa"/>
              <w:left w:w="108" w:type="dxa"/>
              <w:bottom w:w="0" w:type="dxa"/>
              <w:right w:w="108" w:type="dxa"/>
            </w:tcMar>
            <w:hideMark/>
          </w:tcPr>
          <w:p w14:paraId="1ABC5D1E" w14:textId="77777777" w:rsidR="00EF7E23" w:rsidRDefault="00EF7E23">
            <w:r>
              <w:rPr>
                <w:color w:val="000000"/>
                <w:sz w:val="18"/>
                <w:szCs w:val="18"/>
              </w:rPr>
              <w:t>Strongly Disagree</w:t>
            </w:r>
          </w:p>
        </w:tc>
        <w:tc>
          <w:tcPr>
            <w:tcW w:w="481" w:type="dxa"/>
            <w:tcBorders>
              <w:top w:val="nil"/>
              <w:left w:val="nil"/>
              <w:bottom w:val="single" w:sz="8" w:space="0" w:color="auto"/>
              <w:right w:val="single" w:sz="8" w:space="0" w:color="auto"/>
            </w:tcBorders>
            <w:tcMar>
              <w:top w:w="0" w:type="dxa"/>
              <w:left w:w="108" w:type="dxa"/>
              <w:bottom w:w="0" w:type="dxa"/>
              <w:right w:w="108" w:type="dxa"/>
            </w:tcMar>
            <w:hideMark/>
          </w:tcPr>
          <w:p w14:paraId="474D0CC2" w14:textId="77777777" w:rsidR="00EF7E23" w:rsidRDefault="00EF7E23">
            <w:r>
              <w:t> </w:t>
            </w:r>
          </w:p>
        </w:tc>
        <w:tc>
          <w:tcPr>
            <w:tcW w:w="0" w:type="auto"/>
            <w:vMerge/>
            <w:tcBorders>
              <w:top w:val="nil"/>
              <w:left w:val="nil"/>
              <w:bottom w:val="single" w:sz="8" w:space="0" w:color="auto"/>
              <w:right w:val="single" w:sz="8" w:space="0" w:color="auto"/>
            </w:tcBorders>
            <w:vAlign w:val="center"/>
            <w:hideMark/>
          </w:tcPr>
          <w:p w14:paraId="71EF458A" w14:textId="77777777" w:rsidR="00EF7E23" w:rsidRDefault="00EF7E23"/>
        </w:tc>
      </w:tr>
    </w:tbl>
    <w:p w14:paraId="0C59D398" w14:textId="77777777" w:rsidR="00EF7E23" w:rsidRDefault="00EF7E23" w:rsidP="00EF7E23">
      <w:r>
        <w:rPr>
          <w:rFonts w:ascii="Verdana" w:hAnsi="Verdana"/>
          <w:sz w:val="18"/>
          <w:szCs w:val="18"/>
        </w:rPr>
        <w:lastRenderedPageBreak/>
        <w:t> </w:t>
      </w:r>
    </w:p>
    <w:p w14:paraId="6D17358D" w14:textId="77777777" w:rsidR="00EF7E23" w:rsidRDefault="00EF7E23" w:rsidP="00EF7E23">
      <w:pPr>
        <w:pStyle w:val="BodyText"/>
      </w:pPr>
      <w:r>
        <w:rPr>
          <w:rStyle w:val="Heading4Char"/>
          <w:rFonts w:ascii="Calibri" w:hAnsi="Calibri"/>
          <w:color w:val="4472C4"/>
          <w:sz w:val="24"/>
          <w:szCs w:val="24"/>
        </w:rPr>
        <w:t>Question 2:      Would you foresee this option as an enduring solution for the transitional phase ahead of a switch either to 100 per cent hydrogen, or alternative heat delivery vectors?</w:t>
      </w:r>
    </w:p>
    <w:tbl>
      <w:tblPr>
        <w:tblW w:w="0" w:type="auto"/>
        <w:tblCellMar>
          <w:left w:w="0" w:type="dxa"/>
          <w:right w:w="0" w:type="dxa"/>
        </w:tblCellMar>
        <w:tblLook w:val="04A0" w:firstRow="1" w:lastRow="0" w:firstColumn="1" w:lastColumn="0" w:noHBand="0" w:noVBand="1"/>
      </w:tblPr>
      <w:tblGrid>
        <w:gridCol w:w="1079"/>
        <w:gridCol w:w="503"/>
        <w:gridCol w:w="7424"/>
      </w:tblGrid>
      <w:tr w:rsidR="00EF7E23" w14:paraId="71D17018" w14:textId="77777777">
        <w:tc>
          <w:tcPr>
            <w:tcW w:w="1074" w:type="dxa"/>
            <w:tcBorders>
              <w:top w:val="single" w:sz="8" w:space="0" w:color="auto"/>
              <w:left w:val="single" w:sz="8" w:space="0" w:color="auto"/>
              <w:bottom w:val="single" w:sz="8" w:space="0" w:color="auto"/>
              <w:right w:val="single" w:sz="8" w:space="0" w:color="auto"/>
            </w:tcBorders>
            <w:shd w:val="clear" w:color="auto" w:fill="D5DCE4"/>
            <w:tcMar>
              <w:top w:w="0" w:type="dxa"/>
              <w:left w:w="108" w:type="dxa"/>
              <w:bottom w:w="0" w:type="dxa"/>
              <w:right w:w="108" w:type="dxa"/>
            </w:tcMar>
            <w:hideMark/>
          </w:tcPr>
          <w:p w14:paraId="2E6E500F" w14:textId="77777777" w:rsidR="00EF7E23" w:rsidRDefault="00EF7E23">
            <w:r>
              <w:rPr>
                <w:rFonts w:ascii="Verdana" w:hAnsi="Verdana"/>
                <w:sz w:val="18"/>
                <w:szCs w:val="18"/>
              </w:rPr>
              <w:t>Response</w:t>
            </w:r>
          </w:p>
        </w:tc>
        <w:tc>
          <w:tcPr>
            <w:tcW w:w="481" w:type="dxa"/>
            <w:tcBorders>
              <w:top w:val="single" w:sz="8" w:space="0" w:color="auto"/>
              <w:left w:val="nil"/>
              <w:bottom w:val="single" w:sz="8" w:space="0" w:color="auto"/>
              <w:right w:val="single" w:sz="8" w:space="0" w:color="auto"/>
            </w:tcBorders>
            <w:shd w:val="clear" w:color="auto" w:fill="D5DCE4"/>
            <w:tcMar>
              <w:top w:w="0" w:type="dxa"/>
              <w:left w:w="108" w:type="dxa"/>
              <w:bottom w:w="0" w:type="dxa"/>
              <w:right w:w="108" w:type="dxa"/>
            </w:tcMar>
            <w:hideMark/>
          </w:tcPr>
          <w:p w14:paraId="59022517" w14:textId="77777777" w:rsidR="00EF7E23" w:rsidRDefault="00EF7E23">
            <w:r>
              <w:rPr>
                <w:rFonts w:ascii="Verdana" w:hAnsi="Verdana"/>
                <w:color w:val="000000"/>
                <w:sz w:val="18"/>
                <w:szCs w:val="18"/>
              </w:rPr>
              <w:t>(X)</w:t>
            </w:r>
          </w:p>
        </w:tc>
        <w:tc>
          <w:tcPr>
            <w:tcW w:w="7461" w:type="dxa"/>
            <w:tcBorders>
              <w:top w:val="single" w:sz="8" w:space="0" w:color="auto"/>
              <w:left w:val="nil"/>
              <w:bottom w:val="single" w:sz="8" w:space="0" w:color="auto"/>
              <w:right w:val="single" w:sz="8" w:space="0" w:color="auto"/>
            </w:tcBorders>
            <w:shd w:val="clear" w:color="auto" w:fill="D5DCE4"/>
            <w:tcMar>
              <w:top w:w="0" w:type="dxa"/>
              <w:left w:w="108" w:type="dxa"/>
              <w:bottom w:w="0" w:type="dxa"/>
              <w:right w:w="108" w:type="dxa"/>
            </w:tcMar>
            <w:hideMark/>
          </w:tcPr>
          <w:p w14:paraId="4255D4CC" w14:textId="77777777" w:rsidR="00EF7E23" w:rsidRDefault="00EF7E23">
            <w:r>
              <w:rPr>
                <w:color w:val="000000"/>
              </w:rPr>
              <w:t>Please explain the reasoning for your response in this section.</w:t>
            </w:r>
          </w:p>
        </w:tc>
      </w:tr>
      <w:tr w:rsidR="00EF7E23" w14:paraId="1D7D27FA" w14:textId="77777777">
        <w:tc>
          <w:tcPr>
            <w:tcW w:w="1074" w:type="dxa"/>
            <w:tcBorders>
              <w:top w:val="nil"/>
              <w:left w:val="single" w:sz="8" w:space="0" w:color="auto"/>
              <w:bottom w:val="single" w:sz="8" w:space="0" w:color="auto"/>
              <w:right w:val="single" w:sz="8" w:space="0" w:color="auto"/>
            </w:tcBorders>
            <w:shd w:val="clear" w:color="auto" w:fill="D5DCE4"/>
            <w:tcMar>
              <w:top w:w="0" w:type="dxa"/>
              <w:left w:w="108" w:type="dxa"/>
              <w:bottom w:w="0" w:type="dxa"/>
              <w:right w:w="108" w:type="dxa"/>
            </w:tcMar>
            <w:hideMark/>
          </w:tcPr>
          <w:p w14:paraId="0AC64EB2" w14:textId="77777777" w:rsidR="00EF7E23" w:rsidRDefault="00EF7E23">
            <w:r>
              <w:rPr>
                <w:rFonts w:ascii="Verdana" w:hAnsi="Verdana"/>
                <w:color w:val="000000"/>
                <w:sz w:val="18"/>
                <w:szCs w:val="18"/>
              </w:rPr>
              <w:t>Yes</w:t>
            </w:r>
          </w:p>
        </w:tc>
        <w:tc>
          <w:tcPr>
            <w:tcW w:w="481" w:type="dxa"/>
            <w:tcBorders>
              <w:top w:val="nil"/>
              <w:left w:val="nil"/>
              <w:bottom w:val="single" w:sz="8" w:space="0" w:color="auto"/>
              <w:right w:val="single" w:sz="8" w:space="0" w:color="auto"/>
            </w:tcBorders>
            <w:tcMar>
              <w:top w:w="0" w:type="dxa"/>
              <w:left w:w="108" w:type="dxa"/>
              <w:bottom w:w="0" w:type="dxa"/>
              <w:right w:w="108" w:type="dxa"/>
            </w:tcMar>
            <w:hideMark/>
          </w:tcPr>
          <w:p w14:paraId="74C5AD72" w14:textId="77777777" w:rsidR="00EF7E23" w:rsidRDefault="00EF7E23">
            <w:r>
              <w:rPr>
                <w:rFonts w:ascii="Verdana" w:hAnsi="Verdana"/>
                <w:sz w:val="18"/>
                <w:szCs w:val="18"/>
              </w:rPr>
              <w:t> </w:t>
            </w:r>
          </w:p>
        </w:tc>
        <w:tc>
          <w:tcPr>
            <w:tcW w:w="7461"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05EB29E5" w14:textId="37B887C6" w:rsidR="00A06129" w:rsidRDefault="00EF7E23" w:rsidP="00A06129">
            <w:r w:rsidRPr="00A06129">
              <w:t> </w:t>
            </w:r>
            <w:r w:rsidR="00A06129" w:rsidRPr="00A06129">
              <w:t xml:space="preserve">As highlighted above, </w:t>
            </w:r>
            <w:r w:rsidR="00A06129">
              <w:t xml:space="preserve">we believe this is an interim solution to </w:t>
            </w:r>
            <w:r w:rsidR="00A06129" w:rsidRPr="00A06129">
              <w:t>get started on decarbonisation via controlled blending of green gases</w:t>
            </w:r>
            <w:r w:rsidR="00B27BA7">
              <w:t xml:space="preserve">, however it must not be an excuse to delay the implementation of the best identified approaches. </w:t>
            </w:r>
          </w:p>
          <w:p w14:paraId="3D3D7772" w14:textId="6F3AC455" w:rsidR="003E0CFF" w:rsidRDefault="003E0CFF" w:rsidP="00A06129"/>
          <w:p w14:paraId="41CAC281" w14:textId="7F1EA87D" w:rsidR="003E0CFF" w:rsidRDefault="003D3054" w:rsidP="00A06129">
            <w:r>
              <w:t>In addition, it is unlikely or very uncertain at this stage whether</w:t>
            </w:r>
            <w:r w:rsidR="003E0CFF">
              <w:t xml:space="preserve"> </w:t>
            </w:r>
            <w:r w:rsidR="003E0CFF">
              <w:t>all</w:t>
            </w:r>
            <w:r w:rsidR="003E0CFF">
              <w:t xml:space="preserve"> parts of the network will </w:t>
            </w:r>
            <w:r>
              <w:t xml:space="preserve">move to </w:t>
            </w:r>
            <w:r w:rsidR="003E0CFF">
              <w:t xml:space="preserve">100% </w:t>
            </w:r>
            <w:r>
              <w:t>hydrogen or alternative heat delivery vectors</w:t>
            </w:r>
            <w:r w:rsidR="003E0CFF">
              <w:t>, or</w:t>
            </w:r>
            <w:r>
              <w:t>, if</w:t>
            </w:r>
            <w:r w:rsidR="003E0CFF">
              <w:t xml:space="preserve"> </w:t>
            </w:r>
            <w:r w:rsidR="003F4ECF">
              <w:t>this happens, in won’t be for a long time</w:t>
            </w:r>
            <w:r w:rsidR="003E0CFF">
              <w:t>. So</w:t>
            </w:r>
            <w:r w:rsidR="003F4ECF">
              <w:t xml:space="preserve">, </w:t>
            </w:r>
            <w:r>
              <w:t>it</w:t>
            </w:r>
            <w:r w:rsidR="003E0CFF">
              <w:t xml:space="preserve"> make</w:t>
            </w:r>
            <w:r>
              <w:t>s</w:t>
            </w:r>
            <w:r w:rsidR="003E0CFF">
              <w:t xml:space="preserve"> more sense </w:t>
            </w:r>
            <w:r>
              <w:t xml:space="preserve">at this stage </w:t>
            </w:r>
            <w:r w:rsidR="003E0CFF">
              <w:t>to a</w:t>
            </w:r>
            <w:r>
              <w:t>ssume</w:t>
            </w:r>
            <w:r w:rsidR="003E0CFF">
              <w:t xml:space="preserve"> </w:t>
            </w:r>
            <w:r>
              <w:t xml:space="preserve">that </w:t>
            </w:r>
            <w:r w:rsidR="003E0CFF">
              <w:t xml:space="preserve">we are moving to a </w:t>
            </w:r>
            <w:r>
              <w:t>situation</w:t>
            </w:r>
            <w:r w:rsidR="003E0CFF">
              <w:t xml:space="preserve"> in which the long-term gas in the network is a mix of different gases</w:t>
            </w:r>
            <w:r>
              <w:t xml:space="preserve"> and ensure the solutions in place can accommodate this and are swiftly implemented. </w:t>
            </w:r>
          </w:p>
          <w:p w14:paraId="16756CA2" w14:textId="77777777" w:rsidR="003E0CFF" w:rsidRPr="00A06129" w:rsidRDefault="003E0CFF" w:rsidP="00A06129"/>
          <w:p w14:paraId="5E9BE3C0" w14:textId="29B2F728" w:rsidR="00EF7E23" w:rsidRDefault="00EF7E23"/>
        </w:tc>
      </w:tr>
      <w:tr w:rsidR="00EF7E23" w14:paraId="4FADAE95" w14:textId="77777777">
        <w:tc>
          <w:tcPr>
            <w:tcW w:w="1074" w:type="dxa"/>
            <w:tcBorders>
              <w:top w:val="nil"/>
              <w:left w:val="single" w:sz="8" w:space="0" w:color="auto"/>
              <w:bottom w:val="single" w:sz="8" w:space="0" w:color="auto"/>
              <w:right w:val="single" w:sz="8" w:space="0" w:color="auto"/>
            </w:tcBorders>
            <w:shd w:val="clear" w:color="auto" w:fill="D5DCE4"/>
            <w:tcMar>
              <w:top w:w="0" w:type="dxa"/>
              <w:left w:w="108" w:type="dxa"/>
              <w:bottom w:w="0" w:type="dxa"/>
              <w:right w:w="108" w:type="dxa"/>
            </w:tcMar>
            <w:hideMark/>
          </w:tcPr>
          <w:p w14:paraId="65735286" w14:textId="77777777" w:rsidR="00EF7E23" w:rsidRDefault="00EF7E23">
            <w:r>
              <w:rPr>
                <w:rFonts w:ascii="Verdana" w:hAnsi="Verdana"/>
                <w:color w:val="000000"/>
                <w:sz w:val="18"/>
                <w:szCs w:val="18"/>
              </w:rPr>
              <w:t>No</w:t>
            </w:r>
          </w:p>
        </w:tc>
        <w:tc>
          <w:tcPr>
            <w:tcW w:w="481" w:type="dxa"/>
            <w:tcBorders>
              <w:top w:val="nil"/>
              <w:left w:val="nil"/>
              <w:bottom w:val="single" w:sz="8" w:space="0" w:color="auto"/>
              <w:right w:val="single" w:sz="8" w:space="0" w:color="auto"/>
            </w:tcBorders>
            <w:tcMar>
              <w:top w:w="0" w:type="dxa"/>
              <w:left w:w="108" w:type="dxa"/>
              <w:bottom w:w="0" w:type="dxa"/>
              <w:right w:w="108" w:type="dxa"/>
            </w:tcMar>
            <w:hideMark/>
          </w:tcPr>
          <w:p w14:paraId="1431BB12" w14:textId="4D22C60D" w:rsidR="00EF7E23" w:rsidRDefault="00EF7E23">
            <w:r>
              <w:rPr>
                <w:rFonts w:ascii="Verdana" w:hAnsi="Verdana"/>
                <w:sz w:val="18"/>
                <w:szCs w:val="18"/>
              </w:rPr>
              <w:t> </w:t>
            </w:r>
            <w:r w:rsidR="00A06129">
              <w:rPr>
                <w:rFonts w:ascii="Verdana" w:hAnsi="Verdana"/>
                <w:sz w:val="18"/>
                <w:szCs w:val="18"/>
              </w:rPr>
              <w:t>X</w:t>
            </w:r>
          </w:p>
        </w:tc>
        <w:tc>
          <w:tcPr>
            <w:tcW w:w="0" w:type="auto"/>
            <w:vMerge/>
            <w:tcBorders>
              <w:top w:val="nil"/>
              <w:left w:val="nil"/>
              <w:bottom w:val="single" w:sz="8" w:space="0" w:color="auto"/>
              <w:right w:val="single" w:sz="8" w:space="0" w:color="auto"/>
            </w:tcBorders>
            <w:vAlign w:val="center"/>
            <w:hideMark/>
          </w:tcPr>
          <w:p w14:paraId="52E25397" w14:textId="77777777" w:rsidR="00EF7E23" w:rsidRDefault="00EF7E23"/>
        </w:tc>
      </w:tr>
    </w:tbl>
    <w:p w14:paraId="550F6517" w14:textId="77777777" w:rsidR="00EF7E23" w:rsidRDefault="00EF7E23" w:rsidP="00EF7E23">
      <w:r>
        <w:t> </w:t>
      </w:r>
    </w:p>
    <w:p w14:paraId="4AA610D3" w14:textId="77777777" w:rsidR="00EF7E23" w:rsidRDefault="00EF7E23" w:rsidP="00EF7E23">
      <w:r>
        <w:t> </w:t>
      </w:r>
    </w:p>
    <w:p w14:paraId="5FE056F3" w14:textId="77777777" w:rsidR="00EF7E23" w:rsidRDefault="00EF7E23" w:rsidP="00EF7E23">
      <w:r>
        <w:rPr>
          <w:rStyle w:val="Heading4Char"/>
          <w:rFonts w:ascii="Calibri" w:hAnsi="Calibri"/>
          <w:color w:val="000000"/>
          <w:sz w:val="24"/>
          <w:szCs w:val="24"/>
        </w:rPr>
        <w:t>Statement 2 – Option C: Online CV Modelling</w:t>
      </w:r>
    </w:p>
    <w:p w14:paraId="3C74A27C" w14:textId="77777777" w:rsidR="00EF7E23" w:rsidRDefault="00EF7E23" w:rsidP="00EF7E23">
      <w:r>
        <w:rPr>
          <w:b/>
          <w:bCs/>
        </w:rPr>
        <w:t>This option could enable one consistent methodology for attributing gas CV for billing across the range of potential gas transition scenarios. This would include hydrogen blending both on “minority energy flow” and “majority energy flow” bases, together with un-enriched biomethane. If proved robust, this option could present an improved attribution of billable energy to consumers, reducing the level of cross-subsidy experienced under the existing LDZ FWACV regime.</w:t>
      </w:r>
    </w:p>
    <w:p w14:paraId="618A52B3" w14:textId="77777777" w:rsidR="00EF7E23" w:rsidRDefault="00EF7E23" w:rsidP="00EF7E23">
      <w:pPr>
        <w:pStyle w:val="BodyText"/>
      </w:pPr>
      <w:r>
        <w:rPr>
          <w:rStyle w:val="Heading4Char"/>
          <w:rFonts w:ascii="Calibri" w:hAnsi="Calibri"/>
          <w:color w:val="4472C4"/>
          <w:sz w:val="24"/>
          <w:szCs w:val="24"/>
        </w:rPr>
        <w:t>Question 3:      Do you agree with statement 2?</w:t>
      </w:r>
    </w:p>
    <w:tbl>
      <w:tblPr>
        <w:tblW w:w="0" w:type="auto"/>
        <w:tblCellMar>
          <w:left w:w="0" w:type="dxa"/>
          <w:right w:w="0" w:type="dxa"/>
        </w:tblCellMar>
        <w:tblLook w:val="04A0" w:firstRow="1" w:lastRow="0" w:firstColumn="1" w:lastColumn="0" w:noHBand="0" w:noVBand="1"/>
      </w:tblPr>
      <w:tblGrid>
        <w:gridCol w:w="1128"/>
        <w:gridCol w:w="503"/>
        <w:gridCol w:w="7375"/>
      </w:tblGrid>
      <w:tr w:rsidR="00EF7E23" w14:paraId="1FBB5A5D" w14:textId="77777777">
        <w:tc>
          <w:tcPr>
            <w:tcW w:w="1128" w:type="dxa"/>
            <w:tcBorders>
              <w:top w:val="single" w:sz="8" w:space="0" w:color="auto"/>
              <w:left w:val="single" w:sz="8" w:space="0" w:color="auto"/>
              <w:bottom w:val="single" w:sz="8" w:space="0" w:color="auto"/>
              <w:right w:val="single" w:sz="8" w:space="0" w:color="auto"/>
            </w:tcBorders>
            <w:shd w:val="clear" w:color="auto" w:fill="D5DCE4"/>
            <w:tcMar>
              <w:top w:w="0" w:type="dxa"/>
              <w:left w:w="108" w:type="dxa"/>
              <w:bottom w:w="0" w:type="dxa"/>
              <w:right w:w="108" w:type="dxa"/>
            </w:tcMar>
            <w:hideMark/>
          </w:tcPr>
          <w:p w14:paraId="12938D33" w14:textId="77777777" w:rsidR="00EF7E23" w:rsidRDefault="00EF7E23">
            <w:pPr>
              <w:jc w:val="center"/>
            </w:pPr>
            <w:r>
              <w:t>Response</w:t>
            </w:r>
          </w:p>
        </w:tc>
        <w:tc>
          <w:tcPr>
            <w:tcW w:w="503" w:type="dxa"/>
            <w:tcBorders>
              <w:top w:val="single" w:sz="8" w:space="0" w:color="auto"/>
              <w:left w:val="nil"/>
              <w:bottom w:val="single" w:sz="8" w:space="0" w:color="auto"/>
              <w:right w:val="single" w:sz="8" w:space="0" w:color="auto"/>
            </w:tcBorders>
            <w:shd w:val="clear" w:color="auto" w:fill="D5DCE4"/>
            <w:tcMar>
              <w:top w:w="0" w:type="dxa"/>
              <w:left w:w="108" w:type="dxa"/>
              <w:bottom w:w="0" w:type="dxa"/>
              <w:right w:w="108" w:type="dxa"/>
            </w:tcMar>
            <w:hideMark/>
          </w:tcPr>
          <w:p w14:paraId="419C8DC8" w14:textId="77777777" w:rsidR="00EF7E23" w:rsidRDefault="00EF7E23">
            <w:r>
              <w:rPr>
                <w:color w:val="000000"/>
              </w:rPr>
              <w:t>(X)</w:t>
            </w:r>
          </w:p>
        </w:tc>
        <w:tc>
          <w:tcPr>
            <w:tcW w:w="7385" w:type="dxa"/>
            <w:tcBorders>
              <w:top w:val="single" w:sz="8" w:space="0" w:color="auto"/>
              <w:left w:val="nil"/>
              <w:bottom w:val="single" w:sz="8" w:space="0" w:color="auto"/>
              <w:right w:val="single" w:sz="8" w:space="0" w:color="auto"/>
            </w:tcBorders>
            <w:shd w:val="clear" w:color="auto" w:fill="D5DCE4"/>
            <w:tcMar>
              <w:top w:w="0" w:type="dxa"/>
              <w:left w:w="108" w:type="dxa"/>
              <w:bottom w:w="0" w:type="dxa"/>
              <w:right w:w="108" w:type="dxa"/>
            </w:tcMar>
            <w:hideMark/>
          </w:tcPr>
          <w:p w14:paraId="2DF80A99" w14:textId="77777777" w:rsidR="00EF7E23" w:rsidRDefault="00EF7E23">
            <w:r>
              <w:rPr>
                <w:color w:val="000000"/>
              </w:rPr>
              <w:t>Please explain the reasoning for your response in this section.</w:t>
            </w:r>
          </w:p>
        </w:tc>
      </w:tr>
      <w:tr w:rsidR="00EF7E23" w14:paraId="3EF6BAB4" w14:textId="77777777">
        <w:tc>
          <w:tcPr>
            <w:tcW w:w="1128" w:type="dxa"/>
            <w:tcBorders>
              <w:top w:val="nil"/>
              <w:left w:val="single" w:sz="8" w:space="0" w:color="auto"/>
              <w:bottom w:val="single" w:sz="8" w:space="0" w:color="auto"/>
              <w:right w:val="single" w:sz="8" w:space="0" w:color="auto"/>
            </w:tcBorders>
            <w:shd w:val="clear" w:color="auto" w:fill="D5DCE4"/>
            <w:tcMar>
              <w:top w:w="0" w:type="dxa"/>
              <w:left w:w="108" w:type="dxa"/>
              <w:bottom w:w="0" w:type="dxa"/>
              <w:right w:w="108" w:type="dxa"/>
            </w:tcMar>
            <w:hideMark/>
          </w:tcPr>
          <w:p w14:paraId="71865FE6" w14:textId="77777777" w:rsidR="00EF7E23" w:rsidRDefault="00EF7E23">
            <w:r>
              <w:rPr>
                <w:color w:val="000000"/>
                <w:sz w:val="18"/>
                <w:szCs w:val="18"/>
              </w:rPr>
              <w:t>Strongly Agree</w:t>
            </w:r>
          </w:p>
        </w:tc>
        <w:tc>
          <w:tcPr>
            <w:tcW w:w="503" w:type="dxa"/>
            <w:tcBorders>
              <w:top w:val="nil"/>
              <w:left w:val="nil"/>
              <w:bottom w:val="single" w:sz="8" w:space="0" w:color="auto"/>
              <w:right w:val="single" w:sz="8" w:space="0" w:color="auto"/>
            </w:tcBorders>
            <w:tcMar>
              <w:top w:w="0" w:type="dxa"/>
              <w:left w:w="108" w:type="dxa"/>
              <w:bottom w:w="0" w:type="dxa"/>
              <w:right w:w="108" w:type="dxa"/>
            </w:tcMar>
            <w:hideMark/>
          </w:tcPr>
          <w:p w14:paraId="4B19EAA6" w14:textId="77777777" w:rsidR="00EF7E23" w:rsidRDefault="00EF7E23">
            <w:r>
              <w:t> </w:t>
            </w:r>
          </w:p>
        </w:tc>
        <w:tc>
          <w:tcPr>
            <w:tcW w:w="738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7BDA6B6A" w14:textId="77777777" w:rsidR="00EF7E23" w:rsidRDefault="00EF7E23">
            <w:r>
              <w:t> </w:t>
            </w:r>
            <w:r w:rsidR="00B27BA7">
              <w:t xml:space="preserve">We see this option as the best one and more cost effective in the long term. As highlighted above, it is important that this is swiftly progressed and that the </w:t>
            </w:r>
            <w:r w:rsidR="005627F0">
              <w:t xml:space="preserve">Gas Calculations of Thermal Energy Regulations to </w:t>
            </w:r>
            <w:r w:rsidR="00B27BA7">
              <w:t xml:space="preserve">accommodate it. </w:t>
            </w:r>
          </w:p>
          <w:p w14:paraId="3C4BB1F4" w14:textId="14B1C7EF" w:rsidR="00A016FD" w:rsidRDefault="00A016FD">
            <w:r>
              <w:t>This option would need regular, periodic validation with meter</w:t>
            </w:r>
            <w:r w:rsidR="007E5E50">
              <w:t>ing</w:t>
            </w:r>
            <w:r>
              <w:t xml:space="preserve"> data to ensure it </w:t>
            </w:r>
            <w:r w:rsidR="007E5E50">
              <w:t>remains fit for purpose</w:t>
            </w:r>
            <w:r>
              <w:t xml:space="preserve">. </w:t>
            </w:r>
          </w:p>
        </w:tc>
      </w:tr>
      <w:tr w:rsidR="00EF7E23" w14:paraId="1D76C3FC" w14:textId="77777777">
        <w:tc>
          <w:tcPr>
            <w:tcW w:w="1128" w:type="dxa"/>
            <w:tcBorders>
              <w:top w:val="nil"/>
              <w:left w:val="single" w:sz="8" w:space="0" w:color="auto"/>
              <w:bottom w:val="single" w:sz="8" w:space="0" w:color="auto"/>
              <w:right w:val="single" w:sz="8" w:space="0" w:color="auto"/>
            </w:tcBorders>
            <w:shd w:val="clear" w:color="auto" w:fill="D5DCE4"/>
            <w:tcMar>
              <w:top w:w="0" w:type="dxa"/>
              <w:left w:w="108" w:type="dxa"/>
              <w:bottom w:w="0" w:type="dxa"/>
              <w:right w:w="108" w:type="dxa"/>
            </w:tcMar>
            <w:hideMark/>
          </w:tcPr>
          <w:p w14:paraId="1A6555CC" w14:textId="77777777" w:rsidR="00EF7E23" w:rsidRDefault="00EF7E23">
            <w:r>
              <w:rPr>
                <w:color w:val="000000"/>
                <w:sz w:val="18"/>
                <w:szCs w:val="18"/>
              </w:rPr>
              <w:t>Agree</w:t>
            </w:r>
          </w:p>
        </w:tc>
        <w:tc>
          <w:tcPr>
            <w:tcW w:w="503" w:type="dxa"/>
            <w:tcBorders>
              <w:top w:val="nil"/>
              <w:left w:val="nil"/>
              <w:bottom w:val="single" w:sz="8" w:space="0" w:color="auto"/>
              <w:right w:val="single" w:sz="8" w:space="0" w:color="auto"/>
            </w:tcBorders>
            <w:tcMar>
              <w:top w:w="0" w:type="dxa"/>
              <w:left w:w="108" w:type="dxa"/>
              <w:bottom w:w="0" w:type="dxa"/>
              <w:right w:w="108" w:type="dxa"/>
            </w:tcMar>
            <w:hideMark/>
          </w:tcPr>
          <w:p w14:paraId="3C9934BF" w14:textId="08E8B0E5" w:rsidR="00EF7E23" w:rsidRDefault="00EF7E23">
            <w:r>
              <w:t> </w:t>
            </w:r>
            <w:r w:rsidR="002030AD">
              <w:t>X</w:t>
            </w:r>
          </w:p>
        </w:tc>
        <w:tc>
          <w:tcPr>
            <w:tcW w:w="0" w:type="auto"/>
            <w:vMerge/>
            <w:tcBorders>
              <w:top w:val="nil"/>
              <w:left w:val="nil"/>
              <w:bottom w:val="single" w:sz="8" w:space="0" w:color="auto"/>
              <w:right w:val="single" w:sz="8" w:space="0" w:color="auto"/>
            </w:tcBorders>
            <w:vAlign w:val="center"/>
            <w:hideMark/>
          </w:tcPr>
          <w:p w14:paraId="5C8961B8" w14:textId="77777777" w:rsidR="00EF7E23" w:rsidRDefault="00EF7E23"/>
        </w:tc>
      </w:tr>
      <w:tr w:rsidR="00EF7E23" w14:paraId="78618A15" w14:textId="77777777">
        <w:tc>
          <w:tcPr>
            <w:tcW w:w="1128" w:type="dxa"/>
            <w:tcBorders>
              <w:top w:val="nil"/>
              <w:left w:val="single" w:sz="8" w:space="0" w:color="auto"/>
              <w:bottom w:val="single" w:sz="8" w:space="0" w:color="auto"/>
              <w:right w:val="single" w:sz="8" w:space="0" w:color="auto"/>
            </w:tcBorders>
            <w:shd w:val="clear" w:color="auto" w:fill="D5DCE4"/>
            <w:tcMar>
              <w:top w:w="0" w:type="dxa"/>
              <w:left w:w="108" w:type="dxa"/>
              <w:bottom w:w="0" w:type="dxa"/>
              <w:right w:w="108" w:type="dxa"/>
            </w:tcMar>
            <w:hideMark/>
          </w:tcPr>
          <w:p w14:paraId="704962DA" w14:textId="77777777" w:rsidR="00EF7E23" w:rsidRDefault="00EF7E23">
            <w:r>
              <w:rPr>
                <w:color w:val="000000"/>
                <w:sz w:val="18"/>
                <w:szCs w:val="18"/>
              </w:rPr>
              <w:t>Neither</w:t>
            </w:r>
          </w:p>
        </w:tc>
        <w:tc>
          <w:tcPr>
            <w:tcW w:w="503" w:type="dxa"/>
            <w:tcBorders>
              <w:top w:val="nil"/>
              <w:left w:val="nil"/>
              <w:bottom w:val="single" w:sz="8" w:space="0" w:color="auto"/>
              <w:right w:val="single" w:sz="8" w:space="0" w:color="auto"/>
            </w:tcBorders>
            <w:tcMar>
              <w:top w:w="0" w:type="dxa"/>
              <w:left w:w="108" w:type="dxa"/>
              <w:bottom w:w="0" w:type="dxa"/>
              <w:right w:w="108" w:type="dxa"/>
            </w:tcMar>
            <w:hideMark/>
          </w:tcPr>
          <w:p w14:paraId="4A6229E6" w14:textId="77777777" w:rsidR="00EF7E23" w:rsidRDefault="00EF7E23">
            <w:r>
              <w:t> </w:t>
            </w:r>
          </w:p>
        </w:tc>
        <w:tc>
          <w:tcPr>
            <w:tcW w:w="0" w:type="auto"/>
            <w:vMerge/>
            <w:tcBorders>
              <w:top w:val="nil"/>
              <w:left w:val="nil"/>
              <w:bottom w:val="single" w:sz="8" w:space="0" w:color="auto"/>
              <w:right w:val="single" w:sz="8" w:space="0" w:color="auto"/>
            </w:tcBorders>
            <w:vAlign w:val="center"/>
            <w:hideMark/>
          </w:tcPr>
          <w:p w14:paraId="32EE3B31" w14:textId="77777777" w:rsidR="00EF7E23" w:rsidRDefault="00EF7E23"/>
        </w:tc>
      </w:tr>
      <w:tr w:rsidR="00EF7E23" w14:paraId="1953A06A" w14:textId="77777777">
        <w:tc>
          <w:tcPr>
            <w:tcW w:w="1128" w:type="dxa"/>
            <w:tcBorders>
              <w:top w:val="nil"/>
              <w:left w:val="single" w:sz="8" w:space="0" w:color="auto"/>
              <w:bottom w:val="single" w:sz="8" w:space="0" w:color="auto"/>
              <w:right w:val="single" w:sz="8" w:space="0" w:color="auto"/>
            </w:tcBorders>
            <w:shd w:val="clear" w:color="auto" w:fill="D5DCE4"/>
            <w:tcMar>
              <w:top w:w="0" w:type="dxa"/>
              <w:left w:w="108" w:type="dxa"/>
              <w:bottom w:w="0" w:type="dxa"/>
              <w:right w:w="108" w:type="dxa"/>
            </w:tcMar>
            <w:hideMark/>
          </w:tcPr>
          <w:p w14:paraId="50FB4C2D" w14:textId="77777777" w:rsidR="00EF7E23" w:rsidRDefault="00EF7E23">
            <w:r>
              <w:rPr>
                <w:color w:val="000000"/>
                <w:sz w:val="18"/>
                <w:szCs w:val="18"/>
              </w:rPr>
              <w:t>Disagree</w:t>
            </w:r>
          </w:p>
        </w:tc>
        <w:tc>
          <w:tcPr>
            <w:tcW w:w="503" w:type="dxa"/>
            <w:tcBorders>
              <w:top w:val="nil"/>
              <w:left w:val="nil"/>
              <w:bottom w:val="single" w:sz="8" w:space="0" w:color="auto"/>
              <w:right w:val="single" w:sz="8" w:space="0" w:color="auto"/>
            </w:tcBorders>
            <w:tcMar>
              <w:top w:w="0" w:type="dxa"/>
              <w:left w:w="108" w:type="dxa"/>
              <w:bottom w:w="0" w:type="dxa"/>
              <w:right w:w="108" w:type="dxa"/>
            </w:tcMar>
            <w:hideMark/>
          </w:tcPr>
          <w:p w14:paraId="53A640A0" w14:textId="77777777" w:rsidR="00EF7E23" w:rsidRDefault="00EF7E23">
            <w:r>
              <w:t> </w:t>
            </w:r>
          </w:p>
        </w:tc>
        <w:tc>
          <w:tcPr>
            <w:tcW w:w="0" w:type="auto"/>
            <w:vMerge/>
            <w:tcBorders>
              <w:top w:val="nil"/>
              <w:left w:val="nil"/>
              <w:bottom w:val="single" w:sz="8" w:space="0" w:color="auto"/>
              <w:right w:val="single" w:sz="8" w:space="0" w:color="auto"/>
            </w:tcBorders>
            <w:vAlign w:val="center"/>
            <w:hideMark/>
          </w:tcPr>
          <w:p w14:paraId="2C0A11A5" w14:textId="77777777" w:rsidR="00EF7E23" w:rsidRDefault="00EF7E23"/>
        </w:tc>
      </w:tr>
      <w:tr w:rsidR="00EF7E23" w14:paraId="0DD9BA94" w14:textId="77777777">
        <w:tc>
          <w:tcPr>
            <w:tcW w:w="1128" w:type="dxa"/>
            <w:tcBorders>
              <w:top w:val="nil"/>
              <w:left w:val="single" w:sz="8" w:space="0" w:color="auto"/>
              <w:bottom w:val="single" w:sz="8" w:space="0" w:color="auto"/>
              <w:right w:val="single" w:sz="8" w:space="0" w:color="auto"/>
            </w:tcBorders>
            <w:shd w:val="clear" w:color="auto" w:fill="D5DCE4"/>
            <w:tcMar>
              <w:top w:w="0" w:type="dxa"/>
              <w:left w:w="108" w:type="dxa"/>
              <w:bottom w:w="0" w:type="dxa"/>
              <w:right w:w="108" w:type="dxa"/>
            </w:tcMar>
            <w:hideMark/>
          </w:tcPr>
          <w:p w14:paraId="383DC233" w14:textId="77777777" w:rsidR="00EF7E23" w:rsidRDefault="00EF7E23">
            <w:r>
              <w:rPr>
                <w:color w:val="000000"/>
                <w:sz w:val="18"/>
                <w:szCs w:val="18"/>
              </w:rPr>
              <w:t>Strongly Disagree</w:t>
            </w:r>
          </w:p>
        </w:tc>
        <w:tc>
          <w:tcPr>
            <w:tcW w:w="503" w:type="dxa"/>
            <w:tcBorders>
              <w:top w:val="nil"/>
              <w:left w:val="nil"/>
              <w:bottom w:val="single" w:sz="8" w:space="0" w:color="auto"/>
              <w:right w:val="single" w:sz="8" w:space="0" w:color="auto"/>
            </w:tcBorders>
            <w:tcMar>
              <w:top w:w="0" w:type="dxa"/>
              <w:left w:w="108" w:type="dxa"/>
              <w:bottom w:w="0" w:type="dxa"/>
              <w:right w:w="108" w:type="dxa"/>
            </w:tcMar>
            <w:hideMark/>
          </w:tcPr>
          <w:p w14:paraId="344FE124" w14:textId="77777777" w:rsidR="00EF7E23" w:rsidRDefault="00EF7E23">
            <w:r>
              <w:t> </w:t>
            </w:r>
          </w:p>
        </w:tc>
        <w:tc>
          <w:tcPr>
            <w:tcW w:w="0" w:type="auto"/>
            <w:vMerge/>
            <w:tcBorders>
              <w:top w:val="nil"/>
              <w:left w:val="nil"/>
              <w:bottom w:val="single" w:sz="8" w:space="0" w:color="auto"/>
              <w:right w:val="single" w:sz="8" w:space="0" w:color="auto"/>
            </w:tcBorders>
            <w:vAlign w:val="center"/>
            <w:hideMark/>
          </w:tcPr>
          <w:p w14:paraId="777CE7E9" w14:textId="77777777" w:rsidR="00EF7E23" w:rsidRDefault="00EF7E23"/>
        </w:tc>
      </w:tr>
    </w:tbl>
    <w:p w14:paraId="74D766A7" w14:textId="77777777" w:rsidR="00EF7E23" w:rsidRDefault="00EF7E23" w:rsidP="00EF7E23">
      <w:r>
        <w:rPr>
          <w:sz w:val="18"/>
          <w:szCs w:val="18"/>
        </w:rPr>
        <w:t> </w:t>
      </w:r>
    </w:p>
    <w:p w14:paraId="0689F8ED" w14:textId="77777777" w:rsidR="00EF7E23" w:rsidRDefault="00EF7E23" w:rsidP="00EF7E23">
      <w:pPr>
        <w:pStyle w:val="BodyText"/>
      </w:pPr>
      <w:r>
        <w:rPr>
          <w:rStyle w:val="Heading4Char"/>
          <w:rFonts w:ascii="Calibri" w:hAnsi="Calibri"/>
          <w:color w:val="4472C4"/>
          <w:sz w:val="24"/>
          <w:szCs w:val="24"/>
        </w:rPr>
        <w:t>Question 4:      Would you support progressing work on a detailed feasibility assessment to deliver Option C Online CV Modelling?</w:t>
      </w:r>
    </w:p>
    <w:tbl>
      <w:tblPr>
        <w:tblW w:w="0" w:type="auto"/>
        <w:tblCellMar>
          <w:left w:w="0" w:type="dxa"/>
          <w:right w:w="0" w:type="dxa"/>
        </w:tblCellMar>
        <w:tblLook w:val="04A0" w:firstRow="1" w:lastRow="0" w:firstColumn="1" w:lastColumn="0" w:noHBand="0" w:noVBand="1"/>
      </w:tblPr>
      <w:tblGrid>
        <w:gridCol w:w="1128"/>
        <w:gridCol w:w="503"/>
        <w:gridCol w:w="7375"/>
      </w:tblGrid>
      <w:tr w:rsidR="00EF7E23" w14:paraId="5719A544" w14:textId="77777777">
        <w:tc>
          <w:tcPr>
            <w:tcW w:w="1128" w:type="dxa"/>
            <w:tcBorders>
              <w:top w:val="single" w:sz="8" w:space="0" w:color="auto"/>
              <w:left w:val="single" w:sz="8" w:space="0" w:color="auto"/>
              <w:bottom w:val="single" w:sz="8" w:space="0" w:color="auto"/>
              <w:right w:val="single" w:sz="8" w:space="0" w:color="auto"/>
            </w:tcBorders>
            <w:shd w:val="clear" w:color="auto" w:fill="D5DCE4"/>
            <w:tcMar>
              <w:top w:w="0" w:type="dxa"/>
              <w:left w:w="108" w:type="dxa"/>
              <w:bottom w:w="0" w:type="dxa"/>
              <w:right w:w="108" w:type="dxa"/>
            </w:tcMar>
            <w:hideMark/>
          </w:tcPr>
          <w:p w14:paraId="761F5112" w14:textId="77777777" w:rsidR="00EF7E23" w:rsidRDefault="00EF7E23">
            <w:r>
              <w:rPr>
                <w:rFonts w:ascii="Verdana" w:hAnsi="Verdana"/>
                <w:sz w:val="18"/>
                <w:szCs w:val="18"/>
              </w:rPr>
              <w:lastRenderedPageBreak/>
              <w:t>Response</w:t>
            </w:r>
          </w:p>
        </w:tc>
        <w:tc>
          <w:tcPr>
            <w:tcW w:w="503" w:type="dxa"/>
            <w:tcBorders>
              <w:top w:val="single" w:sz="8" w:space="0" w:color="auto"/>
              <w:left w:val="nil"/>
              <w:bottom w:val="single" w:sz="8" w:space="0" w:color="auto"/>
              <w:right w:val="single" w:sz="8" w:space="0" w:color="auto"/>
            </w:tcBorders>
            <w:shd w:val="clear" w:color="auto" w:fill="D5DCE4"/>
            <w:tcMar>
              <w:top w:w="0" w:type="dxa"/>
              <w:left w:w="108" w:type="dxa"/>
              <w:bottom w:w="0" w:type="dxa"/>
              <w:right w:w="108" w:type="dxa"/>
            </w:tcMar>
            <w:hideMark/>
          </w:tcPr>
          <w:p w14:paraId="2A76097D" w14:textId="77777777" w:rsidR="00EF7E23" w:rsidRDefault="00EF7E23">
            <w:r>
              <w:rPr>
                <w:rFonts w:ascii="Verdana" w:hAnsi="Verdana"/>
                <w:color w:val="000000"/>
                <w:sz w:val="18"/>
                <w:szCs w:val="18"/>
              </w:rPr>
              <w:t>(X)</w:t>
            </w:r>
          </w:p>
        </w:tc>
        <w:tc>
          <w:tcPr>
            <w:tcW w:w="7385" w:type="dxa"/>
            <w:tcBorders>
              <w:top w:val="single" w:sz="8" w:space="0" w:color="auto"/>
              <w:left w:val="nil"/>
              <w:bottom w:val="single" w:sz="8" w:space="0" w:color="auto"/>
              <w:right w:val="single" w:sz="8" w:space="0" w:color="auto"/>
            </w:tcBorders>
            <w:shd w:val="clear" w:color="auto" w:fill="D5DCE4"/>
            <w:tcMar>
              <w:top w:w="0" w:type="dxa"/>
              <w:left w:w="108" w:type="dxa"/>
              <w:bottom w:w="0" w:type="dxa"/>
              <w:right w:w="108" w:type="dxa"/>
            </w:tcMar>
            <w:hideMark/>
          </w:tcPr>
          <w:p w14:paraId="0D56D442" w14:textId="77777777" w:rsidR="00EF7E23" w:rsidRDefault="00EF7E23">
            <w:r>
              <w:rPr>
                <w:color w:val="000000"/>
              </w:rPr>
              <w:t>Please explain the reasoning for your response in this section.</w:t>
            </w:r>
          </w:p>
        </w:tc>
      </w:tr>
      <w:tr w:rsidR="00EF7E23" w14:paraId="36C6DCCB" w14:textId="77777777">
        <w:trPr>
          <w:trHeight w:val="417"/>
        </w:trPr>
        <w:tc>
          <w:tcPr>
            <w:tcW w:w="1128" w:type="dxa"/>
            <w:tcBorders>
              <w:top w:val="nil"/>
              <w:left w:val="single" w:sz="8" w:space="0" w:color="auto"/>
              <w:bottom w:val="single" w:sz="8" w:space="0" w:color="auto"/>
              <w:right w:val="single" w:sz="8" w:space="0" w:color="auto"/>
            </w:tcBorders>
            <w:shd w:val="clear" w:color="auto" w:fill="D5DCE4"/>
            <w:tcMar>
              <w:top w:w="0" w:type="dxa"/>
              <w:left w:w="108" w:type="dxa"/>
              <w:bottom w:w="0" w:type="dxa"/>
              <w:right w:w="108" w:type="dxa"/>
            </w:tcMar>
            <w:vAlign w:val="center"/>
            <w:hideMark/>
          </w:tcPr>
          <w:p w14:paraId="0DE611E0" w14:textId="77777777" w:rsidR="00EF7E23" w:rsidRDefault="00EF7E23">
            <w:r>
              <w:rPr>
                <w:rFonts w:ascii="Verdana" w:hAnsi="Verdana"/>
                <w:color w:val="000000"/>
                <w:sz w:val="18"/>
                <w:szCs w:val="18"/>
              </w:rPr>
              <w:t>Yes</w:t>
            </w:r>
          </w:p>
        </w:tc>
        <w:tc>
          <w:tcPr>
            <w:tcW w:w="503" w:type="dxa"/>
            <w:tcBorders>
              <w:top w:val="nil"/>
              <w:left w:val="nil"/>
              <w:bottom w:val="single" w:sz="8" w:space="0" w:color="auto"/>
              <w:right w:val="single" w:sz="8" w:space="0" w:color="auto"/>
            </w:tcBorders>
            <w:tcMar>
              <w:top w:w="0" w:type="dxa"/>
              <w:left w:w="108" w:type="dxa"/>
              <w:bottom w:w="0" w:type="dxa"/>
              <w:right w:w="108" w:type="dxa"/>
            </w:tcMar>
            <w:hideMark/>
          </w:tcPr>
          <w:p w14:paraId="4E486EA1" w14:textId="61D6EFCC" w:rsidR="00EF7E23" w:rsidRDefault="00EF7E23">
            <w:r>
              <w:rPr>
                <w:rFonts w:ascii="Verdana" w:hAnsi="Verdana"/>
                <w:sz w:val="18"/>
                <w:szCs w:val="18"/>
              </w:rPr>
              <w:t> </w:t>
            </w:r>
            <w:r w:rsidR="002030AD">
              <w:rPr>
                <w:rFonts w:ascii="Verdana" w:hAnsi="Verdana"/>
                <w:sz w:val="18"/>
                <w:szCs w:val="18"/>
              </w:rPr>
              <w:t>X</w:t>
            </w:r>
          </w:p>
        </w:tc>
        <w:tc>
          <w:tcPr>
            <w:tcW w:w="738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4BC8EF6E" w14:textId="77777777" w:rsidR="00EF7E23" w:rsidRDefault="00EF7E23">
            <w:r>
              <w:rPr>
                <w:rFonts w:ascii="Verdana" w:hAnsi="Verdana"/>
                <w:sz w:val="18"/>
                <w:szCs w:val="18"/>
              </w:rPr>
              <w:t> </w:t>
            </w:r>
          </w:p>
          <w:p w14:paraId="769619BD" w14:textId="77777777" w:rsidR="00EF7E23" w:rsidRDefault="00EF7E23">
            <w:r>
              <w:rPr>
                <w:rFonts w:ascii="Verdana" w:hAnsi="Verdana"/>
                <w:sz w:val="18"/>
                <w:szCs w:val="18"/>
              </w:rPr>
              <w:t> </w:t>
            </w:r>
          </w:p>
          <w:p w14:paraId="77664C23" w14:textId="49B14D8C" w:rsidR="00EF7E23" w:rsidRDefault="00EF7E23">
            <w:r w:rsidRPr="00BB2A11">
              <w:t> </w:t>
            </w:r>
            <w:r w:rsidR="00BB2A11" w:rsidRPr="00BB2A11">
              <w:t xml:space="preserve">As highlighted in the consultation, this </w:t>
            </w:r>
            <w:r w:rsidR="00BB2A11">
              <w:t xml:space="preserve">option would provide a consistent methodology to accommodate all green gases in the system </w:t>
            </w:r>
            <w:r w:rsidR="00CC3B3A">
              <w:t xml:space="preserve">and all transition </w:t>
            </w:r>
            <w:proofErr w:type="gramStart"/>
            <w:r w:rsidR="00CC3B3A">
              <w:t xml:space="preserve">scenarios, </w:t>
            </w:r>
            <w:r w:rsidR="00BB2A11">
              <w:t>and</w:t>
            </w:r>
            <w:proofErr w:type="gramEnd"/>
            <w:r w:rsidR="00BB2A11">
              <w:t xml:space="preserve"> remove the need to propanate biomethane. </w:t>
            </w:r>
          </w:p>
          <w:p w14:paraId="2A83CAE2" w14:textId="77777777" w:rsidR="00EF7E23" w:rsidRDefault="00EF7E23">
            <w:r>
              <w:rPr>
                <w:rFonts w:ascii="Verdana" w:hAnsi="Verdana"/>
                <w:sz w:val="18"/>
                <w:szCs w:val="18"/>
              </w:rPr>
              <w:t> </w:t>
            </w:r>
          </w:p>
          <w:p w14:paraId="1D0B16CC" w14:textId="77777777" w:rsidR="00EF7E23" w:rsidRDefault="00EF7E23">
            <w:r>
              <w:rPr>
                <w:rFonts w:ascii="Verdana" w:hAnsi="Verdana"/>
                <w:sz w:val="18"/>
                <w:szCs w:val="18"/>
              </w:rPr>
              <w:t> </w:t>
            </w:r>
          </w:p>
          <w:p w14:paraId="4D7649A7" w14:textId="77777777" w:rsidR="00EF7E23" w:rsidRDefault="00EF7E23">
            <w:r>
              <w:rPr>
                <w:rFonts w:ascii="Verdana" w:hAnsi="Verdana"/>
                <w:sz w:val="18"/>
                <w:szCs w:val="18"/>
              </w:rPr>
              <w:t> </w:t>
            </w:r>
          </w:p>
          <w:p w14:paraId="4DF478B0" w14:textId="77777777" w:rsidR="00EF7E23" w:rsidRDefault="00EF7E23">
            <w:r>
              <w:rPr>
                <w:rFonts w:ascii="Verdana" w:hAnsi="Verdana"/>
                <w:sz w:val="18"/>
                <w:szCs w:val="18"/>
              </w:rPr>
              <w:t> </w:t>
            </w:r>
          </w:p>
        </w:tc>
      </w:tr>
      <w:tr w:rsidR="00EF7E23" w14:paraId="69C84E67" w14:textId="77777777">
        <w:trPr>
          <w:trHeight w:val="564"/>
        </w:trPr>
        <w:tc>
          <w:tcPr>
            <w:tcW w:w="1128" w:type="dxa"/>
            <w:tcBorders>
              <w:top w:val="nil"/>
              <w:left w:val="single" w:sz="8" w:space="0" w:color="auto"/>
              <w:bottom w:val="single" w:sz="8" w:space="0" w:color="auto"/>
              <w:right w:val="single" w:sz="8" w:space="0" w:color="auto"/>
            </w:tcBorders>
            <w:shd w:val="clear" w:color="auto" w:fill="D5DCE4"/>
            <w:tcMar>
              <w:top w:w="0" w:type="dxa"/>
              <w:left w:w="108" w:type="dxa"/>
              <w:bottom w:w="0" w:type="dxa"/>
              <w:right w:w="108" w:type="dxa"/>
            </w:tcMar>
            <w:vAlign w:val="center"/>
            <w:hideMark/>
          </w:tcPr>
          <w:p w14:paraId="06111DF5" w14:textId="77777777" w:rsidR="00EF7E23" w:rsidRDefault="00EF7E23">
            <w:r>
              <w:rPr>
                <w:rFonts w:ascii="Verdana" w:hAnsi="Verdana"/>
                <w:color w:val="000000"/>
                <w:sz w:val="18"/>
                <w:szCs w:val="18"/>
              </w:rPr>
              <w:t>No</w:t>
            </w:r>
          </w:p>
        </w:tc>
        <w:tc>
          <w:tcPr>
            <w:tcW w:w="503" w:type="dxa"/>
            <w:tcBorders>
              <w:top w:val="nil"/>
              <w:left w:val="nil"/>
              <w:bottom w:val="single" w:sz="8" w:space="0" w:color="auto"/>
              <w:right w:val="single" w:sz="8" w:space="0" w:color="auto"/>
            </w:tcBorders>
            <w:tcMar>
              <w:top w:w="0" w:type="dxa"/>
              <w:left w:w="108" w:type="dxa"/>
              <w:bottom w:w="0" w:type="dxa"/>
              <w:right w:w="108" w:type="dxa"/>
            </w:tcMar>
            <w:hideMark/>
          </w:tcPr>
          <w:p w14:paraId="59B6FB0C" w14:textId="77777777" w:rsidR="00EF7E23" w:rsidRDefault="00EF7E23">
            <w:r>
              <w:rPr>
                <w:rFonts w:ascii="Verdana" w:hAnsi="Verdana"/>
                <w:sz w:val="18"/>
                <w:szCs w:val="18"/>
              </w:rPr>
              <w:t> </w:t>
            </w:r>
          </w:p>
        </w:tc>
        <w:tc>
          <w:tcPr>
            <w:tcW w:w="0" w:type="auto"/>
            <w:vMerge/>
            <w:tcBorders>
              <w:top w:val="nil"/>
              <w:left w:val="nil"/>
              <w:bottom w:val="single" w:sz="8" w:space="0" w:color="auto"/>
              <w:right w:val="single" w:sz="8" w:space="0" w:color="auto"/>
            </w:tcBorders>
            <w:vAlign w:val="center"/>
            <w:hideMark/>
          </w:tcPr>
          <w:p w14:paraId="5BC9DA4B" w14:textId="77777777" w:rsidR="00EF7E23" w:rsidRDefault="00EF7E23"/>
        </w:tc>
      </w:tr>
    </w:tbl>
    <w:p w14:paraId="4474B97B" w14:textId="77777777" w:rsidR="00EF7E23" w:rsidRDefault="00EF7E23" w:rsidP="00EF7E23">
      <w:r>
        <w:t> </w:t>
      </w:r>
    </w:p>
    <w:p w14:paraId="4CFC8B62" w14:textId="77777777" w:rsidR="00EF7E23" w:rsidRDefault="00EF7E23" w:rsidP="00EF7E23">
      <w:pPr>
        <w:pStyle w:val="BodyText"/>
      </w:pPr>
      <w:r>
        <w:rPr>
          <w:rStyle w:val="Heading4Char"/>
          <w:rFonts w:ascii="Calibri" w:hAnsi="Calibri"/>
          <w:color w:val="4472C4"/>
          <w:sz w:val="24"/>
          <w:szCs w:val="24"/>
        </w:rPr>
        <w:t>Question 5:      Option B:  Embedded Zone Charging – Would you support exploring this billing option further as part of development work towards delivery of Option C (Online CV Modelling)?</w:t>
      </w:r>
    </w:p>
    <w:tbl>
      <w:tblPr>
        <w:tblW w:w="0" w:type="auto"/>
        <w:tblCellMar>
          <w:left w:w="0" w:type="dxa"/>
          <w:right w:w="0" w:type="dxa"/>
        </w:tblCellMar>
        <w:tblLook w:val="04A0" w:firstRow="1" w:lastRow="0" w:firstColumn="1" w:lastColumn="0" w:noHBand="0" w:noVBand="1"/>
      </w:tblPr>
      <w:tblGrid>
        <w:gridCol w:w="1074"/>
        <w:gridCol w:w="481"/>
        <w:gridCol w:w="7451"/>
      </w:tblGrid>
      <w:tr w:rsidR="00EF7E23" w14:paraId="5EF3565C" w14:textId="77777777">
        <w:tc>
          <w:tcPr>
            <w:tcW w:w="1074" w:type="dxa"/>
            <w:tcBorders>
              <w:top w:val="single" w:sz="8" w:space="0" w:color="auto"/>
              <w:left w:val="single" w:sz="8" w:space="0" w:color="auto"/>
              <w:bottom w:val="single" w:sz="8" w:space="0" w:color="auto"/>
              <w:right w:val="single" w:sz="8" w:space="0" w:color="auto"/>
            </w:tcBorders>
            <w:shd w:val="clear" w:color="auto" w:fill="D5DCE4"/>
            <w:tcMar>
              <w:top w:w="0" w:type="dxa"/>
              <w:left w:w="108" w:type="dxa"/>
              <w:bottom w:w="0" w:type="dxa"/>
              <w:right w:w="108" w:type="dxa"/>
            </w:tcMar>
            <w:hideMark/>
          </w:tcPr>
          <w:p w14:paraId="0F7C176E" w14:textId="77777777" w:rsidR="00EF7E23" w:rsidRDefault="00EF7E23">
            <w:pPr>
              <w:jc w:val="center"/>
            </w:pPr>
            <w:r>
              <w:t>Response</w:t>
            </w:r>
          </w:p>
        </w:tc>
        <w:tc>
          <w:tcPr>
            <w:tcW w:w="481" w:type="dxa"/>
            <w:tcBorders>
              <w:top w:val="single" w:sz="8" w:space="0" w:color="auto"/>
              <w:left w:val="nil"/>
              <w:bottom w:val="single" w:sz="8" w:space="0" w:color="auto"/>
              <w:right w:val="single" w:sz="8" w:space="0" w:color="auto"/>
            </w:tcBorders>
            <w:shd w:val="clear" w:color="auto" w:fill="D5DCE4"/>
            <w:tcMar>
              <w:top w:w="0" w:type="dxa"/>
              <w:left w:w="108" w:type="dxa"/>
              <w:bottom w:w="0" w:type="dxa"/>
              <w:right w:w="108" w:type="dxa"/>
            </w:tcMar>
            <w:hideMark/>
          </w:tcPr>
          <w:p w14:paraId="269B8EDC" w14:textId="77777777" w:rsidR="00EF7E23" w:rsidRDefault="00EF7E23">
            <w:r>
              <w:rPr>
                <w:color w:val="000000"/>
              </w:rPr>
              <w:t>(X)</w:t>
            </w:r>
          </w:p>
        </w:tc>
        <w:tc>
          <w:tcPr>
            <w:tcW w:w="7461" w:type="dxa"/>
            <w:tcBorders>
              <w:top w:val="single" w:sz="8" w:space="0" w:color="auto"/>
              <w:left w:val="nil"/>
              <w:bottom w:val="single" w:sz="8" w:space="0" w:color="auto"/>
              <w:right w:val="single" w:sz="8" w:space="0" w:color="auto"/>
            </w:tcBorders>
            <w:shd w:val="clear" w:color="auto" w:fill="D5DCE4"/>
            <w:tcMar>
              <w:top w:w="0" w:type="dxa"/>
              <w:left w:w="108" w:type="dxa"/>
              <w:bottom w:w="0" w:type="dxa"/>
              <w:right w:w="108" w:type="dxa"/>
            </w:tcMar>
            <w:hideMark/>
          </w:tcPr>
          <w:p w14:paraId="38C454BB" w14:textId="77777777" w:rsidR="00EF7E23" w:rsidRDefault="00EF7E23">
            <w:r>
              <w:rPr>
                <w:color w:val="000000"/>
              </w:rPr>
              <w:t>Please explain the reasoning for your response in this section.</w:t>
            </w:r>
          </w:p>
        </w:tc>
      </w:tr>
      <w:tr w:rsidR="00EF7E23" w14:paraId="5B76D64B" w14:textId="77777777">
        <w:tc>
          <w:tcPr>
            <w:tcW w:w="1074" w:type="dxa"/>
            <w:tcBorders>
              <w:top w:val="nil"/>
              <w:left w:val="single" w:sz="8" w:space="0" w:color="auto"/>
              <w:bottom w:val="single" w:sz="8" w:space="0" w:color="auto"/>
              <w:right w:val="single" w:sz="8" w:space="0" w:color="auto"/>
            </w:tcBorders>
            <w:shd w:val="clear" w:color="auto" w:fill="D5DCE4"/>
            <w:tcMar>
              <w:top w:w="0" w:type="dxa"/>
              <w:left w:w="108" w:type="dxa"/>
              <w:bottom w:w="0" w:type="dxa"/>
              <w:right w:w="108" w:type="dxa"/>
            </w:tcMar>
            <w:hideMark/>
          </w:tcPr>
          <w:p w14:paraId="3844EBC0" w14:textId="77777777" w:rsidR="00EF7E23" w:rsidRDefault="00EF7E23">
            <w:r>
              <w:rPr>
                <w:color w:val="000000"/>
                <w:sz w:val="18"/>
                <w:szCs w:val="18"/>
              </w:rPr>
              <w:t>Strongly Agree</w:t>
            </w:r>
          </w:p>
        </w:tc>
        <w:tc>
          <w:tcPr>
            <w:tcW w:w="481" w:type="dxa"/>
            <w:tcBorders>
              <w:top w:val="nil"/>
              <w:left w:val="nil"/>
              <w:bottom w:val="single" w:sz="8" w:space="0" w:color="auto"/>
              <w:right w:val="single" w:sz="8" w:space="0" w:color="auto"/>
            </w:tcBorders>
            <w:tcMar>
              <w:top w:w="0" w:type="dxa"/>
              <w:left w:w="108" w:type="dxa"/>
              <w:bottom w:w="0" w:type="dxa"/>
              <w:right w:w="108" w:type="dxa"/>
            </w:tcMar>
            <w:hideMark/>
          </w:tcPr>
          <w:p w14:paraId="471506E8" w14:textId="77777777" w:rsidR="00EF7E23" w:rsidRDefault="00EF7E23">
            <w:r>
              <w:t> </w:t>
            </w:r>
          </w:p>
        </w:tc>
        <w:tc>
          <w:tcPr>
            <w:tcW w:w="7461"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0CB6CA2D" w14:textId="4CAA5C4E" w:rsidR="00EF7E23" w:rsidRDefault="00EF7E23">
            <w:r>
              <w:t> </w:t>
            </w:r>
            <w:r w:rsidR="00561C22" w:rsidRPr="00561C22">
              <w:t xml:space="preserve">If Option B could be delivered as an early output of the development of Option C, then this could potentially </w:t>
            </w:r>
            <w:r w:rsidR="00561C22">
              <w:t>speed up the development and adoption of</w:t>
            </w:r>
            <w:r w:rsidR="00561C22" w:rsidRPr="00561C22">
              <w:t xml:space="preserve"> Option C.</w:t>
            </w:r>
            <w:r w:rsidR="00BB2A11">
              <w:t xml:space="preserve"> Option B should be implemented as swiftly as possible. </w:t>
            </w:r>
          </w:p>
        </w:tc>
      </w:tr>
      <w:tr w:rsidR="00EF7E23" w14:paraId="2232A5E1" w14:textId="77777777">
        <w:tc>
          <w:tcPr>
            <w:tcW w:w="1074" w:type="dxa"/>
            <w:tcBorders>
              <w:top w:val="nil"/>
              <w:left w:val="single" w:sz="8" w:space="0" w:color="auto"/>
              <w:bottom w:val="single" w:sz="8" w:space="0" w:color="auto"/>
              <w:right w:val="single" w:sz="8" w:space="0" w:color="auto"/>
            </w:tcBorders>
            <w:shd w:val="clear" w:color="auto" w:fill="D5DCE4"/>
            <w:tcMar>
              <w:top w:w="0" w:type="dxa"/>
              <w:left w:w="108" w:type="dxa"/>
              <w:bottom w:w="0" w:type="dxa"/>
              <w:right w:w="108" w:type="dxa"/>
            </w:tcMar>
            <w:hideMark/>
          </w:tcPr>
          <w:p w14:paraId="7907F30E" w14:textId="77777777" w:rsidR="00EF7E23" w:rsidRDefault="00EF7E23">
            <w:r>
              <w:rPr>
                <w:color w:val="000000"/>
                <w:sz w:val="18"/>
                <w:szCs w:val="18"/>
              </w:rPr>
              <w:t>Agree</w:t>
            </w:r>
          </w:p>
        </w:tc>
        <w:tc>
          <w:tcPr>
            <w:tcW w:w="481" w:type="dxa"/>
            <w:tcBorders>
              <w:top w:val="nil"/>
              <w:left w:val="nil"/>
              <w:bottom w:val="single" w:sz="8" w:space="0" w:color="auto"/>
              <w:right w:val="single" w:sz="8" w:space="0" w:color="auto"/>
            </w:tcBorders>
            <w:tcMar>
              <w:top w:w="0" w:type="dxa"/>
              <w:left w:w="108" w:type="dxa"/>
              <w:bottom w:w="0" w:type="dxa"/>
              <w:right w:w="108" w:type="dxa"/>
            </w:tcMar>
            <w:hideMark/>
          </w:tcPr>
          <w:p w14:paraId="41044AEF" w14:textId="7B59CCA2" w:rsidR="00EF7E23" w:rsidRDefault="00EF7E23">
            <w:r>
              <w:t> </w:t>
            </w:r>
            <w:r w:rsidR="00561C22">
              <w:t>X</w:t>
            </w:r>
          </w:p>
        </w:tc>
        <w:tc>
          <w:tcPr>
            <w:tcW w:w="0" w:type="auto"/>
            <w:vMerge/>
            <w:tcBorders>
              <w:top w:val="nil"/>
              <w:left w:val="nil"/>
              <w:bottom w:val="single" w:sz="8" w:space="0" w:color="auto"/>
              <w:right w:val="single" w:sz="8" w:space="0" w:color="auto"/>
            </w:tcBorders>
            <w:vAlign w:val="center"/>
            <w:hideMark/>
          </w:tcPr>
          <w:p w14:paraId="5CBB8D90" w14:textId="77777777" w:rsidR="00EF7E23" w:rsidRDefault="00EF7E23"/>
        </w:tc>
      </w:tr>
      <w:tr w:rsidR="00EF7E23" w14:paraId="1CA12944" w14:textId="77777777">
        <w:tc>
          <w:tcPr>
            <w:tcW w:w="1074" w:type="dxa"/>
            <w:tcBorders>
              <w:top w:val="nil"/>
              <w:left w:val="single" w:sz="8" w:space="0" w:color="auto"/>
              <w:bottom w:val="single" w:sz="8" w:space="0" w:color="auto"/>
              <w:right w:val="single" w:sz="8" w:space="0" w:color="auto"/>
            </w:tcBorders>
            <w:shd w:val="clear" w:color="auto" w:fill="D5DCE4"/>
            <w:tcMar>
              <w:top w:w="0" w:type="dxa"/>
              <w:left w:w="108" w:type="dxa"/>
              <w:bottom w:w="0" w:type="dxa"/>
              <w:right w:w="108" w:type="dxa"/>
            </w:tcMar>
            <w:hideMark/>
          </w:tcPr>
          <w:p w14:paraId="0C12770B" w14:textId="77777777" w:rsidR="00EF7E23" w:rsidRDefault="00EF7E23">
            <w:r>
              <w:rPr>
                <w:color w:val="000000"/>
                <w:sz w:val="18"/>
                <w:szCs w:val="18"/>
              </w:rPr>
              <w:t>Neither</w:t>
            </w:r>
          </w:p>
        </w:tc>
        <w:tc>
          <w:tcPr>
            <w:tcW w:w="481" w:type="dxa"/>
            <w:tcBorders>
              <w:top w:val="nil"/>
              <w:left w:val="nil"/>
              <w:bottom w:val="single" w:sz="8" w:space="0" w:color="auto"/>
              <w:right w:val="single" w:sz="8" w:space="0" w:color="auto"/>
            </w:tcBorders>
            <w:tcMar>
              <w:top w:w="0" w:type="dxa"/>
              <w:left w:w="108" w:type="dxa"/>
              <w:bottom w:w="0" w:type="dxa"/>
              <w:right w:w="108" w:type="dxa"/>
            </w:tcMar>
            <w:hideMark/>
          </w:tcPr>
          <w:p w14:paraId="3B6D8D5B" w14:textId="77777777" w:rsidR="00EF7E23" w:rsidRDefault="00EF7E23">
            <w:r>
              <w:t> </w:t>
            </w:r>
          </w:p>
        </w:tc>
        <w:tc>
          <w:tcPr>
            <w:tcW w:w="0" w:type="auto"/>
            <w:vMerge/>
            <w:tcBorders>
              <w:top w:val="nil"/>
              <w:left w:val="nil"/>
              <w:bottom w:val="single" w:sz="8" w:space="0" w:color="auto"/>
              <w:right w:val="single" w:sz="8" w:space="0" w:color="auto"/>
            </w:tcBorders>
            <w:vAlign w:val="center"/>
            <w:hideMark/>
          </w:tcPr>
          <w:p w14:paraId="74D4A3E9" w14:textId="77777777" w:rsidR="00EF7E23" w:rsidRDefault="00EF7E23"/>
        </w:tc>
      </w:tr>
      <w:tr w:rsidR="00EF7E23" w14:paraId="6AF0E988" w14:textId="77777777">
        <w:tc>
          <w:tcPr>
            <w:tcW w:w="1074" w:type="dxa"/>
            <w:tcBorders>
              <w:top w:val="nil"/>
              <w:left w:val="single" w:sz="8" w:space="0" w:color="auto"/>
              <w:bottom w:val="single" w:sz="8" w:space="0" w:color="auto"/>
              <w:right w:val="single" w:sz="8" w:space="0" w:color="auto"/>
            </w:tcBorders>
            <w:shd w:val="clear" w:color="auto" w:fill="D5DCE4"/>
            <w:tcMar>
              <w:top w:w="0" w:type="dxa"/>
              <w:left w:w="108" w:type="dxa"/>
              <w:bottom w:w="0" w:type="dxa"/>
              <w:right w:w="108" w:type="dxa"/>
            </w:tcMar>
            <w:hideMark/>
          </w:tcPr>
          <w:p w14:paraId="6DB8E6D9" w14:textId="77777777" w:rsidR="00EF7E23" w:rsidRDefault="00EF7E23">
            <w:r>
              <w:rPr>
                <w:color w:val="000000"/>
                <w:sz w:val="18"/>
                <w:szCs w:val="18"/>
              </w:rPr>
              <w:t>Disagree</w:t>
            </w:r>
          </w:p>
        </w:tc>
        <w:tc>
          <w:tcPr>
            <w:tcW w:w="481" w:type="dxa"/>
            <w:tcBorders>
              <w:top w:val="nil"/>
              <w:left w:val="nil"/>
              <w:bottom w:val="single" w:sz="8" w:space="0" w:color="auto"/>
              <w:right w:val="single" w:sz="8" w:space="0" w:color="auto"/>
            </w:tcBorders>
            <w:tcMar>
              <w:top w:w="0" w:type="dxa"/>
              <w:left w:w="108" w:type="dxa"/>
              <w:bottom w:w="0" w:type="dxa"/>
              <w:right w:w="108" w:type="dxa"/>
            </w:tcMar>
            <w:hideMark/>
          </w:tcPr>
          <w:p w14:paraId="697D082B" w14:textId="77777777" w:rsidR="00EF7E23" w:rsidRDefault="00EF7E23">
            <w:r>
              <w:t> </w:t>
            </w:r>
          </w:p>
        </w:tc>
        <w:tc>
          <w:tcPr>
            <w:tcW w:w="0" w:type="auto"/>
            <w:vMerge/>
            <w:tcBorders>
              <w:top w:val="nil"/>
              <w:left w:val="nil"/>
              <w:bottom w:val="single" w:sz="8" w:space="0" w:color="auto"/>
              <w:right w:val="single" w:sz="8" w:space="0" w:color="auto"/>
            </w:tcBorders>
            <w:vAlign w:val="center"/>
            <w:hideMark/>
          </w:tcPr>
          <w:p w14:paraId="7CAF44D7" w14:textId="77777777" w:rsidR="00EF7E23" w:rsidRDefault="00EF7E23"/>
        </w:tc>
      </w:tr>
      <w:tr w:rsidR="00EF7E23" w14:paraId="7718EDD6" w14:textId="77777777">
        <w:tc>
          <w:tcPr>
            <w:tcW w:w="1074" w:type="dxa"/>
            <w:tcBorders>
              <w:top w:val="nil"/>
              <w:left w:val="single" w:sz="8" w:space="0" w:color="auto"/>
              <w:bottom w:val="single" w:sz="8" w:space="0" w:color="auto"/>
              <w:right w:val="single" w:sz="8" w:space="0" w:color="auto"/>
            </w:tcBorders>
            <w:shd w:val="clear" w:color="auto" w:fill="D5DCE4"/>
            <w:tcMar>
              <w:top w:w="0" w:type="dxa"/>
              <w:left w:w="108" w:type="dxa"/>
              <w:bottom w:w="0" w:type="dxa"/>
              <w:right w:w="108" w:type="dxa"/>
            </w:tcMar>
            <w:hideMark/>
          </w:tcPr>
          <w:p w14:paraId="373C094F" w14:textId="77777777" w:rsidR="00EF7E23" w:rsidRDefault="00EF7E23">
            <w:r>
              <w:rPr>
                <w:color w:val="000000"/>
                <w:sz w:val="18"/>
                <w:szCs w:val="18"/>
              </w:rPr>
              <w:t>Strongly Disagree</w:t>
            </w:r>
          </w:p>
        </w:tc>
        <w:tc>
          <w:tcPr>
            <w:tcW w:w="481" w:type="dxa"/>
            <w:tcBorders>
              <w:top w:val="nil"/>
              <w:left w:val="nil"/>
              <w:bottom w:val="single" w:sz="8" w:space="0" w:color="auto"/>
              <w:right w:val="single" w:sz="8" w:space="0" w:color="auto"/>
            </w:tcBorders>
            <w:tcMar>
              <w:top w:w="0" w:type="dxa"/>
              <w:left w:w="108" w:type="dxa"/>
              <w:bottom w:w="0" w:type="dxa"/>
              <w:right w:w="108" w:type="dxa"/>
            </w:tcMar>
            <w:hideMark/>
          </w:tcPr>
          <w:p w14:paraId="153DDBC4" w14:textId="77777777" w:rsidR="00EF7E23" w:rsidRDefault="00EF7E23">
            <w:r>
              <w:t> </w:t>
            </w:r>
          </w:p>
        </w:tc>
        <w:tc>
          <w:tcPr>
            <w:tcW w:w="0" w:type="auto"/>
            <w:vMerge/>
            <w:tcBorders>
              <w:top w:val="nil"/>
              <w:left w:val="nil"/>
              <w:bottom w:val="single" w:sz="8" w:space="0" w:color="auto"/>
              <w:right w:val="single" w:sz="8" w:space="0" w:color="auto"/>
            </w:tcBorders>
            <w:vAlign w:val="center"/>
            <w:hideMark/>
          </w:tcPr>
          <w:p w14:paraId="0124AD4C" w14:textId="77777777" w:rsidR="00EF7E23" w:rsidRDefault="00EF7E23"/>
        </w:tc>
      </w:tr>
    </w:tbl>
    <w:p w14:paraId="1269118C" w14:textId="77777777" w:rsidR="00EF7E23" w:rsidRDefault="00EF7E23" w:rsidP="00EF7E23">
      <w:r>
        <w:rPr>
          <w:sz w:val="18"/>
          <w:szCs w:val="18"/>
        </w:rPr>
        <w:t> </w:t>
      </w:r>
    </w:p>
    <w:p w14:paraId="63D2EEF7" w14:textId="77777777" w:rsidR="00EF7E23" w:rsidRDefault="00EF7E23" w:rsidP="00EF7E23">
      <w:r>
        <w:rPr>
          <w:sz w:val="18"/>
          <w:szCs w:val="18"/>
        </w:rPr>
        <w:t> </w:t>
      </w:r>
      <w:r>
        <w:rPr>
          <w:rStyle w:val="Heading4Char"/>
          <w:rFonts w:ascii="Calibri" w:hAnsi="Calibri"/>
          <w:color w:val="4472C4"/>
          <w:sz w:val="24"/>
          <w:szCs w:val="24"/>
        </w:rPr>
        <w:t xml:space="preserve">Question 6:      Billing systems changes for Options B and C </w:t>
      </w:r>
    </w:p>
    <w:p w14:paraId="2E266208" w14:textId="77777777" w:rsidR="00EF7E23" w:rsidRDefault="00EF7E23" w:rsidP="00EF7E23">
      <w:pPr>
        <w:pStyle w:val="BodyText"/>
      </w:pPr>
      <w:r>
        <w:rPr>
          <w:rStyle w:val="Heading4Char"/>
          <w:rFonts w:ascii="Calibri" w:hAnsi="Calibri"/>
          <w:color w:val="4472C4"/>
          <w:sz w:val="24"/>
          <w:szCs w:val="24"/>
        </w:rPr>
        <w:t>Both Options B and C would require significant changes to central and client gas billing systems to enable the attribution of gas CV at meter point specific level.  If your organisation is a gas Shipper and/or Supplier, would you be able to assist this consultation by providing a high-level cost estimate for the changes to client systems to assist development of the final CBA?</w:t>
      </w:r>
    </w:p>
    <w:tbl>
      <w:tblPr>
        <w:tblW w:w="0" w:type="auto"/>
        <w:tblCellMar>
          <w:left w:w="0" w:type="dxa"/>
          <w:right w:w="0" w:type="dxa"/>
        </w:tblCellMar>
        <w:tblLook w:val="04A0" w:firstRow="1" w:lastRow="0" w:firstColumn="1" w:lastColumn="0" w:noHBand="0" w:noVBand="1"/>
      </w:tblPr>
      <w:tblGrid>
        <w:gridCol w:w="1695"/>
        <w:gridCol w:w="7311"/>
      </w:tblGrid>
      <w:tr w:rsidR="00EF7E23" w14:paraId="64156495" w14:textId="77777777">
        <w:tc>
          <w:tcPr>
            <w:tcW w:w="1696" w:type="dxa"/>
            <w:tcBorders>
              <w:top w:val="single" w:sz="8" w:space="0" w:color="auto"/>
              <w:left w:val="single" w:sz="8" w:space="0" w:color="auto"/>
              <w:bottom w:val="single" w:sz="8" w:space="0" w:color="auto"/>
              <w:right w:val="single" w:sz="8" w:space="0" w:color="auto"/>
            </w:tcBorders>
            <w:shd w:val="clear" w:color="auto" w:fill="D5DCE4"/>
            <w:tcMar>
              <w:top w:w="0" w:type="dxa"/>
              <w:left w:w="108" w:type="dxa"/>
              <w:bottom w:w="0" w:type="dxa"/>
              <w:right w:w="108" w:type="dxa"/>
            </w:tcMar>
            <w:hideMark/>
          </w:tcPr>
          <w:p w14:paraId="118BA0C1" w14:textId="77777777" w:rsidR="00EF7E23" w:rsidRDefault="00EF7E23">
            <w:r>
              <w:t>Cost Estimate (£m 2021-22 prices)</w:t>
            </w:r>
          </w:p>
        </w:tc>
        <w:tc>
          <w:tcPr>
            <w:tcW w:w="7320" w:type="dxa"/>
            <w:tcBorders>
              <w:top w:val="single" w:sz="8" w:space="0" w:color="auto"/>
              <w:left w:val="nil"/>
              <w:bottom w:val="single" w:sz="8" w:space="0" w:color="auto"/>
              <w:right w:val="single" w:sz="8" w:space="0" w:color="auto"/>
            </w:tcBorders>
            <w:shd w:val="clear" w:color="auto" w:fill="D5DCE4"/>
            <w:tcMar>
              <w:top w:w="0" w:type="dxa"/>
              <w:left w:w="108" w:type="dxa"/>
              <w:bottom w:w="0" w:type="dxa"/>
              <w:right w:w="108" w:type="dxa"/>
            </w:tcMar>
            <w:hideMark/>
          </w:tcPr>
          <w:p w14:paraId="34A2C968" w14:textId="77777777" w:rsidR="00EF7E23" w:rsidRDefault="00EF7E23">
            <w:r>
              <w:rPr>
                <w:color w:val="000000"/>
              </w:rPr>
              <w:t>Please provide any supporting information for your cost estimate and any other information you consider to be relevant to assist finalisation of the CBA on a GB gas distribution basis.</w:t>
            </w:r>
          </w:p>
        </w:tc>
      </w:tr>
      <w:tr w:rsidR="00EF7E23" w14:paraId="5EF6AF50" w14:textId="77777777">
        <w:trPr>
          <w:trHeight w:val="1521"/>
        </w:trPr>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C0A51D" w14:textId="77777777" w:rsidR="00EF7E23" w:rsidRDefault="00EF7E23">
            <w:r>
              <w:rPr>
                <w:rFonts w:ascii="Verdana" w:hAnsi="Verdana"/>
                <w:sz w:val="18"/>
                <w:szCs w:val="18"/>
              </w:rPr>
              <w:t> </w:t>
            </w:r>
          </w:p>
        </w:tc>
        <w:tc>
          <w:tcPr>
            <w:tcW w:w="7320" w:type="dxa"/>
            <w:tcBorders>
              <w:top w:val="nil"/>
              <w:left w:val="nil"/>
              <w:bottom w:val="single" w:sz="8" w:space="0" w:color="auto"/>
              <w:right w:val="single" w:sz="8" w:space="0" w:color="auto"/>
            </w:tcBorders>
            <w:tcMar>
              <w:top w:w="0" w:type="dxa"/>
              <w:left w:w="108" w:type="dxa"/>
              <w:bottom w:w="0" w:type="dxa"/>
              <w:right w:w="108" w:type="dxa"/>
            </w:tcMar>
            <w:hideMark/>
          </w:tcPr>
          <w:p w14:paraId="308AFC1D" w14:textId="55BA7B2F" w:rsidR="00EF7E23" w:rsidRDefault="00EF7E23">
            <w:r>
              <w:rPr>
                <w:rFonts w:ascii="Verdana" w:hAnsi="Verdana"/>
                <w:sz w:val="18"/>
                <w:szCs w:val="18"/>
              </w:rPr>
              <w:t> </w:t>
            </w:r>
            <w:r w:rsidR="00BB2A11" w:rsidRPr="00BB2A11">
              <w:t>NA, we are neither shippers nor suppliers.</w:t>
            </w:r>
            <w:r w:rsidR="00BB2A11">
              <w:rPr>
                <w:rFonts w:ascii="Verdana" w:hAnsi="Verdana"/>
                <w:sz w:val="18"/>
                <w:szCs w:val="18"/>
              </w:rPr>
              <w:t xml:space="preserve"> </w:t>
            </w:r>
          </w:p>
        </w:tc>
      </w:tr>
    </w:tbl>
    <w:p w14:paraId="38B0748B" w14:textId="77777777" w:rsidR="00EF7E23" w:rsidRDefault="00EF7E23" w:rsidP="00EF7E23">
      <w:r>
        <w:rPr>
          <w:rFonts w:ascii="Verdana" w:hAnsi="Verdana"/>
          <w:sz w:val="18"/>
          <w:szCs w:val="18"/>
        </w:rPr>
        <w:t> </w:t>
      </w:r>
    </w:p>
    <w:p w14:paraId="6473C239" w14:textId="77777777" w:rsidR="00EF7E23" w:rsidRDefault="00EF7E23" w:rsidP="00EF7E23">
      <w:pPr>
        <w:pStyle w:val="BodyText"/>
        <w:rPr>
          <w:rStyle w:val="Heading4Char"/>
          <w:rFonts w:ascii="Calibri" w:hAnsi="Calibri"/>
          <w:color w:val="4472C4"/>
          <w:sz w:val="24"/>
          <w:szCs w:val="24"/>
        </w:rPr>
      </w:pPr>
    </w:p>
    <w:p w14:paraId="3C2EBDFE" w14:textId="77777777" w:rsidR="00EF7E23" w:rsidRDefault="00EF7E23" w:rsidP="00EF7E23">
      <w:pPr>
        <w:pStyle w:val="BodyText"/>
      </w:pPr>
      <w:r>
        <w:rPr>
          <w:rStyle w:val="Heading4Char"/>
          <w:rFonts w:ascii="Calibri" w:hAnsi="Calibri"/>
          <w:color w:val="4472C4"/>
          <w:sz w:val="24"/>
          <w:szCs w:val="24"/>
        </w:rPr>
        <w:t xml:space="preserve">Question 7:      Regionalised approach </w:t>
      </w:r>
    </w:p>
    <w:p w14:paraId="683B9DFA" w14:textId="77777777" w:rsidR="00EF7E23" w:rsidRDefault="00EF7E23" w:rsidP="00EF7E23">
      <w:pPr>
        <w:pStyle w:val="BodyText"/>
      </w:pPr>
      <w:r>
        <w:rPr>
          <w:rStyle w:val="Heading4Char"/>
          <w:rFonts w:ascii="Calibri" w:hAnsi="Calibri"/>
          <w:color w:val="4472C4"/>
          <w:sz w:val="24"/>
          <w:szCs w:val="24"/>
        </w:rPr>
        <w:t>Cadent recognises that the ability to blend green gases at scale will be likely to have significant variations from one region to another.  Would you consider it to be acceptable and or practicable to apply different billing options in different regions, and are there any issues you would envisage?</w:t>
      </w:r>
    </w:p>
    <w:tbl>
      <w:tblPr>
        <w:tblW w:w="0" w:type="auto"/>
        <w:tblCellMar>
          <w:left w:w="0" w:type="dxa"/>
          <w:right w:w="0" w:type="dxa"/>
        </w:tblCellMar>
        <w:tblLook w:val="04A0" w:firstRow="1" w:lastRow="0" w:firstColumn="1" w:lastColumn="0" w:noHBand="0" w:noVBand="1"/>
      </w:tblPr>
      <w:tblGrid>
        <w:gridCol w:w="1128"/>
        <w:gridCol w:w="503"/>
        <w:gridCol w:w="7375"/>
      </w:tblGrid>
      <w:tr w:rsidR="00EF7E23" w14:paraId="1C6210F5" w14:textId="77777777">
        <w:tc>
          <w:tcPr>
            <w:tcW w:w="1128" w:type="dxa"/>
            <w:tcBorders>
              <w:top w:val="single" w:sz="8" w:space="0" w:color="auto"/>
              <w:left w:val="single" w:sz="8" w:space="0" w:color="auto"/>
              <w:bottom w:val="single" w:sz="8" w:space="0" w:color="auto"/>
              <w:right w:val="single" w:sz="8" w:space="0" w:color="auto"/>
            </w:tcBorders>
            <w:shd w:val="clear" w:color="auto" w:fill="D5DCE4"/>
            <w:tcMar>
              <w:top w:w="0" w:type="dxa"/>
              <w:left w:w="108" w:type="dxa"/>
              <w:bottom w:w="0" w:type="dxa"/>
              <w:right w:w="108" w:type="dxa"/>
            </w:tcMar>
            <w:hideMark/>
          </w:tcPr>
          <w:p w14:paraId="52285E74" w14:textId="77777777" w:rsidR="00EF7E23" w:rsidRDefault="00EF7E23">
            <w:r>
              <w:rPr>
                <w:rFonts w:ascii="Verdana" w:hAnsi="Verdana"/>
                <w:sz w:val="18"/>
                <w:szCs w:val="18"/>
              </w:rPr>
              <w:t>Response</w:t>
            </w:r>
          </w:p>
        </w:tc>
        <w:tc>
          <w:tcPr>
            <w:tcW w:w="503" w:type="dxa"/>
            <w:tcBorders>
              <w:top w:val="single" w:sz="8" w:space="0" w:color="auto"/>
              <w:left w:val="nil"/>
              <w:bottom w:val="single" w:sz="8" w:space="0" w:color="auto"/>
              <w:right w:val="single" w:sz="8" w:space="0" w:color="auto"/>
            </w:tcBorders>
            <w:shd w:val="clear" w:color="auto" w:fill="D5DCE4"/>
            <w:tcMar>
              <w:top w:w="0" w:type="dxa"/>
              <w:left w:w="108" w:type="dxa"/>
              <w:bottom w:w="0" w:type="dxa"/>
              <w:right w:w="108" w:type="dxa"/>
            </w:tcMar>
            <w:hideMark/>
          </w:tcPr>
          <w:p w14:paraId="71BC71C9" w14:textId="77777777" w:rsidR="00EF7E23" w:rsidRDefault="00EF7E23">
            <w:r>
              <w:rPr>
                <w:rFonts w:ascii="Verdana" w:hAnsi="Verdana"/>
                <w:color w:val="000000"/>
                <w:sz w:val="18"/>
                <w:szCs w:val="18"/>
              </w:rPr>
              <w:t>(X)</w:t>
            </w:r>
          </w:p>
        </w:tc>
        <w:tc>
          <w:tcPr>
            <w:tcW w:w="7385" w:type="dxa"/>
            <w:tcBorders>
              <w:top w:val="single" w:sz="8" w:space="0" w:color="auto"/>
              <w:left w:val="nil"/>
              <w:bottom w:val="single" w:sz="8" w:space="0" w:color="auto"/>
              <w:right w:val="single" w:sz="8" w:space="0" w:color="auto"/>
            </w:tcBorders>
            <w:shd w:val="clear" w:color="auto" w:fill="D5DCE4"/>
            <w:tcMar>
              <w:top w:w="0" w:type="dxa"/>
              <w:left w:w="108" w:type="dxa"/>
              <w:bottom w:w="0" w:type="dxa"/>
              <w:right w:w="108" w:type="dxa"/>
            </w:tcMar>
            <w:hideMark/>
          </w:tcPr>
          <w:p w14:paraId="65663091" w14:textId="77777777" w:rsidR="00EF7E23" w:rsidRDefault="00EF7E23">
            <w:r>
              <w:rPr>
                <w:color w:val="000000"/>
              </w:rPr>
              <w:t>Please explain the reasoning for your response in this section.</w:t>
            </w:r>
          </w:p>
        </w:tc>
      </w:tr>
      <w:tr w:rsidR="00EF7E23" w14:paraId="4031D191" w14:textId="77777777">
        <w:trPr>
          <w:trHeight w:val="1064"/>
        </w:trPr>
        <w:tc>
          <w:tcPr>
            <w:tcW w:w="1128" w:type="dxa"/>
            <w:tcBorders>
              <w:top w:val="nil"/>
              <w:left w:val="single" w:sz="8" w:space="0" w:color="auto"/>
              <w:bottom w:val="single" w:sz="8" w:space="0" w:color="auto"/>
              <w:right w:val="single" w:sz="8" w:space="0" w:color="auto"/>
            </w:tcBorders>
            <w:shd w:val="clear" w:color="auto" w:fill="D5DCE4"/>
            <w:tcMar>
              <w:top w:w="0" w:type="dxa"/>
              <w:left w:w="108" w:type="dxa"/>
              <w:bottom w:w="0" w:type="dxa"/>
              <w:right w:w="108" w:type="dxa"/>
            </w:tcMar>
            <w:hideMark/>
          </w:tcPr>
          <w:p w14:paraId="79313827" w14:textId="77777777" w:rsidR="00EF7E23" w:rsidRDefault="00EF7E23">
            <w:r>
              <w:rPr>
                <w:rFonts w:ascii="Verdana" w:hAnsi="Verdana"/>
                <w:color w:val="000000"/>
                <w:sz w:val="18"/>
                <w:szCs w:val="18"/>
              </w:rPr>
              <w:lastRenderedPageBreak/>
              <w:t>Yes</w:t>
            </w:r>
          </w:p>
        </w:tc>
        <w:tc>
          <w:tcPr>
            <w:tcW w:w="503" w:type="dxa"/>
            <w:tcBorders>
              <w:top w:val="nil"/>
              <w:left w:val="nil"/>
              <w:bottom w:val="single" w:sz="8" w:space="0" w:color="auto"/>
              <w:right w:val="single" w:sz="8" w:space="0" w:color="auto"/>
            </w:tcBorders>
            <w:tcMar>
              <w:top w:w="0" w:type="dxa"/>
              <w:left w:w="108" w:type="dxa"/>
              <w:bottom w:w="0" w:type="dxa"/>
              <w:right w:w="108" w:type="dxa"/>
            </w:tcMar>
            <w:hideMark/>
          </w:tcPr>
          <w:p w14:paraId="7044365D" w14:textId="05DC4694" w:rsidR="00EF7E23" w:rsidRDefault="00EF7E23">
            <w:r>
              <w:rPr>
                <w:rFonts w:ascii="Verdana" w:hAnsi="Verdana"/>
                <w:sz w:val="18"/>
                <w:szCs w:val="18"/>
              </w:rPr>
              <w:t> </w:t>
            </w:r>
            <w:r w:rsidR="00BB2A11">
              <w:rPr>
                <w:rFonts w:ascii="Verdana" w:hAnsi="Verdana"/>
                <w:sz w:val="18"/>
                <w:szCs w:val="18"/>
              </w:rPr>
              <w:t>X</w:t>
            </w:r>
          </w:p>
        </w:tc>
        <w:tc>
          <w:tcPr>
            <w:tcW w:w="738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03E673EB" w14:textId="1823B650" w:rsidR="00EF7E23" w:rsidRDefault="00EF7E23">
            <w:r>
              <w:rPr>
                <w:rFonts w:ascii="Verdana" w:hAnsi="Verdana"/>
                <w:sz w:val="18"/>
                <w:szCs w:val="18"/>
              </w:rPr>
              <w:t> </w:t>
            </w:r>
            <w:r w:rsidR="00926774" w:rsidRPr="003D3054">
              <w:t xml:space="preserve">Options B and C should be able to accommodate different billing options in different regions. </w:t>
            </w:r>
          </w:p>
          <w:p w14:paraId="3AF9A1AA" w14:textId="77777777" w:rsidR="00EF7E23" w:rsidRDefault="00EF7E23">
            <w:r w:rsidRPr="003D3054">
              <w:t> </w:t>
            </w:r>
          </w:p>
          <w:p w14:paraId="15BBBF71" w14:textId="77777777" w:rsidR="00EF7E23" w:rsidRDefault="00EF7E23">
            <w:r>
              <w:rPr>
                <w:rFonts w:ascii="Verdana" w:hAnsi="Verdana"/>
                <w:sz w:val="18"/>
                <w:szCs w:val="18"/>
              </w:rPr>
              <w:t> </w:t>
            </w:r>
          </w:p>
          <w:p w14:paraId="5EAC0CDE" w14:textId="77777777" w:rsidR="00EF7E23" w:rsidRDefault="00EF7E23">
            <w:r>
              <w:rPr>
                <w:rFonts w:ascii="Verdana" w:hAnsi="Verdana"/>
                <w:sz w:val="18"/>
                <w:szCs w:val="18"/>
              </w:rPr>
              <w:t> </w:t>
            </w:r>
          </w:p>
          <w:p w14:paraId="0976910B" w14:textId="77777777" w:rsidR="00EF7E23" w:rsidRDefault="00EF7E23">
            <w:r>
              <w:rPr>
                <w:rFonts w:ascii="Verdana" w:hAnsi="Verdana"/>
                <w:sz w:val="18"/>
                <w:szCs w:val="18"/>
              </w:rPr>
              <w:t> </w:t>
            </w:r>
          </w:p>
          <w:p w14:paraId="24A71828" w14:textId="77777777" w:rsidR="00EF7E23" w:rsidRDefault="00EF7E23">
            <w:r>
              <w:rPr>
                <w:rFonts w:ascii="Verdana" w:hAnsi="Verdana"/>
                <w:sz w:val="18"/>
                <w:szCs w:val="18"/>
              </w:rPr>
              <w:t> </w:t>
            </w:r>
          </w:p>
          <w:p w14:paraId="3956831C" w14:textId="77777777" w:rsidR="00EF7E23" w:rsidRDefault="00EF7E23">
            <w:r>
              <w:rPr>
                <w:rFonts w:ascii="Verdana" w:hAnsi="Verdana"/>
                <w:sz w:val="18"/>
                <w:szCs w:val="18"/>
              </w:rPr>
              <w:t> </w:t>
            </w:r>
          </w:p>
          <w:p w14:paraId="46F09513" w14:textId="77777777" w:rsidR="00EF7E23" w:rsidRDefault="00EF7E23">
            <w:r>
              <w:rPr>
                <w:rFonts w:ascii="Verdana" w:hAnsi="Verdana"/>
                <w:sz w:val="18"/>
                <w:szCs w:val="18"/>
              </w:rPr>
              <w:t> </w:t>
            </w:r>
          </w:p>
          <w:p w14:paraId="1693D3D2" w14:textId="77777777" w:rsidR="00EF7E23" w:rsidRDefault="00EF7E23">
            <w:r>
              <w:rPr>
                <w:rFonts w:ascii="Verdana" w:hAnsi="Verdana"/>
                <w:sz w:val="18"/>
                <w:szCs w:val="18"/>
              </w:rPr>
              <w:t> </w:t>
            </w:r>
          </w:p>
        </w:tc>
      </w:tr>
      <w:tr w:rsidR="00EF7E23" w14:paraId="4540C6CF" w14:textId="77777777">
        <w:tc>
          <w:tcPr>
            <w:tcW w:w="1128" w:type="dxa"/>
            <w:tcBorders>
              <w:top w:val="nil"/>
              <w:left w:val="single" w:sz="8" w:space="0" w:color="auto"/>
              <w:bottom w:val="single" w:sz="8" w:space="0" w:color="auto"/>
              <w:right w:val="single" w:sz="8" w:space="0" w:color="auto"/>
            </w:tcBorders>
            <w:shd w:val="clear" w:color="auto" w:fill="D5DCE4"/>
            <w:tcMar>
              <w:top w:w="0" w:type="dxa"/>
              <w:left w:w="108" w:type="dxa"/>
              <w:bottom w:w="0" w:type="dxa"/>
              <w:right w:w="108" w:type="dxa"/>
            </w:tcMar>
            <w:hideMark/>
          </w:tcPr>
          <w:p w14:paraId="52417CF2" w14:textId="77777777" w:rsidR="00EF7E23" w:rsidRDefault="00EF7E23">
            <w:r>
              <w:rPr>
                <w:rFonts w:ascii="Verdana" w:hAnsi="Verdana"/>
                <w:color w:val="000000"/>
                <w:sz w:val="18"/>
                <w:szCs w:val="18"/>
              </w:rPr>
              <w:t>No</w:t>
            </w:r>
          </w:p>
        </w:tc>
        <w:tc>
          <w:tcPr>
            <w:tcW w:w="503" w:type="dxa"/>
            <w:tcBorders>
              <w:top w:val="nil"/>
              <w:left w:val="nil"/>
              <w:bottom w:val="single" w:sz="8" w:space="0" w:color="auto"/>
              <w:right w:val="single" w:sz="8" w:space="0" w:color="auto"/>
            </w:tcBorders>
            <w:tcMar>
              <w:top w:w="0" w:type="dxa"/>
              <w:left w:w="108" w:type="dxa"/>
              <w:bottom w:w="0" w:type="dxa"/>
              <w:right w:w="108" w:type="dxa"/>
            </w:tcMar>
            <w:hideMark/>
          </w:tcPr>
          <w:p w14:paraId="35631E84" w14:textId="77777777" w:rsidR="00EF7E23" w:rsidRDefault="00EF7E23">
            <w:r>
              <w:rPr>
                <w:rFonts w:ascii="Verdana" w:hAnsi="Verdana"/>
                <w:sz w:val="18"/>
                <w:szCs w:val="18"/>
              </w:rPr>
              <w:t> </w:t>
            </w:r>
          </w:p>
        </w:tc>
        <w:tc>
          <w:tcPr>
            <w:tcW w:w="0" w:type="auto"/>
            <w:vMerge/>
            <w:tcBorders>
              <w:top w:val="nil"/>
              <w:left w:val="nil"/>
              <w:bottom w:val="single" w:sz="8" w:space="0" w:color="auto"/>
              <w:right w:val="single" w:sz="8" w:space="0" w:color="auto"/>
            </w:tcBorders>
            <w:vAlign w:val="center"/>
            <w:hideMark/>
          </w:tcPr>
          <w:p w14:paraId="3696762F" w14:textId="77777777" w:rsidR="00EF7E23" w:rsidRDefault="00EF7E23"/>
        </w:tc>
      </w:tr>
    </w:tbl>
    <w:p w14:paraId="6117D5F4" w14:textId="77777777" w:rsidR="00EF7E23" w:rsidRDefault="00EF7E23" w:rsidP="00EF7E23">
      <w:pPr>
        <w:pStyle w:val="BodyText"/>
      </w:pPr>
      <w:r>
        <w:rPr>
          <w:rStyle w:val="Heading4Char"/>
          <w:rFonts w:ascii="Calibri" w:hAnsi="Calibri"/>
          <w:color w:val="4472C4"/>
          <w:sz w:val="24"/>
          <w:szCs w:val="24"/>
          <w:lang w:eastAsia="en-GB"/>
        </w:rPr>
        <w:t> </w:t>
      </w:r>
    </w:p>
    <w:p w14:paraId="6A77DAEA" w14:textId="77777777" w:rsidR="00EF7E23" w:rsidRDefault="00EF7E23" w:rsidP="00EF7E23">
      <w:pPr>
        <w:pStyle w:val="BodyText"/>
      </w:pPr>
      <w:r>
        <w:rPr>
          <w:rStyle w:val="Heading4Char"/>
          <w:rFonts w:ascii="Calibri" w:hAnsi="Calibri"/>
          <w:color w:val="4472C4"/>
          <w:sz w:val="24"/>
          <w:szCs w:val="24"/>
        </w:rPr>
        <w:t xml:space="preserve">Question 8:      Green gas scenarios applied in the updated cost benefit analysis </w:t>
      </w:r>
    </w:p>
    <w:p w14:paraId="131624B8" w14:textId="77777777" w:rsidR="00EF7E23" w:rsidRDefault="00EF7E23" w:rsidP="00EF7E23">
      <w:pPr>
        <w:pStyle w:val="BodyText"/>
      </w:pPr>
      <w:r>
        <w:rPr>
          <w:rStyle w:val="Heading4Char"/>
          <w:rFonts w:ascii="Calibri" w:hAnsi="Calibri"/>
          <w:color w:val="4472C4"/>
          <w:sz w:val="24"/>
          <w:szCs w:val="24"/>
        </w:rPr>
        <w:t>Do you have any alternative views on the scenarios and projections set out in section 6.3 of the consultation document?</w:t>
      </w:r>
    </w:p>
    <w:tbl>
      <w:tblPr>
        <w:tblW w:w="0" w:type="auto"/>
        <w:tblCellMar>
          <w:left w:w="0" w:type="dxa"/>
          <w:right w:w="0" w:type="dxa"/>
        </w:tblCellMar>
        <w:tblLook w:val="04A0" w:firstRow="1" w:lastRow="0" w:firstColumn="1" w:lastColumn="0" w:noHBand="0" w:noVBand="1"/>
      </w:tblPr>
      <w:tblGrid>
        <w:gridCol w:w="9006"/>
      </w:tblGrid>
      <w:tr w:rsidR="00EF7E23" w14:paraId="2345D6C6" w14:textId="77777777">
        <w:tc>
          <w:tcPr>
            <w:tcW w:w="9016" w:type="dxa"/>
            <w:tcBorders>
              <w:top w:val="single" w:sz="8" w:space="0" w:color="auto"/>
              <w:left w:val="single" w:sz="8" w:space="0" w:color="auto"/>
              <w:bottom w:val="single" w:sz="8" w:space="0" w:color="auto"/>
              <w:right w:val="single" w:sz="8" w:space="0" w:color="auto"/>
            </w:tcBorders>
            <w:shd w:val="clear" w:color="auto" w:fill="D5DCE4"/>
            <w:tcMar>
              <w:top w:w="0" w:type="dxa"/>
              <w:left w:w="108" w:type="dxa"/>
              <w:bottom w:w="0" w:type="dxa"/>
              <w:right w:w="108" w:type="dxa"/>
            </w:tcMar>
            <w:hideMark/>
          </w:tcPr>
          <w:p w14:paraId="538B54EC" w14:textId="77777777" w:rsidR="00EF7E23" w:rsidRDefault="00EF7E23">
            <w:r>
              <w:rPr>
                <w:rFonts w:ascii="Verdana" w:hAnsi="Verdana"/>
                <w:sz w:val="18"/>
                <w:szCs w:val="18"/>
              </w:rPr>
              <w:t xml:space="preserve">Please insert your comments, </w:t>
            </w:r>
            <w:r>
              <w:rPr>
                <w:rFonts w:ascii="Verdana" w:hAnsi="Verdana"/>
                <w:color w:val="000000"/>
                <w:sz w:val="18"/>
                <w:szCs w:val="18"/>
              </w:rPr>
              <w:t>supporting information and references to relevant source documentation in the space below.</w:t>
            </w:r>
          </w:p>
        </w:tc>
      </w:tr>
      <w:tr w:rsidR="00EF7E23" w14:paraId="220B9DFF" w14:textId="77777777">
        <w:trPr>
          <w:trHeight w:val="1441"/>
        </w:trPr>
        <w:tc>
          <w:tcPr>
            <w:tcW w:w="90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4D3921" w14:textId="77777777" w:rsidR="00EF7E23" w:rsidRDefault="00EF7E23">
            <w:r>
              <w:rPr>
                <w:rFonts w:ascii="Verdana" w:hAnsi="Verdana"/>
                <w:sz w:val="18"/>
                <w:szCs w:val="18"/>
              </w:rPr>
              <w:t> </w:t>
            </w:r>
          </w:p>
          <w:p w14:paraId="3295809B" w14:textId="6E797DDB" w:rsidR="00EF7E23" w:rsidRDefault="00EF7E23">
            <w:r>
              <w:rPr>
                <w:rFonts w:ascii="Verdana" w:hAnsi="Verdana"/>
                <w:sz w:val="18"/>
                <w:szCs w:val="18"/>
              </w:rPr>
              <w:t> </w:t>
            </w:r>
            <w:r w:rsidR="00BB2A11">
              <w:rPr>
                <w:rFonts w:ascii="Verdana" w:hAnsi="Verdana"/>
                <w:sz w:val="18"/>
                <w:szCs w:val="18"/>
              </w:rPr>
              <w:t xml:space="preserve">NA </w:t>
            </w:r>
          </w:p>
          <w:p w14:paraId="2C737714" w14:textId="77777777" w:rsidR="00EF7E23" w:rsidRDefault="00EF7E23">
            <w:r>
              <w:rPr>
                <w:rFonts w:ascii="Verdana" w:hAnsi="Verdana"/>
                <w:sz w:val="18"/>
                <w:szCs w:val="18"/>
              </w:rPr>
              <w:t> </w:t>
            </w:r>
          </w:p>
          <w:p w14:paraId="64ABF9A7" w14:textId="77777777" w:rsidR="00EF7E23" w:rsidRDefault="00EF7E23">
            <w:r>
              <w:rPr>
                <w:rFonts w:ascii="Verdana" w:hAnsi="Verdana"/>
                <w:sz w:val="18"/>
                <w:szCs w:val="18"/>
              </w:rPr>
              <w:t> </w:t>
            </w:r>
          </w:p>
          <w:p w14:paraId="34956F22" w14:textId="77777777" w:rsidR="00EF7E23" w:rsidRDefault="00EF7E23">
            <w:r>
              <w:rPr>
                <w:rFonts w:ascii="Verdana" w:hAnsi="Verdana"/>
                <w:sz w:val="18"/>
                <w:szCs w:val="18"/>
              </w:rPr>
              <w:t> </w:t>
            </w:r>
          </w:p>
          <w:p w14:paraId="63D541AB" w14:textId="77777777" w:rsidR="00EF7E23" w:rsidRDefault="00EF7E23">
            <w:r>
              <w:rPr>
                <w:rFonts w:ascii="Verdana" w:hAnsi="Verdana"/>
                <w:sz w:val="18"/>
                <w:szCs w:val="18"/>
              </w:rPr>
              <w:t> </w:t>
            </w:r>
          </w:p>
          <w:p w14:paraId="0745208E" w14:textId="77777777" w:rsidR="00EF7E23" w:rsidRDefault="00EF7E23">
            <w:r>
              <w:rPr>
                <w:rFonts w:ascii="Verdana" w:hAnsi="Verdana"/>
                <w:sz w:val="18"/>
                <w:szCs w:val="18"/>
              </w:rPr>
              <w:t> </w:t>
            </w:r>
          </w:p>
          <w:p w14:paraId="01FE9C7D" w14:textId="77777777" w:rsidR="00EF7E23" w:rsidRDefault="00EF7E23">
            <w:r>
              <w:rPr>
                <w:rFonts w:ascii="Verdana" w:hAnsi="Verdana"/>
                <w:sz w:val="18"/>
                <w:szCs w:val="18"/>
              </w:rPr>
              <w:t> </w:t>
            </w:r>
          </w:p>
          <w:p w14:paraId="1FC62408" w14:textId="77777777" w:rsidR="00EF7E23" w:rsidRDefault="00EF7E23">
            <w:r>
              <w:rPr>
                <w:rFonts w:ascii="Verdana" w:hAnsi="Verdana"/>
                <w:sz w:val="18"/>
                <w:szCs w:val="18"/>
              </w:rPr>
              <w:t> </w:t>
            </w:r>
          </w:p>
          <w:p w14:paraId="0F60F85D" w14:textId="77777777" w:rsidR="00EF7E23" w:rsidRDefault="00EF7E23">
            <w:r>
              <w:rPr>
                <w:rFonts w:ascii="Verdana" w:hAnsi="Verdana"/>
                <w:sz w:val="18"/>
                <w:szCs w:val="18"/>
              </w:rPr>
              <w:t> </w:t>
            </w:r>
          </w:p>
          <w:p w14:paraId="1624CDC5" w14:textId="77777777" w:rsidR="00EF7E23" w:rsidRDefault="00EF7E23">
            <w:r>
              <w:rPr>
                <w:rFonts w:ascii="Verdana" w:hAnsi="Verdana"/>
                <w:sz w:val="18"/>
                <w:szCs w:val="18"/>
              </w:rPr>
              <w:t> </w:t>
            </w:r>
          </w:p>
          <w:p w14:paraId="1CF6CB12" w14:textId="77777777" w:rsidR="00EF7E23" w:rsidRDefault="00EF7E23">
            <w:r>
              <w:rPr>
                <w:rFonts w:ascii="Verdana" w:hAnsi="Verdana"/>
                <w:sz w:val="18"/>
                <w:szCs w:val="18"/>
              </w:rPr>
              <w:t> </w:t>
            </w:r>
          </w:p>
          <w:p w14:paraId="42D93679" w14:textId="77777777" w:rsidR="00EF7E23" w:rsidRDefault="00EF7E23">
            <w:r>
              <w:rPr>
                <w:rFonts w:ascii="Verdana" w:hAnsi="Verdana"/>
                <w:sz w:val="18"/>
                <w:szCs w:val="18"/>
              </w:rPr>
              <w:t> </w:t>
            </w:r>
          </w:p>
        </w:tc>
      </w:tr>
    </w:tbl>
    <w:p w14:paraId="32B8F18A" w14:textId="77777777" w:rsidR="00EF7E23" w:rsidRDefault="00EF7E23" w:rsidP="00EF7E23">
      <w:pPr>
        <w:pStyle w:val="BodyText"/>
      </w:pPr>
      <w:r>
        <w:rPr>
          <w:rStyle w:val="Heading4Char"/>
          <w:rFonts w:ascii="Calibri" w:hAnsi="Calibri"/>
          <w:color w:val="4472C4"/>
          <w:sz w:val="24"/>
          <w:szCs w:val="24"/>
        </w:rPr>
        <w:t xml:space="preserve">Question 9:      General </w:t>
      </w:r>
    </w:p>
    <w:p w14:paraId="7C1713EB" w14:textId="77777777" w:rsidR="00EF7E23" w:rsidRDefault="00EF7E23" w:rsidP="00EF7E23">
      <w:pPr>
        <w:pStyle w:val="BodyText"/>
      </w:pPr>
      <w:r>
        <w:rPr>
          <w:rStyle w:val="Heading4Char"/>
          <w:rFonts w:ascii="Calibri" w:hAnsi="Calibri"/>
          <w:color w:val="4472C4"/>
          <w:sz w:val="24"/>
          <w:szCs w:val="24"/>
        </w:rPr>
        <w:t>Do you have any other comments or questions relating to potential options for decarbonising gas distribution networks?</w:t>
      </w:r>
    </w:p>
    <w:tbl>
      <w:tblPr>
        <w:tblW w:w="0" w:type="auto"/>
        <w:tblCellMar>
          <w:left w:w="0" w:type="dxa"/>
          <w:right w:w="0" w:type="dxa"/>
        </w:tblCellMar>
        <w:tblLook w:val="04A0" w:firstRow="1" w:lastRow="0" w:firstColumn="1" w:lastColumn="0" w:noHBand="0" w:noVBand="1"/>
      </w:tblPr>
      <w:tblGrid>
        <w:gridCol w:w="9006"/>
      </w:tblGrid>
      <w:tr w:rsidR="00EF7E23" w14:paraId="495D0EE9" w14:textId="77777777">
        <w:tc>
          <w:tcPr>
            <w:tcW w:w="9016" w:type="dxa"/>
            <w:tcBorders>
              <w:top w:val="single" w:sz="8" w:space="0" w:color="auto"/>
              <w:left w:val="single" w:sz="8" w:space="0" w:color="auto"/>
              <w:bottom w:val="single" w:sz="8" w:space="0" w:color="auto"/>
              <w:right w:val="single" w:sz="8" w:space="0" w:color="auto"/>
            </w:tcBorders>
            <w:shd w:val="clear" w:color="auto" w:fill="D5DCE4"/>
            <w:tcMar>
              <w:top w:w="0" w:type="dxa"/>
              <w:left w:w="108" w:type="dxa"/>
              <w:bottom w:w="0" w:type="dxa"/>
              <w:right w:w="108" w:type="dxa"/>
            </w:tcMar>
            <w:hideMark/>
          </w:tcPr>
          <w:p w14:paraId="1C6427F1" w14:textId="77777777" w:rsidR="00EF7E23" w:rsidRDefault="00EF7E23">
            <w:r>
              <w:rPr>
                <w:rFonts w:ascii="Verdana" w:hAnsi="Verdana"/>
                <w:sz w:val="18"/>
                <w:szCs w:val="18"/>
              </w:rPr>
              <w:t>Please insert your comments in the space below.</w:t>
            </w:r>
          </w:p>
        </w:tc>
      </w:tr>
      <w:tr w:rsidR="00EF7E23" w14:paraId="4B9B26E4" w14:textId="77777777" w:rsidTr="00EF7E23">
        <w:trPr>
          <w:trHeight w:val="1441"/>
        </w:trPr>
        <w:tc>
          <w:tcPr>
            <w:tcW w:w="901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211C9A1" w14:textId="6074C334" w:rsidR="00EF7E23" w:rsidRDefault="00BB2A11">
            <w:r>
              <w:t xml:space="preserve">See comments made in response to Question 1. </w:t>
            </w:r>
          </w:p>
          <w:p w14:paraId="4F70D5D1" w14:textId="77777777" w:rsidR="00EF7E23" w:rsidRDefault="00EF7E23"/>
          <w:p w14:paraId="36C792D6" w14:textId="77777777" w:rsidR="00EF7E23" w:rsidRDefault="00EF7E23"/>
          <w:p w14:paraId="2158E267" w14:textId="77777777" w:rsidR="00EF7E23" w:rsidRDefault="00EF7E23"/>
          <w:p w14:paraId="69F247E8" w14:textId="77777777" w:rsidR="00EF7E23" w:rsidRDefault="00EF7E23"/>
          <w:p w14:paraId="0EBD7BDB" w14:textId="77777777" w:rsidR="00EF7E23" w:rsidRDefault="00EF7E23"/>
          <w:p w14:paraId="16453B9B" w14:textId="77777777" w:rsidR="00EF7E23" w:rsidRDefault="00EF7E23"/>
          <w:p w14:paraId="790C61E0" w14:textId="77777777" w:rsidR="00EF7E23" w:rsidRDefault="00EF7E23"/>
          <w:p w14:paraId="6B13D3E5" w14:textId="77777777" w:rsidR="00EF7E23" w:rsidRDefault="00EF7E23"/>
          <w:p w14:paraId="72B4EC67" w14:textId="77777777" w:rsidR="00EF7E23" w:rsidRDefault="00EF7E23"/>
          <w:p w14:paraId="21DE2122" w14:textId="77777777" w:rsidR="00EF7E23" w:rsidRDefault="00EF7E23"/>
          <w:p w14:paraId="61A9D69D" w14:textId="77777777" w:rsidR="00EF7E23" w:rsidRDefault="00EF7E23"/>
        </w:tc>
      </w:tr>
    </w:tbl>
    <w:p w14:paraId="1622B309" w14:textId="7E87EC75" w:rsidR="00F04610" w:rsidRDefault="00F04610" w:rsidP="00EF7E23"/>
    <w:sectPr w:rsidR="00F04610">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FA4E8" w14:textId="77777777" w:rsidR="001C115A" w:rsidRDefault="001C115A" w:rsidP="00747D30">
      <w:r>
        <w:separator/>
      </w:r>
    </w:p>
  </w:endnote>
  <w:endnote w:type="continuationSeparator" w:id="0">
    <w:p w14:paraId="65FC7683" w14:textId="77777777" w:rsidR="001C115A" w:rsidRDefault="001C115A" w:rsidP="00747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517FE" w14:textId="77777777" w:rsidR="001C115A" w:rsidRDefault="001C115A" w:rsidP="00747D30">
      <w:r>
        <w:separator/>
      </w:r>
    </w:p>
  </w:footnote>
  <w:footnote w:type="continuationSeparator" w:id="0">
    <w:p w14:paraId="53D9A1DC" w14:textId="77777777" w:rsidR="001C115A" w:rsidRDefault="001C115A" w:rsidP="00747D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6C6E5" w14:textId="312FE93C" w:rsidR="00A06129" w:rsidRDefault="005356B4">
    <w:pPr>
      <w:pStyle w:val="Header"/>
    </w:pPr>
    <w:r>
      <w:t>01/03/2022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14177"/>
    <w:multiLevelType w:val="hybridMultilevel"/>
    <w:tmpl w:val="6E80C0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3E83A3F"/>
    <w:multiLevelType w:val="hybridMultilevel"/>
    <w:tmpl w:val="9830FA52"/>
    <w:lvl w:ilvl="0" w:tplc="C1E4C32E">
      <w:start w:val="1"/>
      <w:numFmt w:val="bullet"/>
      <w:lvlText w:val="•"/>
      <w:lvlJc w:val="left"/>
      <w:pPr>
        <w:tabs>
          <w:tab w:val="num" w:pos="720"/>
        </w:tabs>
        <w:ind w:left="720" w:hanging="360"/>
      </w:pPr>
      <w:rPr>
        <w:rFonts w:ascii="Arial" w:hAnsi="Arial" w:hint="default"/>
      </w:rPr>
    </w:lvl>
    <w:lvl w:ilvl="1" w:tplc="4CD4D7C6" w:tentative="1">
      <w:start w:val="1"/>
      <w:numFmt w:val="bullet"/>
      <w:lvlText w:val="•"/>
      <w:lvlJc w:val="left"/>
      <w:pPr>
        <w:tabs>
          <w:tab w:val="num" w:pos="1440"/>
        </w:tabs>
        <w:ind w:left="1440" w:hanging="360"/>
      </w:pPr>
      <w:rPr>
        <w:rFonts w:ascii="Arial" w:hAnsi="Arial" w:hint="default"/>
      </w:rPr>
    </w:lvl>
    <w:lvl w:ilvl="2" w:tplc="6B564874" w:tentative="1">
      <w:start w:val="1"/>
      <w:numFmt w:val="bullet"/>
      <w:lvlText w:val="•"/>
      <w:lvlJc w:val="left"/>
      <w:pPr>
        <w:tabs>
          <w:tab w:val="num" w:pos="2160"/>
        </w:tabs>
        <w:ind w:left="2160" w:hanging="360"/>
      </w:pPr>
      <w:rPr>
        <w:rFonts w:ascii="Arial" w:hAnsi="Arial" w:hint="default"/>
      </w:rPr>
    </w:lvl>
    <w:lvl w:ilvl="3" w:tplc="DBB0A2CE" w:tentative="1">
      <w:start w:val="1"/>
      <w:numFmt w:val="bullet"/>
      <w:lvlText w:val="•"/>
      <w:lvlJc w:val="left"/>
      <w:pPr>
        <w:tabs>
          <w:tab w:val="num" w:pos="2880"/>
        </w:tabs>
        <w:ind w:left="2880" w:hanging="360"/>
      </w:pPr>
      <w:rPr>
        <w:rFonts w:ascii="Arial" w:hAnsi="Arial" w:hint="default"/>
      </w:rPr>
    </w:lvl>
    <w:lvl w:ilvl="4" w:tplc="3AAAEEE2" w:tentative="1">
      <w:start w:val="1"/>
      <w:numFmt w:val="bullet"/>
      <w:lvlText w:val="•"/>
      <w:lvlJc w:val="left"/>
      <w:pPr>
        <w:tabs>
          <w:tab w:val="num" w:pos="3600"/>
        </w:tabs>
        <w:ind w:left="3600" w:hanging="360"/>
      </w:pPr>
      <w:rPr>
        <w:rFonts w:ascii="Arial" w:hAnsi="Arial" w:hint="default"/>
      </w:rPr>
    </w:lvl>
    <w:lvl w:ilvl="5" w:tplc="128E2EC6" w:tentative="1">
      <w:start w:val="1"/>
      <w:numFmt w:val="bullet"/>
      <w:lvlText w:val="•"/>
      <w:lvlJc w:val="left"/>
      <w:pPr>
        <w:tabs>
          <w:tab w:val="num" w:pos="4320"/>
        </w:tabs>
        <w:ind w:left="4320" w:hanging="360"/>
      </w:pPr>
      <w:rPr>
        <w:rFonts w:ascii="Arial" w:hAnsi="Arial" w:hint="default"/>
      </w:rPr>
    </w:lvl>
    <w:lvl w:ilvl="6" w:tplc="DFF43090" w:tentative="1">
      <w:start w:val="1"/>
      <w:numFmt w:val="bullet"/>
      <w:lvlText w:val="•"/>
      <w:lvlJc w:val="left"/>
      <w:pPr>
        <w:tabs>
          <w:tab w:val="num" w:pos="5040"/>
        </w:tabs>
        <w:ind w:left="5040" w:hanging="360"/>
      </w:pPr>
      <w:rPr>
        <w:rFonts w:ascii="Arial" w:hAnsi="Arial" w:hint="default"/>
      </w:rPr>
    </w:lvl>
    <w:lvl w:ilvl="7" w:tplc="805E3CA6" w:tentative="1">
      <w:start w:val="1"/>
      <w:numFmt w:val="bullet"/>
      <w:lvlText w:val="•"/>
      <w:lvlJc w:val="left"/>
      <w:pPr>
        <w:tabs>
          <w:tab w:val="num" w:pos="5760"/>
        </w:tabs>
        <w:ind w:left="5760" w:hanging="360"/>
      </w:pPr>
      <w:rPr>
        <w:rFonts w:ascii="Arial" w:hAnsi="Arial" w:hint="default"/>
      </w:rPr>
    </w:lvl>
    <w:lvl w:ilvl="8" w:tplc="F74A8486"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E23"/>
    <w:rsid w:val="0001380E"/>
    <w:rsid w:val="00073728"/>
    <w:rsid w:val="000945F6"/>
    <w:rsid w:val="000D44FC"/>
    <w:rsid w:val="000F327D"/>
    <w:rsid w:val="0016627D"/>
    <w:rsid w:val="001C115A"/>
    <w:rsid w:val="001C73D4"/>
    <w:rsid w:val="002030AD"/>
    <w:rsid w:val="0023439C"/>
    <w:rsid w:val="002614AD"/>
    <w:rsid w:val="00261FED"/>
    <w:rsid w:val="002933A0"/>
    <w:rsid w:val="003131EB"/>
    <w:rsid w:val="003D3054"/>
    <w:rsid w:val="003E0CFF"/>
    <w:rsid w:val="003F4ECF"/>
    <w:rsid w:val="005356B4"/>
    <w:rsid w:val="00561148"/>
    <w:rsid w:val="00561C22"/>
    <w:rsid w:val="005627F0"/>
    <w:rsid w:val="00734088"/>
    <w:rsid w:val="00741301"/>
    <w:rsid w:val="00747D30"/>
    <w:rsid w:val="007E5E50"/>
    <w:rsid w:val="008B3709"/>
    <w:rsid w:val="008D6644"/>
    <w:rsid w:val="008E12D5"/>
    <w:rsid w:val="00926774"/>
    <w:rsid w:val="009414B6"/>
    <w:rsid w:val="00942467"/>
    <w:rsid w:val="009F287B"/>
    <w:rsid w:val="00A016FD"/>
    <w:rsid w:val="00A06129"/>
    <w:rsid w:val="00AB7A49"/>
    <w:rsid w:val="00AD336C"/>
    <w:rsid w:val="00B27BA7"/>
    <w:rsid w:val="00B73CA2"/>
    <w:rsid w:val="00BB2A11"/>
    <w:rsid w:val="00BF2C26"/>
    <w:rsid w:val="00CC3B3A"/>
    <w:rsid w:val="00D16C8C"/>
    <w:rsid w:val="00D522C2"/>
    <w:rsid w:val="00EF7E23"/>
    <w:rsid w:val="00F02A56"/>
    <w:rsid w:val="00F04610"/>
    <w:rsid w:val="00F51F99"/>
    <w:rsid w:val="00F67B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A9B10"/>
  <w15:chartTrackingRefBased/>
  <w15:docId w15:val="{3C726F08-9EBB-43D0-9566-DBE9B4D69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E23"/>
    <w:pPr>
      <w:spacing w:after="0" w:line="240" w:lineRule="auto"/>
    </w:pPr>
    <w:rPr>
      <w:rFonts w:ascii="Calibri" w:hAnsi="Calibri" w:cs="Calibri"/>
    </w:rPr>
  </w:style>
  <w:style w:type="paragraph" w:styleId="Heading4">
    <w:name w:val="heading 4"/>
    <w:basedOn w:val="Normal"/>
    <w:link w:val="Heading4Char"/>
    <w:uiPriority w:val="9"/>
    <w:semiHidden/>
    <w:unhideWhenUsed/>
    <w:qFormat/>
    <w:rsid w:val="00EF7E23"/>
    <w:pPr>
      <w:keepNext/>
      <w:spacing w:before="120"/>
      <w:ind w:left="1843" w:hanging="1134"/>
      <w:outlineLvl w:val="3"/>
    </w:pPr>
    <w:rPr>
      <w:rFonts w:ascii="Verdana" w:hAnsi="Verdana"/>
      <w:b/>
      <w:bCs/>
      <w:color w:val="009FD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EF7E23"/>
    <w:rPr>
      <w:rFonts w:ascii="Verdana" w:hAnsi="Verdana" w:cs="Calibri"/>
      <w:b/>
      <w:bCs/>
      <w:color w:val="009FDA"/>
      <w:lang w:eastAsia="zh-CN"/>
    </w:rPr>
  </w:style>
  <w:style w:type="paragraph" w:styleId="BodyText">
    <w:name w:val="Body Text"/>
    <w:basedOn w:val="Normal"/>
    <w:link w:val="BodyTextChar"/>
    <w:uiPriority w:val="99"/>
    <w:semiHidden/>
    <w:unhideWhenUsed/>
    <w:rsid w:val="00EF7E23"/>
    <w:pPr>
      <w:spacing w:before="40" w:after="140" w:line="280" w:lineRule="atLeast"/>
    </w:pPr>
    <w:rPr>
      <w:rFonts w:ascii="Verdana" w:hAnsi="Verdana"/>
      <w:sz w:val="18"/>
      <w:szCs w:val="18"/>
      <w:lang w:eastAsia="zh-CN"/>
    </w:rPr>
  </w:style>
  <w:style w:type="character" w:customStyle="1" w:styleId="BodyTextChar">
    <w:name w:val="Body Text Char"/>
    <w:basedOn w:val="DefaultParagraphFont"/>
    <w:link w:val="BodyText"/>
    <w:uiPriority w:val="99"/>
    <w:semiHidden/>
    <w:rsid w:val="00EF7E23"/>
    <w:rPr>
      <w:rFonts w:ascii="Verdana" w:hAnsi="Verdana" w:cs="Calibri"/>
      <w:sz w:val="18"/>
      <w:szCs w:val="18"/>
      <w:lang w:eastAsia="zh-CN"/>
    </w:rPr>
  </w:style>
  <w:style w:type="paragraph" w:styleId="Header">
    <w:name w:val="header"/>
    <w:basedOn w:val="Normal"/>
    <w:link w:val="HeaderChar"/>
    <w:uiPriority w:val="99"/>
    <w:unhideWhenUsed/>
    <w:rsid w:val="00747D30"/>
    <w:pPr>
      <w:tabs>
        <w:tab w:val="center" w:pos="4513"/>
        <w:tab w:val="right" w:pos="9026"/>
      </w:tabs>
    </w:pPr>
  </w:style>
  <w:style w:type="character" w:customStyle="1" w:styleId="HeaderChar">
    <w:name w:val="Header Char"/>
    <w:basedOn w:val="DefaultParagraphFont"/>
    <w:link w:val="Header"/>
    <w:uiPriority w:val="99"/>
    <w:rsid w:val="00747D30"/>
    <w:rPr>
      <w:rFonts w:ascii="Calibri" w:hAnsi="Calibri" w:cs="Calibri"/>
    </w:rPr>
  </w:style>
  <w:style w:type="paragraph" w:styleId="Footer">
    <w:name w:val="footer"/>
    <w:basedOn w:val="Normal"/>
    <w:link w:val="FooterChar"/>
    <w:uiPriority w:val="99"/>
    <w:unhideWhenUsed/>
    <w:rsid w:val="00747D30"/>
    <w:pPr>
      <w:tabs>
        <w:tab w:val="center" w:pos="4513"/>
        <w:tab w:val="right" w:pos="9026"/>
      </w:tabs>
    </w:pPr>
  </w:style>
  <w:style w:type="character" w:customStyle="1" w:styleId="FooterChar">
    <w:name w:val="Footer Char"/>
    <w:basedOn w:val="DefaultParagraphFont"/>
    <w:link w:val="Footer"/>
    <w:uiPriority w:val="99"/>
    <w:rsid w:val="00747D30"/>
    <w:rPr>
      <w:rFonts w:ascii="Calibri" w:hAnsi="Calibri" w:cs="Calibri"/>
    </w:rPr>
  </w:style>
  <w:style w:type="character" w:styleId="Hyperlink">
    <w:name w:val="Hyperlink"/>
    <w:basedOn w:val="DefaultParagraphFont"/>
    <w:uiPriority w:val="99"/>
    <w:unhideWhenUsed/>
    <w:rsid w:val="00747D30"/>
    <w:rPr>
      <w:color w:val="0563C1" w:themeColor="hyperlink"/>
      <w:u w:val="single"/>
    </w:rPr>
  </w:style>
  <w:style w:type="character" w:styleId="UnresolvedMention">
    <w:name w:val="Unresolved Mention"/>
    <w:basedOn w:val="DefaultParagraphFont"/>
    <w:uiPriority w:val="99"/>
    <w:semiHidden/>
    <w:unhideWhenUsed/>
    <w:rsid w:val="00747D30"/>
    <w:rPr>
      <w:color w:val="605E5C"/>
      <w:shd w:val="clear" w:color="auto" w:fill="E1DFDD"/>
    </w:rPr>
  </w:style>
  <w:style w:type="paragraph" w:styleId="ListParagraph">
    <w:name w:val="List Paragraph"/>
    <w:basedOn w:val="Normal"/>
    <w:uiPriority w:val="34"/>
    <w:qFormat/>
    <w:rsid w:val="00A06129"/>
    <w:pPr>
      <w:ind w:left="720"/>
      <w:contextualSpacing/>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2614AD"/>
    <w:rPr>
      <w:sz w:val="16"/>
      <w:szCs w:val="16"/>
    </w:rPr>
  </w:style>
  <w:style w:type="paragraph" w:styleId="CommentText">
    <w:name w:val="annotation text"/>
    <w:basedOn w:val="Normal"/>
    <w:link w:val="CommentTextChar"/>
    <w:uiPriority w:val="99"/>
    <w:unhideWhenUsed/>
    <w:rsid w:val="002614AD"/>
    <w:rPr>
      <w:sz w:val="20"/>
      <w:szCs w:val="20"/>
    </w:rPr>
  </w:style>
  <w:style w:type="character" w:customStyle="1" w:styleId="CommentTextChar">
    <w:name w:val="Comment Text Char"/>
    <w:basedOn w:val="DefaultParagraphFont"/>
    <w:link w:val="CommentText"/>
    <w:uiPriority w:val="99"/>
    <w:rsid w:val="002614AD"/>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2614AD"/>
    <w:rPr>
      <w:b/>
      <w:bCs/>
    </w:rPr>
  </w:style>
  <w:style w:type="character" w:customStyle="1" w:styleId="CommentSubjectChar">
    <w:name w:val="Comment Subject Char"/>
    <w:basedOn w:val="CommentTextChar"/>
    <w:link w:val="CommentSubject"/>
    <w:uiPriority w:val="99"/>
    <w:semiHidden/>
    <w:rsid w:val="002614AD"/>
    <w:rPr>
      <w:rFonts w:ascii="Calibri" w:hAnsi="Calibri" w:cs="Calibri"/>
      <w:b/>
      <w:bCs/>
      <w:sz w:val="20"/>
      <w:szCs w:val="20"/>
    </w:rPr>
  </w:style>
  <w:style w:type="paragraph" w:styleId="Revision">
    <w:name w:val="Revision"/>
    <w:hidden/>
    <w:uiPriority w:val="99"/>
    <w:semiHidden/>
    <w:rsid w:val="002614AD"/>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274227">
      <w:bodyDiv w:val="1"/>
      <w:marLeft w:val="0"/>
      <w:marRight w:val="0"/>
      <w:marTop w:val="0"/>
      <w:marBottom w:val="0"/>
      <w:divBdr>
        <w:top w:val="none" w:sz="0" w:space="0" w:color="auto"/>
        <w:left w:val="none" w:sz="0" w:space="0" w:color="auto"/>
        <w:bottom w:val="none" w:sz="0" w:space="0" w:color="auto"/>
        <w:right w:val="none" w:sz="0" w:space="0" w:color="auto"/>
      </w:divBdr>
    </w:div>
    <w:div w:id="833765089">
      <w:bodyDiv w:val="1"/>
      <w:marLeft w:val="0"/>
      <w:marRight w:val="0"/>
      <w:marTop w:val="0"/>
      <w:marBottom w:val="0"/>
      <w:divBdr>
        <w:top w:val="none" w:sz="0" w:space="0" w:color="auto"/>
        <w:left w:val="none" w:sz="0" w:space="0" w:color="auto"/>
        <w:bottom w:val="none" w:sz="0" w:space="0" w:color="auto"/>
        <w:right w:val="none" w:sz="0" w:space="0" w:color="auto"/>
      </w:divBdr>
    </w:div>
    <w:div w:id="842086851">
      <w:bodyDiv w:val="1"/>
      <w:marLeft w:val="0"/>
      <w:marRight w:val="0"/>
      <w:marTop w:val="0"/>
      <w:marBottom w:val="0"/>
      <w:divBdr>
        <w:top w:val="none" w:sz="0" w:space="0" w:color="auto"/>
        <w:left w:val="none" w:sz="0" w:space="0" w:color="auto"/>
        <w:bottom w:val="none" w:sz="0" w:space="0" w:color="auto"/>
        <w:right w:val="none" w:sz="0" w:space="0" w:color="auto"/>
      </w:divBdr>
    </w:div>
    <w:div w:id="1151405086">
      <w:bodyDiv w:val="1"/>
      <w:marLeft w:val="0"/>
      <w:marRight w:val="0"/>
      <w:marTop w:val="0"/>
      <w:marBottom w:val="0"/>
      <w:divBdr>
        <w:top w:val="none" w:sz="0" w:space="0" w:color="auto"/>
        <w:left w:val="none" w:sz="0" w:space="0" w:color="auto"/>
        <w:bottom w:val="none" w:sz="0" w:space="0" w:color="auto"/>
        <w:right w:val="none" w:sz="0" w:space="0" w:color="auto"/>
      </w:divBdr>
      <w:divsChild>
        <w:div w:id="1373774599">
          <w:marLeft w:val="274"/>
          <w:marRight w:val="0"/>
          <w:marTop w:val="0"/>
          <w:marBottom w:val="0"/>
          <w:divBdr>
            <w:top w:val="none" w:sz="0" w:space="0" w:color="auto"/>
            <w:left w:val="none" w:sz="0" w:space="0" w:color="auto"/>
            <w:bottom w:val="none" w:sz="0" w:space="0" w:color="auto"/>
            <w:right w:val="none" w:sz="0" w:space="0" w:color="auto"/>
          </w:divBdr>
        </w:div>
      </w:divsChild>
    </w:div>
    <w:div w:id="190009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kiara@r-e-a.net"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BBC07921A7D34B930B6E42AB12D34E" ma:contentTypeVersion="14" ma:contentTypeDescription="Create a new document." ma:contentTypeScope="" ma:versionID="cb64cfc7cf12d668f105c45446a2f3d6">
  <xsd:schema xmlns:xsd="http://www.w3.org/2001/XMLSchema" xmlns:xs="http://www.w3.org/2001/XMLSchema" xmlns:p="http://schemas.microsoft.com/office/2006/metadata/properties" xmlns:ns3="ba682746-f599-43d7-95b6-a5a12c6bf0e9" xmlns:ns4="47ffda17-d13e-4162-9373-fe913dc2a8b5" targetNamespace="http://schemas.microsoft.com/office/2006/metadata/properties" ma:root="true" ma:fieldsID="747edd42553560e683c93a77ffef4edd" ns3:_="" ns4:_="">
    <xsd:import namespace="ba682746-f599-43d7-95b6-a5a12c6bf0e9"/>
    <xsd:import namespace="47ffda17-d13e-4162-9373-fe913dc2a8b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82746-f599-43d7-95b6-a5a12c6bf0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ffda17-d13e-4162-9373-fe913dc2a8b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E536A0-CB91-463D-B0D3-3730B30DC4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82746-f599-43d7-95b6-a5a12c6bf0e9"/>
    <ds:schemaRef ds:uri="47ffda17-d13e-4162-9373-fe913dc2a8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C8492F-1261-4DFB-87FA-06C2630878C2}">
  <ds:schemaRefs>
    <ds:schemaRef ds:uri="http://schemas.microsoft.com/sharepoint/v3/contenttype/forms"/>
  </ds:schemaRefs>
</ds:datastoreItem>
</file>

<file path=customXml/itemProps3.xml><?xml version="1.0" encoding="utf-8"?>
<ds:datastoreItem xmlns:ds="http://schemas.openxmlformats.org/officeDocument/2006/customXml" ds:itemID="{6D90FF2A-FFAA-43C7-A489-76A7CCF0713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1757</Words>
  <Characters>10016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Xoserve Limited</Company>
  <LinksUpToDate>false</LinksUpToDate>
  <CharactersWithSpaces>11750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Mustard</dc:creator>
  <cp:keywords/>
  <dc:description/>
  <cp:lastModifiedBy>Kiara Zennaro</cp:lastModifiedBy>
  <cp:revision>2</cp:revision>
  <dcterms:created xsi:type="dcterms:W3CDTF">2022-03-01T12:56:00Z</dcterms:created>
  <dcterms:modified xsi:type="dcterms:W3CDTF">2022-03-01T12:56:00Z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0x010100BCBBC07921A7D34B930B6E42AB12D34E</vt:lpwstr>
  </property>
</Properties>
</file>