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F5F9" w14:textId="5422037E" w:rsidR="00D505F9" w:rsidRDefault="00E96AC8">
      <w:pPr>
        <w:spacing w:before="240" w:after="0"/>
        <w:jc w:val="center"/>
        <w:rPr>
          <w:rFonts w:ascii="Open Sans" w:eastAsia="Open Sans" w:hAnsi="Open Sans" w:cs="Open Sans"/>
          <w:b/>
          <w:color w:val="06926B"/>
          <w:sz w:val="41"/>
          <w:szCs w:val="41"/>
        </w:rPr>
      </w:pPr>
      <w:r>
        <w:rPr>
          <w:rFonts w:ascii="Open Sans" w:eastAsia="Open Sans" w:hAnsi="Open Sans" w:cs="Open Sans"/>
          <w:b/>
          <w:color w:val="06926B"/>
          <w:sz w:val="41"/>
          <w:szCs w:val="41"/>
        </w:rPr>
        <w:t xml:space="preserve">REA </w:t>
      </w:r>
      <w:r w:rsidR="00AD0D60">
        <w:rPr>
          <w:rFonts w:ascii="Open Sans" w:eastAsia="Open Sans" w:hAnsi="Open Sans" w:cs="Open Sans"/>
          <w:b/>
          <w:color w:val="06926B"/>
          <w:sz w:val="41"/>
          <w:szCs w:val="41"/>
        </w:rPr>
        <w:t>Briefing</w:t>
      </w:r>
      <w:r w:rsidR="00AD0D60">
        <w:rPr>
          <w:rFonts w:ascii="Open Sans" w:eastAsia="Open Sans" w:hAnsi="Open Sans" w:cs="Open Sans"/>
          <w:b/>
          <w:color w:val="06926B"/>
          <w:sz w:val="41"/>
          <w:szCs w:val="41"/>
        </w:rPr>
        <w:t xml:space="preserve"> on the </w:t>
      </w:r>
      <w:r>
        <w:rPr>
          <w:rFonts w:ascii="Open Sans" w:eastAsia="Open Sans" w:hAnsi="Open Sans" w:cs="Open Sans"/>
          <w:b/>
          <w:color w:val="06926B"/>
          <w:sz w:val="41"/>
          <w:szCs w:val="41"/>
        </w:rPr>
        <w:t>CCC</w:t>
      </w:r>
      <w:r w:rsidR="00AD0D60">
        <w:rPr>
          <w:rFonts w:ascii="Open Sans" w:eastAsia="Open Sans" w:hAnsi="Open Sans" w:cs="Open Sans"/>
          <w:b/>
          <w:color w:val="06926B"/>
          <w:sz w:val="41"/>
          <w:szCs w:val="41"/>
        </w:rPr>
        <w:t>’s Assessment of the UK’s</w:t>
      </w:r>
      <w:r>
        <w:rPr>
          <w:rFonts w:ascii="Open Sans" w:eastAsia="Open Sans" w:hAnsi="Open Sans" w:cs="Open Sans"/>
          <w:b/>
          <w:color w:val="06926B"/>
          <w:sz w:val="41"/>
          <w:szCs w:val="41"/>
        </w:rPr>
        <w:t xml:space="preserve"> Heat and Building</w:t>
      </w:r>
      <w:r w:rsidR="00AD0D60">
        <w:rPr>
          <w:rFonts w:ascii="Open Sans" w:eastAsia="Open Sans" w:hAnsi="Open Sans" w:cs="Open Sans"/>
          <w:b/>
          <w:color w:val="06926B"/>
          <w:sz w:val="41"/>
          <w:szCs w:val="41"/>
        </w:rPr>
        <w:t>s</w:t>
      </w:r>
      <w:r>
        <w:rPr>
          <w:rFonts w:ascii="Open Sans" w:eastAsia="Open Sans" w:hAnsi="Open Sans" w:cs="Open Sans"/>
          <w:b/>
          <w:color w:val="06926B"/>
          <w:sz w:val="41"/>
          <w:szCs w:val="41"/>
        </w:rPr>
        <w:t xml:space="preserve"> Strategy </w:t>
      </w:r>
    </w:p>
    <w:p w14:paraId="66BE15B7" w14:textId="77777777" w:rsidR="00D505F9" w:rsidRDefault="00D505F9">
      <w:pPr>
        <w:rPr>
          <w:rFonts w:ascii="Open Sans" w:eastAsia="Open Sans" w:hAnsi="Open Sans" w:cs="Open Sans"/>
          <w:color w:val="4E5053"/>
          <w:sz w:val="18"/>
          <w:szCs w:val="18"/>
        </w:rPr>
      </w:pPr>
    </w:p>
    <w:p w14:paraId="2553F987" w14:textId="77777777" w:rsidR="00D505F9" w:rsidRPr="00AD0D60" w:rsidRDefault="00E96AC8">
      <w:pPr>
        <w:rPr>
          <w:rFonts w:ascii="Open Sans" w:eastAsia="Open Sans" w:hAnsi="Open Sans" w:cs="Open Sans"/>
          <w:b/>
          <w:color w:val="4E5053"/>
          <w:sz w:val="24"/>
          <w:szCs w:val="24"/>
        </w:rPr>
      </w:pPr>
      <w:r w:rsidRPr="00AD0D60">
        <w:rPr>
          <w:rFonts w:ascii="Open Sans" w:eastAsia="Open Sans" w:hAnsi="Open Sans" w:cs="Open Sans"/>
          <w:b/>
          <w:color w:val="4E5053"/>
          <w:sz w:val="24"/>
          <w:szCs w:val="24"/>
        </w:rPr>
        <w:t>Summary</w:t>
      </w:r>
    </w:p>
    <w:p w14:paraId="21988709" w14:textId="55AE9364" w:rsidR="00D505F9" w:rsidRPr="00AD0D60" w:rsidRDefault="00E96AC8">
      <w:pPr>
        <w:numPr>
          <w:ilvl w:val="0"/>
          <w:numId w:val="1"/>
        </w:numPr>
        <w:spacing w:after="0"/>
        <w:rPr>
          <w:rFonts w:ascii="Open Sans" w:eastAsia="Open Sans" w:hAnsi="Open Sans" w:cs="Open Sans"/>
          <w:color w:val="4E5053"/>
        </w:rPr>
      </w:pPr>
      <w:r w:rsidRPr="00AD0D60">
        <w:rPr>
          <w:rFonts w:ascii="Open Sans" w:eastAsia="Open Sans" w:hAnsi="Open Sans" w:cs="Open Sans"/>
          <w:color w:val="4E5053"/>
        </w:rPr>
        <w:t xml:space="preserve">The Climate Change Committee (CCC) has </w:t>
      </w:r>
      <w:hyperlink r:id="rId7">
        <w:r w:rsidRPr="00AD0D60">
          <w:rPr>
            <w:rFonts w:ascii="Open Sans" w:eastAsia="Open Sans" w:hAnsi="Open Sans" w:cs="Open Sans"/>
            <w:color w:val="1155CC"/>
            <w:u w:val="single"/>
          </w:rPr>
          <w:t>published a</w:t>
        </w:r>
        <w:r w:rsidR="00AD0D60">
          <w:rPr>
            <w:rFonts w:ascii="Open Sans" w:eastAsia="Open Sans" w:hAnsi="Open Sans" w:cs="Open Sans"/>
            <w:color w:val="1155CC"/>
            <w:u w:val="single"/>
          </w:rPr>
          <w:t xml:space="preserve">n independent assessment of </w:t>
        </w:r>
        <w:r w:rsidRPr="00AD0D60">
          <w:rPr>
            <w:rFonts w:ascii="Open Sans" w:eastAsia="Open Sans" w:hAnsi="Open Sans" w:cs="Open Sans"/>
            <w:color w:val="1155CC"/>
            <w:u w:val="single"/>
          </w:rPr>
          <w:t xml:space="preserve">the </w:t>
        </w:r>
        <w:r w:rsidR="00AD0D60">
          <w:rPr>
            <w:rFonts w:ascii="Open Sans" w:eastAsia="Open Sans" w:hAnsi="Open Sans" w:cs="Open Sans"/>
            <w:color w:val="1155CC"/>
            <w:u w:val="single"/>
          </w:rPr>
          <w:t xml:space="preserve">UK’s </w:t>
        </w:r>
        <w:r w:rsidRPr="00AD0D60">
          <w:rPr>
            <w:rFonts w:ascii="Open Sans" w:eastAsia="Open Sans" w:hAnsi="Open Sans" w:cs="Open Sans"/>
            <w:color w:val="1155CC"/>
            <w:u w:val="single"/>
          </w:rPr>
          <w:t xml:space="preserve">Heat and Buildings Strategy. </w:t>
        </w:r>
      </w:hyperlink>
      <w:r w:rsidRPr="00AD0D60">
        <w:rPr>
          <w:rFonts w:ascii="Open Sans" w:eastAsia="Open Sans" w:hAnsi="Open Sans" w:cs="Open Sans"/>
          <w:color w:val="4E5053"/>
        </w:rPr>
        <w:t>The report considers five questions</w:t>
      </w:r>
      <w:r w:rsidR="00AD0D60">
        <w:rPr>
          <w:rFonts w:ascii="Open Sans" w:eastAsia="Open Sans" w:hAnsi="Open Sans" w:cs="Open Sans"/>
          <w:color w:val="4E5053"/>
        </w:rPr>
        <w:t xml:space="preserve"> </w:t>
      </w:r>
      <w:proofErr w:type="gramStart"/>
      <w:r w:rsidR="00AD0D60">
        <w:rPr>
          <w:rFonts w:ascii="Open Sans" w:eastAsia="Open Sans" w:hAnsi="Open Sans" w:cs="Open Sans"/>
          <w:color w:val="4E5053"/>
        </w:rPr>
        <w:t>with regard to</w:t>
      </w:r>
      <w:proofErr w:type="gramEnd"/>
      <w:r w:rsidR="00AD0D60">
        <w:rPr>
          <w:rFonts w:ascii="Open Sans" w:eastAsia="Open Sans" w:hAnsi="Open Sans" w:cs="Open Sans"/>
          <w:color w:val="4E5053"/>
        </w:rPr>
        <w:t xml:space="preserve"> the Strategy</w:t>
      </w:r>
      <w:r w:rsidRPr="00AD0D60">
        <w:rPr>
          <w:rFonts w:ascii="Open Sans" w:eastAsia="Open Sans" w:hAnsi="Open Sans" w:cs="Open Sans"/>
          <w:color w:val="4E5053"/>
        </w:rPr>
        <w:t>:</w:t>
      </w:r>
    </w:p>
    <w:p w14:paraId="738139AF" w14:textId="77777777" w:rsidR="00D505F9" w:rsidRPr="00AD0D60" w:rsidRDefault="00E96AC8">
      <w:pPr>
        <w:numPr>
          <w:ilvl w:val="1"/>
          <w:numId w:val="1"/>
        </w:numPr>
        <w:spacing w:after="0"/>
        <w:rPr>
          <w:rFonts w:ascii="Open Sans" w:eastAsia="Open Sans" w:hAnsi="Open Sans" w:cs="Open Sans"/>
          <w:color w:val="4E5053"/>
        </w:rPr>
      </w:pPr>
      <w:r w:rsidRPr="00AD0D60">
        <w:rPr>
          <w:rFonts w:ascii="Open Sans" w:eastAsia="Open Sans" w:hAnsi="Open Sans" w:cs="Open Sans"/>
          <w:color w:val="4E5053"/>
        </w:rPr>
        <w:t>The level of ambition</w:t>
      </w:r>
    </w:p>
    <w:p w14:paraId="3F8EF179" w14:textId="77777777" w:rsidR="00D505F9" w:rsidRPr="00AD0D60" w:rsidRDefault="00E96AC8">
      <w:pPr>
        <w:numPr>
          <w:ilvl w:val="1"/>
          <w:numId w:val="1"/>
        </w:numPr>
        <w:spacing w:after="0"/>
        <w:rPr>
          <w:rFonts w:ascii="Open Sans" w:eastAsia="Open Sans" w:hAnsi="Open Sans" w:cs="Open Sans"/>
          <w:color w:val="4E5053"/>
        </w:rPr>
      </w:pPr>
      <w:r w:rsidRPr="00AD0D60">
        <w:rPr>
          <w:rFonts w:ascii="Open Sans" w:eastAsia="Open Sans" w:hAnsi="Open Sans" w:cs="Open Sans"/>
          <w:color w:val="4E5053"/>
        </w:rPr>
        <w:t>The c</w:t>
      </w:r>
      <w:r w:rsidRPr="00AD0D60">
        <w:rPr>
          <w:rFonts w:ascii="Open Sans" w:eastAsia="Open Sans" w:hAnsi="Open Sans" w:cs="Open Sans"/>
          <w:color w:val="4E5053"/>
        </w:rPr>
        <w:t>oherence of the approach</w:t>
      </w:r>
    </w:p>
    <w:p w14:paraId="69D29562" w14:textId="77777777" w:rsidR="00D505F9" w:rsidRPr="00AD0D60" w:rsidRDefault="00E96AC8">
      <w:pPr>
        <w:numPr>
          <w:ilvl w:val="1"/>
          <w:numId w:val="1"/>
        </w:numPr>
        <w:spacing w:after="0"/>
        <w:rPr>
          <w:rFonts w:ascii="Open Sans" w:eastAsia="Open Sans" w:hAnsi="Open Sans" w:cs="Open Sans"/>
          <w:color w:val="4E5053"/>
        </w:rPr>
      </w:pPr>
      <w:r w:rsidRPr="00AD0D60">
        <w:rPr>
          <w:rFonts w:ascii="Open Sans" w:eastAsia="Open Sans" w:hAnsi="Open Sans" w:cs="Open Sans"/>
          <w:color w:val="4E5053"/>
        </w:rPr>
        <w:t>Whether there are any gaps</w:t>
      </w:r>
    </w:p>
    <w:p w14:paraId="4EB9B60E" w14:textId="77777777" w:rsidR="00D505F9" w:rsidRPr="00AD0D60" w:rsidRDefault="00E96AC8">
      <w:pPr>
        <w:numPr>
          <w:ilvl w:val="1"/>
          <w:numId w:val="1"/>
        </w:numPr>
        <w:spacing w:after="0"/>
        <w:rPr>
          <w:rFonts w:ascii="Open Sans" w:eastAsia="Open Sans" w:hAnsi="Open Sans" w:cs="Open Sans"/>
          <w:color w:val="4E5053"/>
        </w:rPr>
      </w:pPr>
      <w:r w:rsidRPr="00AD0D60">
        <w:rPr>
          <w:rFonts w:ascii="Open Sans" w:eastAsia="Open Sans" w:hAnsi="Open Sans" w:cs="Open Sans"/>
          <w:color w:val="4E5053"/>
        </w:rPr>
        <w:t xml:space="preserve">What actions are needed </w:t>
      </w:r>
    </w:p>
    <w:p w14:paraId="458A0EAD" w14:textId="77777777" w:rsidR="00D505F9" w:rsidRPr="00AD0D60" w:rsidRDefault="00E96AC8">
      <w:pPr>
        <w:numPr>
          <w:ilvl w:val="1"/>
          <w:numId w:val="1"/>
        </w:numPr>
        <w:spacing w:after="0"/>
        <w:rPr>
          <w:rFonts w:ascii="Open Sans" w:eastAsia="Open Sans" w:hAnsi="Open Sans" w:cs="Open Sans"/>
          <w:color w:val="4E5053"/>
        </w:rPr>
      </w:pPr>
      <w:r w:rsidRPr="00AD0D60">
        <w:rPr>
          <w:rFonts w:ascii="Open Sans" w:eastAsia="Open Sans" w:hAnsi="Open Sans" w:cs="Open Sans"/>
          <w:color w:val="4E5053"/>
        </w:rPr>
        <w:t>How to manage near-term risks</w:t>
      </w:r>
    </w:p>
    <w:p w14:paraId="5C61E9A6" w14:textId="77777777" w:rsidR="00D505F9" w:rsidRPr="00AD0D60" w:rsidRDefault="00D505F9">
      <w:pPr>
        <w:spacing w:after="0"/>
        <w:rPr>
          <w:rFonts w:ascii="Open Sans" w:eastAsia="Open Sans" w:hAnsi="Open Sans" w:cs="Open Sans"/>
          <w:color w:val="4E5053"/>
        </w:rPr>
      </w:pPr>
    </w:p>
    <w:p w14:paraId="334D673D" w14:textId="77777777" w:rsidR="00D505F9" w:rsidRPr="00AD0D60" w:rsidRDefault="00E96AC8">
      <w:pPr>
        <w:rPr>
          <w:rFonts w:ascii="Open Sans" w:eastAsia="Open Sans" w:hAnsi="Open Sans" w:cs="Open Sans"/>
          <w:b/>
          <w:color w:val="4E5053"/>
          <w:sz w:val="24"/>
          <w:szCs w:val="24"/>
        </w:rPr>
      </w:pPr>
      <w:r w:rsidRPr="00AD0D60">
        <w:rPr>
          <w:rFonts w:ascii="Open Sans" w:eastAsia="Open Sans" w:hAnsi="Open Sans" w:cs="Open Sans"/>
          <w:b/>
          <w:color w:val="4E5053"/>
          <w:sz w:val="24"/>
          <w:szCs w:val="24"/>
        </w:rPr>
        <w:t>Ambition</w:t>
      </w:r>
    </w:p>
    <w:p w14:paraId="3B7E5226" w14:textId="77777777" w:rsidR="00D505F9" w:rsidRPr="00AD0D60" w:rsidRDefault="00E96AC8">
      <w:pPr>
        <w:numPr>
          <w:ilvl w:val="0"/>
          <w:numId w:val="2"/>
        </w:numPr>
        <w:spacing w:after="0"/>
        <w:rPr>
          <w:rFonts w:ascii="Open Sans" w:eastAsia="Open Sans" w:hAnsi="Open Sans" w:cs="Open Sans"/>
          <w:color w:val="4E5053"/>
        </w:rPr>
      </w:pPr>
      <w:r w:rsidRPr="00AD0D60">
        <w:rPr>
          <w:rFonts w:ascii="Open Sans" w:eastAsia="Open Sans" w:hAnsi="Open Sans" w:cs="Open Sans"/>
          <w:color w:val="4E5053"/>
        </w:rPr>
        <w:t xml:space="preserve">The CCC acknowledges the strategy is a significant step forward which sets out a clear direction to decarbonise buildings. </w:t>
      </w:r>
    </w:p>
    <w:p w14:paraId="78223E1D" w14:textId="77777777" w:rsidR="00D505F9" w:rsidRPr="00AD0D60" w:rsidRDefault="00E96AC8">
      <w:pPr>
        <w:numPr>
          <w:ilvl w:val="0"/>
          <w:numId w:val="2"/>
        </w:numPr>
        <w:spacing w:after="0"/>
        <w:rPr>
          <w:rFonts w:ascii="Open Sans" w:eastAsia="Open Sans" w:hAnsi="Open Sans" w:cs="Open Sans"/>
          <w:color w:val="4E5053"/>
        </w:rPr>
      </w:pPr>
      <w:proofErr w:type="gramStart"/>
      <w:r w:rsidRPr="00AD0D60">
        <w:rPr>
          <w:rFonts w:ascii="Open Sans" w:eastAsia="Open Sans" w:hAnsi="Open Sans" w:cs="Open Sans"/>
          <w:color w:val="4E5053"/>
        </w:rPr>
        <w:t xml:space="preserve">In particular, </w:t>
      </w:r>
      <w:r w:rsidRPr="00AD0D60">
        <w:rPr>
          <w:rFonts w:ascii="Open Sans" w:eastAsia="Open Sans" w:hAnsi="Open Sans" w:cs="Open Sans"/>
          <w:color w:val="4E5053"/>
        </w:rPr>
        <w:t>it</w:t>
      </w:r>
      <w:proofErr w:type="gramEnd"/>
      <w:r w:rsidRPr="00AD0D60">
        <w:rPr>
          <w:rFonts w:ascii="Open Sans" w:eastAsia="Open Sans" w:hAnsi="Open Sans" w:cs="Open Sans"/>
          <w:color w:val="4E5053"/>
        </w:rPr>
        <w:t xml:space="preserve"> welcomes new policies to drive the nationwide rollout of low-carbon heat.</w:t>
      </w:r>
    </w:p>
    <w:p w14:paraId="54B5D538" w14:textId="45B4A413" w:rsidR="00D505F9" w:rsidRPr="00AD0D60" w:rsidRDefault="00E96AC8">
      <w:pPr>
        <w:numPr>
          <w:ilvl w:val="0"/>
          <w:numId w:val="2"/>
        </w:numPr>
        <w:spacing w:after="0"/>
        <w:rPr>
          <w:rFonts w:ascii="Open Sans" w:eastAsia="Open Sans" w:hAnsi="Open Sans" w:cs="Open Sans"/>
          <w:color w:val="4E5053"/>
        </w:rPr>
      </w:pPr>
      <w:r w:rsidRPr="00AD0D60">
        <w:rPr>
          <w:rFonts w:ascii="Open Sans" w:eastAsia="Open Sans" w:hAnsi="Open Sans" w:cs="Open Sans"/>
          <w:color w:val="4E5053"/>
        </w:rPr>
        <w:t xml:space="preserve">The CCC generally finds </w:t>
      </w:r>
      <w:r w:rsidR="00AD0D60">
        <w:rPr>
          <w:rFonts w:ascii="Open Sans" w:eastAsia="Open Sans" w:hAnsi="Open Sans" w:cs="Open Sans"/>
          <w:color w:val="4E5053"/>
        </w:rPr>
        <w:t xml:space="preserve">that the </w:t>
      </w:r>
      <w:r w:rsidRPr="00AD0D60">
        <w:rPr>
          <w:rFonts w:ascii="Open Sans" w:eastAsia="Open Sans" w:hAnsi="Open Sans" w:cs="Open Sans"/>
          <w:color w:val="4E5053"/>
        </w:rPr>
        <w:t xml:space="preserve">level of ambition is appropriate and welcomes </w:t>
      </w:r>
      <w:r w:rsidR="00AD0D60">
        <w:rPr>
          <w:rFonts w:ascii="Open Sans" w:eastAsia="Open Sans" w:hAnsi="Open Sans" w:cs="Open Sans"/>
          <w:color w:val="4E5053"/>
        </w:rPr>
        <w:t>t</w:t>
      </w:r>
      <w:r w:rsidRPr="00AD0D60">
        <w:rPr>
          <w:rFonts w:ascii="Open Sans" w:eastAsia="Open Sans" w:hAnsi="Open Sans" w:cs="Open Sans"/>
          <w:color w:val="4E5053"/>
        </w:rPr>
        <w:t>he strategy aims</w:t>
      </w:r>
      <w:r w:rsidR="00AD0D60">
        <w:rPr>
          <w:rFonts w:ascii="Open Sans" w:eastAsia="Open Sans" w:hAnsi="Open Sans" w:cs="Open Sans"/>
          <w:color w:val="4E5053"/>
        </w:rPr>
        <w:t>,</w:t>
      </w:r>
      <w:r w:rsidRPr="00AD0D60">
        <w:rPr>
          <w:rFonts w:ascii="Open Sans" w:eastAsia="Open Sans" w:hAnsi="Open Sans" w:cs="Open Sans"/>
          <w:color w:val="4E5053"/>
        </w:rPr>
        <w:t xml:space="preserve"> including:</w:t>
      </w:r>
    </w:p>
    <w:p w14:paraId="5EC1BAC1" w14:textId="77777777" w:rsidR="00D505F9" w:rsidRPr="00AD0D60" w:rsidRDefault="00E96AC8">
      <w:pPr>
        <w:numPr>
          <w:ilvl w:val="1"/>
          <w:numId w:val="2"/>
        </w:numPr>
        <w:spacing w:after="0"/>
        <w:rPr>
          <w:rFonts w:ascii="Open Sans" w:eastAsia="Open Sans" w:hAnsi="Open Sans" w:cs="Open Sans"/>
          <w:color w:val="4E5053"/>
        </w:rPr>
      </w:pPr>
      <w:r w:rsidRPr="00AD0D60">
        <w:rPr>
          <w:rFonts w:ascii="Open Sans" w:eastAsia="Open Sans" w:hAnsi="Open Sans" w:cs="Open Sans"/>
          <w:color w:val="4E5053"/>
        </w:rPr>
        <w:t>The full decarbonisation of buildings by 2050.</w:t>
      </w:r>
    </w:p>
    <w:p w14:paraId="49267027" w14:textId="39F22485" w:rsidR="00D505F9" w:rsidRPr="00AD0D60" w:rsidRDefault="00E96AC8">
      <w:pPr>
        <w:numPr>
          <w:ilvl w:val="1"/>
          <w:numId w:val="2"/>
        </w:numPr>
        <w:spacing w:after="0"/>
        <w:rPr>
          <w:rFonts w:ascii="Open Sans" w:eastAsia="Open Sans" w:hAnsi="Open Sans" w:cs="Open Sans"/>
          <w:color w:val="4E5053"/>
        </w:rPr>
      </w:pPr>
      <w:r w:rsidRPr="00AD0D60">
        <w:rPr>
          <w:rFonts w:ascii="Open Sans" w:eastAsia="Open Sans" w:hAnsi="Open Sans" w:cs="Open Sans"/>
          <w:color w:val="4E5053"/>
        </w:rPr>
        <w:t>Recognising the need to reach good</w:t>
      </w:r>
      <w:r w:rsidRPr="00AD0D60">
        <w:rPr>
          <w:rFonts w:ascii="Open Sans" w:eastAsia="Open Sans" w:hAnsi="Open Sans" w:cs="Open Sans"/>
          <w:color w:val="4E5053"/>
        </w:rPr>
        <w:t xml:space="preserve"> levels of energy efficiency across the stock by 2035</w:t>
      </w:r>
      <w:r w:rsidRPr="00AD0D60">
        <w:rPr>
          <w:rFonts w:ascii="Open Sans" w:eastAsia="Open Sans" w:hAnsi="Open Sans" w:cs="Open Sans"/>
          <w:color w:val="4E5053"/>
        </w:rPr>
        <w:t>.</w:t>
      </w:r>
    </w:p>
    <w:p w14:paraId="62A9738A" w14:textId="77777777" w:rsidR="00D505F9" w:rsidRPr="00AD0D60" w:rsidRDefault="00E96AC8">
      <w:pPr>
        <w:numPr>
          <w:ilvl w:val="1"/>
          <w:numId w:val="2"/>
        </w:numPr>
        <w:spacing w:after="0"/>
        <w:rPr>
          <w:rFonts w:ascii="Open Sans" w:eastAsia="Open Sans" w:hAnsi="Open Sans" w:cs="Open Sans"/>
          <w:color w:val="4E5053"/>
        </w:rPr>
      </w:pPr>
      <w:r w:rsidRPr="00AD0D60">
        <w:rPr>
          <w:rFonts w:ascii="Open Sans" w:eastAsia="Open Sans" w:hAnsi="Open Sans" w:cs="Open Sans"/>
          <w:color w:val="4E5053"/>
        </w:rPr>
        <w:t>Phasing out installations of gas boilers by 2035.</w:t>
      </w:r>
    </w:p>
    <w:p w14:paraId="19C25A24" w14:textId="77777777" w:rsidR="00D505F9" w:rsidRPr="00AD0D60" w:rsidRDefault="00D505F9">
      <w:pPr>
        <w:spacing w:after="0"/>
        <w:ind w:left="1440"/>
        <w:rPr>
          <w:rFonts w:ascii="Open Sans" w:eastAsia="Open Sans" w:hAnsi="Open Sans" w:cs="Open Sans"/>
          <w:color w:val="4E5053"/>
        </w:rPr>
      </w:pPr>
    </w:p>
    <w:p w14:paraId="5008C4DC" w14:textId="77777777" w:rsidR="00D505F9" w:rsidRPr="00AD0D60" w:rsidRDefault="00E96AC8">
      <w:pPr>
        <w:rPr>
          <w:rFonts w:ascii="Open Sans" w:eastAsia="Open Sans" w:hAnsi="Open Sans" w:cs="Open Sans"/>
          <w:b/>
          <w:color w:val="4E5053"/>
          <w:sz w:val="24"/>
          <w:szCs w:val="24"/>
        </w:rPr>
      </w:pPr>
      <w:r w:rsidRPr="00AD0D60">
        <w:rPr>
          <w:rFonts w:ascii="Open Sans" w:eastAsia="Open Sans" w:hAnsi="Open Sans" w:cs="Open Sans"/>
          <w:b/>
          <w:color w:val="4E5053"/>
          <w:sz w:val="24"/>
          <w:szCs w:val="24"/>
        </w:rPr>
        <w:t>Coherence</w:t>
      </w:r>
    </w:p>
    <w:p w14:paraId="7B750515" w14:textId="77777777" w:rsidR="00D505F9" w:rsidRPr="00AD0D60" w:rsidRDefault="00E96AC8">
      <w:pPr>
        <w:numPr>
          <w:ilvl w:val="0"/>
          <w:numId w:val="5"/>
        </w:numPr>
        <w:spacing w:after="0"/>
        <w:rPr>
          <w:rFonts w:ascii="Open Sans" w:eastAsia="Open Sans" w:hAnsi="Open Sans" w:cs="Open Sans"/>
          <w:color w:val="4E5053"/>
        </w:rPr>
      </w:pPr>
      <w:r w:rsidRPr="00AD0D60">
        <w:rPr>
          <w:rFonts w:ascii="Open Sans" w:eastAsia="Open Sans" w:hAnsi="Open Sans" w:cs="Open Sans"/>
          <w:color w:val="4E5053"/>
        </w:rPr>
        <w:t xml:space="preserve">The report acknowledges the government has proposed a complex framework of policies to decarbonise buildings. </w:t>
      </w:r>
    </w:p>
    <w:p w14:paraId="5350FCAD" w14:textId="77777777" w:rsidR="00D505F9" w:rsidRPr="00AD0D60" w:rsidRDefault="00E96AC8">
      <w:pPr>
        <w:numPr>
          <w:ilvl w:val="0"/>
          <w:numId w:val="5"/>
        </w:numPr>
        <w:spacing w:after="0"/>
        <w:rPr>
          <w:rFonts w:ascii="Open Sans" w:eastAsia="Open Sans" w:hAnsi="Open Sans" w:cs="Open Sans"/>
          <w:color w:val="4E5053"/>
        </w:rPr>
      </w:pPr>
      <w:r w:rsidRPr="00AD0D60">
        <w:rPr>
          <w:rFonts w:ascii="Open Sans" w:eastAsia="Open Sans" w:hAnsi="Open Sans" w:cs="Open Sans"/>
          <w:color w:val="4E5053"/>
        </w:rPr>
        <w:t xml:space="preserve">The report notes these policies need to work in unison to be effective, so delivery will be a challenge. </w:t>
      </w:r>
    </w:p>
    <w:p w14:paraId="64FA5109" w14:textId="508213BC" w:rsidR="00D505F9" w:rsidRPr="00AD0D60" w:rsidRDefault="00E96AC8">
      <w:pPr>
        <w:numPr>
          <w:ilvl w:val="0"/>
          <w:numId w:val="5"/>
        </w:numPr>
        <w:spacing w:after="0"/>
        <w:rPr>
          <w:rFonts w:ascii="Open Sans" w:eastAsia="Open Sans" w:hAnsi="Open Sans" w:cs="Open Sans"/>
          <w:color w:val="4E5053"/>
        </w:rPr>
      </w:pPr>
      <w:r w:rsidRPr="00AD0D60">
        <w:rPr>
          <w:rFonts w:ascii="Open Sans" w:eastAsia="Open Sans" w:hAnsi="Open Sans" w:cs="Open Sans"/>
          <w:color w:val="4E5053"/>
        </w:rPr>
        <w:t>Thus</w:t>
      </w:r>
      <w:r w:rsidR="00835436">
        <w:rPr>
          <w:rFonts w:ascii="Open Sans" w:eastAsia="Open Sans" w:hAnsi="Open Sans" w:cs="Open Sans"/>
          <w:color w:val="4E5053"/>
        </w:rPr>
        <w:t>,</w:t>
      </w:r>
      <w:r w:rsidRPr="00AD0D60">
        <w:rPr>
          <w:rFonts w:ascii="Open Sans" w:eastAsia="Open Sans" w:hAnsi="Open Sans" w:cs="Open Sans"/>
          <w:color w:val="4E5053"/>
        </w:rPr>
        <w:t xml:space="preserve"> the report makes the following recommendations:</w:t>
      </w:r>
    </w:p>
    <w:p w14:paraId="7203BE74" w14:textId="77777777" w:rsidR="00D505F9" w:rsidRPr="00AD0D60" w:rsidRDefault="00E96AC8">
      <w:pPr>
        <w:numPr>
          <w:ilvl w:val="1"/>
          <w:numId w:val="5"/>
        </w:numPr>
        <w:spacing w:after="0"/>
        <w:rPr>
          <w:rFonts w:ascii="Open Sans" w:eastAsia="Open Sans" w:hAnsi="Open Sans" w:cs="Open Sans"/>
          <w:color w:val="4E5053"/>
        </w:rPr>
      </w:pPr>
      <w:r w:rsidRPr="00AD0D60">
        <w:rPr>
          <w:rFonts w:ascii="Open Sans" w:eastAsia="Open Sans" w:hAnsi="Open Sans" w:cs="Open Sans"/>
          <w:color w:val="4E5053"/>
        </w:rPr>
        <w:t>Government to establish structures and processes that promote coordination and coherence.</w:t>
      </w:r>
    </w:p>
    <w:p w14:paraId="14AE4F78" w14:textId="77777777" w:rsidR="00D505F9" w:rsidRPr="00AD0D60" w:rsidRDefault="00E96AC8">
      <w:pPr>
        <w:numPr>
          <w:ilvl w:val="1"/>
          <w:numId w:val="5"/>
        </w:numPr>
        <w:spacing w:after="0"/>
        <w:rPr>
          <w:rFonts w:ascii="Open Sans" w:eastAsia="Open Sans" w:hAnsi="Open Sans" w:cs="Open Sans"/>
          <w:color w:val="4E5053"/>
        </w:rPr>
      </w:pPr>
      <w:r w:rsidRPr="00AD0D60">
        <w:rPr>
          <w:rFonts w:ascii="Open Sans" w:eastAsia="Open Sans" w:hAnsi="Open Sans" w:cs="Open Sans"/>
          <w:color w:val="4E5053"/>
        </w:rPr>
        <w:t>Cabinet Committees and the National Strategy Implementation Group need to be better utilised.</w:t>
      </w:r>
    </w:p>
    <w:p w14:paraId="7E2B74A6" w14:textId="590BC921" w:rsidR="00D505F9" w:rsidRPr="00AD0D60" w:rsidRDefault="00E96AC8">
      <w:pPr>
        <w:numPr>
          <w:ilvl w:val="1"/>
          <w:numId w:val="5"/>
        </w:numPr>
        <w:spacing w:after="0"/>
        <w:rPr>
          <w:rFonts w:ascii="Open Sans" w:eastAsia="Open Sans" w:hAnsi="Open Sans" w:cs="Open Sans"/>
          <w:color w:val="4E5053"/>
        </w:rPr>
      </w:pPr>
      <w:r w:rsidRPr="00AD0D60">
        <w:rPr>
          <w:rFonts w:ascii="Open Sans" w:eastAsia="Open Sans" w:hAnsi="Open Sans" w:cs="Open Sans"/>
          <w:color w:val="4E5053"/>
        </w:rPr>
        <w:lastRenderedPageBreak/>
        <w:t xml:space="preserve">An Office for Zero Emissions Buildings, like </w:t>
      </w:r>
      <w:r w:rsidR="00835436">
        <w:rPr>
          <w:rFonts w:ascii="Open Sans" w:eastAsia="Open Sans" w:hAnsi="Open Sans" w:cs="Open Sans"/>
          <w:color w:val="4E5053"/>
        </w:rPr>
        <w:t xml:space="preserve">the </w:t>
      </w:r>
      <w:r w:rsidRPr="00AD0D60">
        <w:rPr>
          <w:rFonts w:ascii="Open Sans" w:eastAsia="Open Sans" w:hAnsi="Open Sans" w:cs="Open Sans"/>
          <w:color w:val="4E5053"/>
        </w:rPr>
        <w:t>Office for Zero Emission V</w:t>
      </w:r>
      <w:r w:rsidRPr="00AD0D60">
        <w:rPr>
          <w:rFonts w:ascii="Open Sans" w:eastAsia="Open Sans" w:hAnsi="Open Sans" w:cs="Open Sans"/>
          <w:color w:val="4E5053"/>
        </w:rPr>
        <w:t>ehicles should be set up to oversee deliverables.</w:t>
      </w:r>
    </w:p>
    <w:p w14:paraId="6426FE23" w14:textId="77777777" w:rsidR="00D505F9" w:rsidRPr="00AD0D60" w:rsidRDefault="00E96AC8">
      <w:pPr>
        <w:numPr>
          <w:ilvl w:val="1"/>
          <w:numId w:val="5"/>
        </w:numPr>
        <w:spacing w:after="0"/>
        <w:rPr>
          <w:rFonts w:ascii="Open Sans" w:eastAsia="Open Sans" w:hAnsi="Open Sans" w:cs="Open Sans"/>
          <w:color w:val="4E5053"/>
        </w:rPr>
      </w:pPr>
      <w:r w:rsidRPr="00AD0D60">
        <w:rPr>
          <w:rFonts w:ascii="Open Sans" w:eastAsia="Open Sans" w:hAnsi="Open Sans" w:cs="Open Sans"/>
          <w:color w:val="4E5053"/>
        </w:rPr>
        <w:t>Better dialogue between the central Government, devolved government and local government is needed. The Government needs to establish mechanisms that allow for information to flow in both directions.</w:t>
      </w:r>
    </w:p>
    <w:p w14:paraId="46F06C0A" w14:textId="77777777" w:rsidR="00D505F9" w:rsidRPr="00AD0D60" w:rsidRDefault="00D505F9">
      <w:pPr>
        <w:spacing w:after="0"/>
        <w:rPr>
          <w:rFonts w:ascii="Open Sans" w:eastAsia="Open Sans" w:hAnsi="Open Sans" w:cs="Open Sans"/>
          <w:color w:val="4E5053"/>
        </w:rPr>
      </w:pPr>
    </w:p>
    <w:p w14:paraId="106DA7FB" w14:textId="77777777" w:rsidR="00D505F9" w:rsidRPr="00835436" w:rsidRDefault="00E96AC8">
      <w:pPr>
        <w:rPr>
          <w:rFonts w:ascii="Open Sans" w:eastAsia="Open Sans" w:hAnsi="Open Sans" w:cs="Open Sans"/>
          <w:b/>
          <w:color w:val="4E5053"/>
          <w:sz w:val="2"/>
          <w:szCs w:val="2"/>
        </w:rPr>
      </w:pPr>
      <w:r w:rsidRPr="00835436">
        <w:rPr>
          <w:rFonts w:ascii="Open Sans" w:eastAsia="Open Sans" w:hAnsi="Open Sans" w:cs="Open Sans"/>
          <w:b/>
          <w:color w:val="4E5053"/>
          <w:sz w:val="2"/>
          <w:szCs w:val="2"/>
        </w:rPr>
        <w:t>Gaps</w:t>
      </w:r>
    </w:p>
    <w:p w14:paraId="59D214AF" w14:textId="77777777" w:rsidR="00D505F9" w:rsidRPr="00AD0D60" w:rsidRDefault="00E96AC8">
      <w:pPr>
        <w:numPr>
          <w:ilvl w:val="0"/>
          <w:numId w:val="3"/>
        </w:numPr>
        <w:spacing w:after="0"/>
        <w:rPr>
          <w:rFonts w:ascii="Open Sans" w:eastAsia="Open Sans" w:hAnsi="Open Sans" w:cs="Open Sans"/>
          <w:color w:val="4E5053"/>
        </w:rPr>
      </w:pPr>
      <w:r w:rsidRPr="00AD0D60">
        <w:rPr>
          <w:rFonts w:ascii="Open Sans" w:eastAsia="Open Sans" w:hAnsi="Open Sans" w:cs="Open Sans"/>
          <w:color w:val="4E5053"/>
        </w:rPr>
        <w:t>The strategy is extensive, but it’s not comprehensive. There are key policy gaps including:</w:t>
      </w:r>
    </w:p>
    <w:p w14:paraId="6B7068DF" w14:textId="77777777" w:rsidR="00D505F9" w:rsidRPr="00AD0D60" w:rsidRDefault="00E96AC8">
      <w:pPr>
        <w:numPr>
          <w:ilvl w:val="1"/>
          <w:numId w:val="3"/>
        </w:numPr>
        <w:spacing w:after="0"/>
        <w:rPr>
          <w:rFonts w:ascii="Open Sans" w:eastAsia="Open Sans" w:hAnsi="Open Sans" w:cs="Open Sans"/>
          <w:color w:val="4E5053"/>
        </w:rPr>
      </w:pPr>
      <w:r w:rsidRPr="00AD0D60">
        <w:rPr>
          <w:rFonts w:ascii="Open Sans" w:eastAsia="Open Sans" w:hAnsi="Open Sans" w:cs="Open Sans"/>
          <w:b/>
          <w:color w:val="4E5053"/>
        </w:rPr>
        <w:t>Energy efficiency.</w:t>
      </w:r>
      <w:r w:rsidRPr="00AD0D60">
        <w:rPr>
          <w:rFonts w:ascii="Open Sans" w:eastAsia="Open Sans" w:hAnsi="Open Sans" w:cs="Open Sans"/>
          <w:color w:val="4E5053"/>
        </w:rPr>
        <w:t xml:space="preserve"> There is only a voluntary target for mortgage lenders to encourage borrowers to improve their energy efficiency. This is not good enough for the </w:t>
      </w:r>
      <w:r w:rsidRPr="00AD0D60">
        <w:rPr>
          <w:rFonts w:ascii="Open Sans" w:eastAsia="Open Sans" w:hAnsi="Open Sans" w:cs="Open Sans"/>
          <w:color w:val="4E5053"/>
        </w:rPr>
        <w:t>65% of the housing stock up by owner-occupied homes. Further, insufficient funding has been allocated to improve the fabric efficiency of social homes.</w:t>
      </w:r>
    </w:p>
    <w:p w14:paraId="5274110C" w14:textId="77777777" w:rsidR="00D505F9" w:rsidRPr="00AD0D60" w:rsidRDefault="00E96AC8">
      <w:pPr>
        <w:numPr>
          <w:ilvl w:val="1"/>
          <w:numId w:val="3"/>
        </w:numPr>
        <w:spacing w:after="0"/>
        <w:rPr>
          <w:rFonts w:ascii="Open Sans" w:eastAsia="Open Sans" w:hAnsi="Open Sans" w:cs="Open Sans"/>
          <w:color w:val="4E5053"/>
        </w:rPr>
      </w:pPr>
      <w:r w:rsidRPr="00AD0D60">
        <w:rPr>
          <w:rFonts w:ascii="Open Sans" w:eastAsia="Open Sans" w:hAnsi="Open Sans" w:cs="Open Sans"/>
          <w:b/>
          <w:color w:val="4E5053"/>
        </w:rPr>
        <w:t>Public sector buildings.</w:t>
      </w:r>
      <w:r w:rsidRPr="00AD0D60">
        <w:rPr>
          <w:rFonts w:ascii="Open Sans" w:eastAsia="Open Sans" w:hAnsi="Open Sans" w:cs="Open Sans"/>
          <w:color w:val="4E5053"/>
        </w:rPr>
        <w:t xml:space="preserve"> Funding for public sector buildings decarbonisation up until 2025 currently onl</w:t>
      </w:r>
      <w:r w:rsidRPr="00AD0D60">
        <w:rPr>
          <w:rFonts w:ascii="Open Sans" w:eastAsia="Open Sans" w:hAnsi="Open Sans" w:cs="Open Sans"/>
          <w:color w:val="4E5053"/>
        </w:rPr>
        <w:t>y covers around a third of what is needed.</w:t>
      </w:r>
    </w:p>
    <w:p w14:paraId="49BED1B3" w14:textId="77777777" w:rsidR="00D505F9" w:rsidRPr="00AD0D60" w:rsidRDefault="00E96AC8">
      <w:pPr>
        <w:numPr>
          <w:ilvl w:val="1"/>
          <w:numId w:val="3"/>
        </w:numPr>
        <w:spacing w:after="0"/>
        <w:rPr>
          <w:rFonts w:ascii="Open Sans" w:eastAsia="Open Sans" w:hAnsi="Open Sans" w:cs="Open Sans"/>
          <w:color w:val="4E5053"/>
        </w:rPr>
      </w:pPr>
      <w:r w:rsidRPr="00AD0D60">
        <w:rPr>
          <w:rFonts w:ascii="Open Sans" w:eastAsia="Open Sans" w:hAnsi="Open Sans" w:cs="Open Sans"/>
          <w:b/>
          <w:color w:val="4E5053"/>
        </w:rPr>
        <w:t xml:space="preserve">Gas boiler phase-out in non-residential buildings. </w:t>
      </w:r>
      <w:r w:rsidRPr="00AD0D60">
        <w:rPr>
          <w:rFonts w:ascii="Open Sans" w:eastAsia="Open Sans" w:hAnsi="Open Sans" w:cs="Open Sans"/>
          <w:color w:val="4E5053"/>
        </w:rPr>
        <w:t xml:space="preserve">The Government’s plans lack regulatory levers to drive the transition away from gas boilers in commercial buildings. </w:t>
      </w:r>
      <w:r w:rsidRPr="00835436">
        <w:rPr>
          <w:rFonts w:ascii="Open Sans" w:eastAsia="Open Sans" w:hAnsi="Open Sans" w:cs="Open Sans"/>
          <w:color w:val="4E5053"/>
          <w:highlight w:val="yellow"/>
        </w:rPr>
        <w:t xml:space="preserve">The report also considers the phase-out date </w:t>
      </w:r>
      <w:r w:rsidRPr="00835436">
        <w:rPr>
          <w:rFonts w:ascii="Open Sans" w:eastAsia="Open Sans" w:hAnsi="Open Sans" w:cs="Open Sans"/>
          <w:color w:val="4E5053"/>
          <w:highlight w:val="yellow"/>
        </w:rPr>
        <w:t xml:space="preserve">for installation of new gas boilers (2035) too </w:t>
      </w:r>
      <w:commentRangeStart w:id="0"/>
      <w:r w:rsidRPr="00835436">
        <w:rPr>
          <w:rFonts w:ascii="Open Sans" w:eastAsia="Open Sans" w:hAnsi="Open Sans" w:cs="Open Sans"/>
          <w:color w:val="4E5053"/>
          <w:highlight w:val="yellow"/>
        </w:rPr>
        <w:t>late</w:t>
      </w:r>
      <w:commentRangeEnd w:id="0"/>
      <w:r w:rsidR="00835436">
        <w:rPr>
          <w:rStyle w:val="CommentReference"/>
        </w:rPr>
        <w:commentReference w:id="0"/>
      </w:r>
      <w:r w:rsidRPr="00835436">
        <w:rPr>
          <w:rFonts w:ascii="Open Sans" w:eastAsia="Open Sans" w:hAnsi="Open Sans" w:cs="Open Sans"/>
          <w:color w:val="4E5053"/>
          <w:highlight w:val="yellow"/>
        </w:rPr>
        <w:t>.</w:t>
      </w:r>
    </w:p>
    <w:p w14:paraId="387F9FC9" w14:textId="77777777" w:rsidR="00D505F9" w:rsidRPr="00AD0D60" w:rsidRDefault="00E96AC8">
      <w:pPr>
        <w:numPr>
          <w:ilvl w:val="1"/>
          <w:numId w:val="3"/>
        </w:numPr>
        <w:spacing w:after="0"/>
        <w:rPr>
          <w:rFonts w:ascii="Open Sans" w:eastAsia="Open Sans" w:hAnsi="Open Sans" w:cs="Open Sans"/>
          <w:color w:val="4E5053"/>
        </w:rPr>
      </w:pPr>
      <w:r w:rsidRPr="00AD0D60">
        <w:rPr>
          <w:rFonts w:ascii="Open Sans" w:eastAsia="Open Sans" w:hAnsi="Open Sans" w:cs="Open Sans"/>
          <w:b/>
          <w:color w:val="4E5053"/>
        </w:rPr>
        <w:t xml:space="preserve">Unexplained emissions reduction. </w:t>
      </w:r>
      <w:r w:rsidRPr="00AD0D60">
        <w:rPr>
          <w:rFonts w:ascii="Open Sans" w:eastAsia="Open Sans" w:hAnsi="Open Sans" w:cs="Open Sans"/>
          <w:color w:val="4E5053"/>
        </w:rPr>
        <w:t>The Government has not published detailed figures for the emissions contribution of individual policies. The CCC predicts the strategy to contribute around 18% less emiss</w:t>
      </w:r>
      <w:r w:rsidRPr="00AD0D60">
        <w:rPr>
          <w:rFonts w:ascii="Open Sans" w:eastAsia="Open Sans" w:hAnsi="Open Sans" w:cs="Open Sans"/>
          <w:color w:val="4E5053"/>
        </w:rPr>
        <w:t xml:space="preserve">ions reduction than the Strategy targets by 2035. </w:t>
      </w:r>
    </w:p>
    <w:p w14:paraId="1321C11B" w14:textId="77777777" w:rsidR="00D505F9" w:rsidRPr="00AD0D60" w:rsidRDefault="00E96AC8">
      <w:pPr>
        <w:numPr>
          <w:ilvl w:val="1"/>
          <w:numId w:val="3"/>
        </w:numPr>
        <w:rPr>
          <w:rFonts w:ascii="Open Sans" w:eastAsia="Open Sans" w:hAnsi="Open Sans" w:cs="Open Sans"/>
          <w:color w:val="4E5053"/>
        </w:rPr>
      </w:pPr>
      <w:r w:rsidRPr="00AD0D60">
        <w:rPr>
          <w:rFonts w:ascii="Open Sans" w:eastAsia="Open Sans" w:hAnsi="Open Sans" w:cs="Open Sans"/>
          <w:b/>
          <w:color w:val="4E5053"/>
        </w:rPr>
        <w:t>Climate adaptation.</w:t>
      </w:r>
      <w:r w:rsidRPr="00AD0D60">
        <w:rPr>
          <w:rFonts w:ascii="Open Sans" w:eastAsia="Open Sans" w:hAnsi="Open Sans" w:cs="Open Sans"/>
          <w:color w:val="4E5053"/>
        </w:rPr>
        <w:t xml:space="preserve"> While there have been welcome steps forward on flooding in recent years, current policy on overheating only covers new builds.</w:t>
      </w:r>
    </w:p>
    <w:p w14:paraId="10F9EF8B" w14:textId="77777777" w:rsidR="00D505F9" w:rsidRPr="00835436" w:rsidRDefault="00E96AC8">
      <w:pPr>
        <w:rPr>
          <w:rFonts w:ascii="Open Sans" w:eastAsia="Open Sans" w:hAnsi="Open Sans" w:cs="Open Sans"/>
          <w:b/>
          <w:color w:val="4E5053"/>
          <w:sz w:val="24"/>
          <w:szCs w:val="24"/>
        </w:rPr>
      </w:pPr>
      <w:r w:rsidRPr="00835436">
        <w:rPr>
          <w:rFonts w:ascii="Open Sans" w:eastAsia="Open Sans" w:hAnsi="Open Sans" w:cs="Open Sans"/>
          <w:b/>
          <w:color w:val="4E5053"/>
          <w:sz w:val="24"/>
          <w:szCs w:val="24"/>
        </w:rPr>
        <w:t>Actions</w:t>
      </w:r>
    </w:p>
    <w:p w14:paraId="5F676CF4" w14:textId="77777777" w:rsidR="00D505F9" w:rsidRPr="00AD0D60" w:rsidRDefault="00E96AC8">
      <w:pPr>
        <w:numPr>
          <w:ilvl w:val="0"/>
          <w:numId w:val="4"/>
        </w:numPr>
        <w:spacing w:after="0"/>
        <w:rPr>
          <w:rFonts w:ascii="Open Sans" w:eastAsia="Open Sans" w:hAnsi="Open Sans" w:cs="Open Sans"/>
          <w:color w:val="4E5053"/>
        </w:rPr>
      </w:pPr>
      <w:r w:rsidRPr="00AD0D60">
        <w:rPr>
          <w:rFonts w:ascii="Open Sans" w:eastAsia="Open Sans" w:hAnsi="Open Sans" w:cs="Open Sans"/>
          <w:b/>
          <w:color w:val="4E5053"/>
        </w:rPr>
        <w:t xml:space="preserve">Skills. </w:t>
      </w:r>
      <w:r w:rsidRPr="00AD0D60">
        <w:rPr>
          <w:rFonts w:ascii="Open Sans" w:eastAsia="Open Sans" w:hAnsi="Open Sans" w:cs="Open Sans"/>
          <w:color w:val="4E5053"/>
        </w:rPr>
        <w:t>Government must link plans to grow and ups</w:t>
      </w:r>
      <w:r w:rsidRPr="00AD0D60">
        <w:rPr>
          <w:rFonts w:ascii="Open Sans" w:eastAsia="Open Sans" w:hAnsi="Open Sans" w:cs="Open Sans"/>
          <w:color w:val="4E5053"/>
        </w:rPr>
        <w:t xml:space="preserve">kill the workforce to the Government’s delivery pathways for low-carbon heat. This includes identifying </w:t>
      </w:r>
      <w:proofErr w:type="gramStart"/>
      <w:r w:rsidRPr="00AD0D60">
        <w:rPr>
          <w:rFonts w:ascii="Open Sans" w:eastAsia="Open Sans" w:hAnsi="Open Sans" w:cs="Open Sans"/>
          <w:color w:val="4E5053"/>
        </w:rPr>
        <w:t>particular barriers</w:t>
      </w:r>
      <w:proofErr w:type="gramEnd"/>
      <w:r w:rsidRPr="00AD0D60">
        <w:rPr>
          <w:rFonts w:ascii="Open Sans" w:eastAsia="Open Sans" w:hAnsi="Open Sans" w:cs="Open Sans"/>
          <w:color w:val="4E5053"/>
        </w:rPr>
        <w:t xml:space="preserve"> to labour market entry and setting out agreements between departments that detail how they will ensure skills delivery.</w:t>
      </w:r>
    </w:p>
    <w:p w14:paraId="1DCBB518" w14:textId="77777777" w:rsidR="00D505F9" w:rsidRPr="00AD0D60" w:rsidRDefault="00E96AC8">
      <w:pPr>
        <w:numPr>
          <w:ilvl w:val="0"/>
          <w:numId w:val="4"/>
        </w:numPr>
        <w:spacing w:after="0"/>
        <w:rPr>
          <w:rFonts w:ascii="Open Sans" w:eastAsia="Open Sans" w:hAnsi="Open Sans" w:cs="Open Sans"/>
          <w:color w:val="4E5053"/>
        </w:rPr>
      </w:pPr>
      <w:r w:rsidRPr="00AD0D60">
        <w:rPr>
          <w:rFonts w:ascii="Open Sans" w:eastAsia="Open Sans" w:hAnsi="Open Sans" w:cs="Open Sans"/>
          <w:b/>
          <w:color w:val="4E5053"/>
        </w:rPr>
        <w:t>Public Engag</w:t>
      </w:r>
      <w:r w:rsidRPr="00AD0D60">
        <w:rPr>
          <w:rFonts w:ascii="Open Sans" w:eastAsia="Open Sans" w:hAnsi="Open Sans" w:cs="Open Sans"/>
          <w:b/>
          <w:color w:val="4E5053"/>
        </w:rPr>
        <w:t xml:space="preserve">ement. </w:t>
      </w:r>
      <w:r w:rsidRPr="00AD0D60">
        <w:rPr>
          <w:rFonts w:ascii="Open Sans" w:eastAsia="Open Sans" w:hAnsi="Open Sans" w:cs="Open Sans"/>
          <w:color w:val="4E5053"/>
        </w:rPr>
        <w:t xml:space="preserve">Government must develop a public engagement strategy based on the principles set out in the Net Zero Strategy. This includes a review of the effectiveness of current channels to provide information on building decarbonisation. As well as putting in </w:t>
      </w:r>
      <w:r w:rsidRPr="00AD0D60">
        <w:rPr>
          <w:rFonts w:ascii="Open Sans" w:eastAsia="Open Sans" w:hAnsi="Open Sans" w:cs="Open Sans"/>
          <w:color w:val="4E5053"/>
        </w:rPr>
        <w:t>place plans to provide tailored information to households on buildings decarbonisation.</w:t>
      </w:r>
    </w:p>
    <w:p w14:paraId="2AEF1523" w14:textId="77777777" w:rsidR="00D505F9" w:rsidRPr="00AD0D60" w:rsidRDefault="00E96AC8">
      <w:pPr>
        <w:numPr>
          <w:ilvl w:val="0"/>
          <w:numId w:val="4"/>
        </w:numPr>
        <w:spacing w:after="0"/>
        <w:rPr>
          <w:rFonts w:ascii="Open Sans" w:eastAsia="Open Sans" w:hAnsi="Open Sans" w:cs="Open Sans"/>
          <w:color w:val="4E5053"/>
        </w:rPr>
      </w:pPr>
      <w:r w:rsidRPr="00AD0D60">
        <w:rPr>
          <w:rFonts w:ascii="Open Sans" w:eastAsia="Open Sans" w:hAnsi="Open Sans" w:cs="Open Sans"/>
          <w:b/>
          <w:color w:val="4E5053"/>
        </w:rPr>
        <w:lastRenderedPageBreak/>
        <w:t xml:space="preserve">Finance. </w:t>
      </w:r>
      <w:r w:rsidRPr="00AD0D60">
        <w:rPr>
          <w:rFonts w:ascii="Open Sans" w:eastAsia="Open Sans" w:hAnsi="Open Sans" w:cs="Open Sans"/>
          <w:color w:val="4E5053"/>
        </w:rPr>
        <w:t>The Government should develop more concrete plans on supporting the green mortgages. The Government needs regulations which would enable building owners to acc</w:t>
      </w:r>
      <w:r w:rsidRPr="00AD0D60">
        <w:rPr>
          <w:rFonts w:ascii="Open Sans" w:eastAsia="Open Sans" w:hAnsi="Open Sans" w:cs="Open Sans"/>
          <w:color w:val="4E5053"/>
        </w:rPr>
        <w:t>ess capital for building upgrades. The Government should publish more details on access to finance for SME energy efficiency measures.</w:t>
      </w:r>
    </w:p>
    <w:p w14:paraId="310ABB21" w14:textId="732A3F5D" w:rsidR="00D505F9" w:rsidRPr="00AD0D60" w:rsidRDefault="00E96AC8">
      <w:pPr>
        <w:numPr>
          <w:ilvl w:val="0"/>
          <w:numId w:val="4"/>
        </w:numPr>
        <w:spacing w:after="0"/>
        <w:rPr>
          <w:rFonts w:ascii="Open Sans" w:eastAsia="Open Sans" w:hAnsi="Open Sans" w:cs="Open Sans"/>
          <w:color w:val="4E5053"/>
        </w:rPr>
      </w:pPr>
      <w:r w:rsidRPr="00AD0D60">
        <w:rPr>
          <w:rFonts w:ascii="Open Sans" w:eastAsia="Open Sans" w:hAnsi="Open Sans" w:cs="Open Sans"/>
          <w:b/>
          <w:color w:val="4E5053"/>
        </w:rPr>
        <w:t>Building information.</w:t>
      </w:r>
      <w:r w:rsidRPr="00AD0D60">
        <w:rPr>
          <w:rFonts w:ascii="Open Sans" w:eastAsia="Open Sans" w:hAnsi="Open Sans" w:cs="Open Sans"/>
          <w:color w:val="4E5053"/>
        </w:rPr>
        <w:t xml:space="preserve">  The Government must establish a timeline for the introduction of home retrofit passports and work </w:t>
      </w:r>
      <w:r w:rsidRPr="00AD0D60">
        <w:rPr>
          <w:rFonts w:ascii="Open Sans" w:eastAsia="Open Sans" w:hAnsi="Open Sans" w:cs="Open Sans"/>
          <w:color w:val="4E5053"/>
        </w:rPr>
        <w:t>on in-use performance under the BEIS’ SMETERS programme. An in-use performance rating must be</w:t>
      </w:r>
      <w:r w:rsidRPr="00AD0D60">
        <w:rPr>
          <w:rFonts w:ascii="Open Sans" w:eastAsia="Open Sans" w:hAnsi="Open Sans" w:cs="Open Sans"/>
          <w:color w:val="4E5053"/>
        </w:rPr>
        <w:t xml:space="preserve"> ambitious and create the right incentives.</w:t>
      </w:r>
    </w:p>
    <w:p w14:paraId="03B9AB8C" w14:textId="0FA5B6EF" w:rsidR="00D505F9" w:rsidRPr="00AD0D60" w:rsidRDefault="00E96AC8">
      <w:pPr>
        <w:numPr>
          <w:ilvl w:val="0"/>
          <w:numId w:val="4"/>
        </w:numPr>
        <w:spacing w:after="0"/>
        <w:rPr>
          <w:rFonts w:ascii="Open Sans" w:eastAsia="Open Sans" w:hAnsi="Open Sans" w:cs="Open Sans"/>
          <w:b/>
          <w:color w:val="4E5053"/>
        </w:rPr>
      </w:pPr>
      <w:r w:rsidRPr="00AD0D60">
        <w:rPr>
          <w:rFonts w:ascii="Open Sans" w:eastAsia="Open Sans" w:hAnsi="Open Sans" w:cs="Open Sans"/>
          <w:b/>
          <w:color w:val="4E5053"/>
        </w:rPr>
        <w:t xml:space="preserve">Compliance. </w:t>
      </w:r>
      <w:r w:rsidRPr="00AD0D60">
        <w:rPr>
          <w:rFonts w:ascii="Open Sans" w:eastAsia="Open Sans" w:hAnsi="Open Sans" w:cs="Open Sans"/>
          <w:color w:val="4E5053"/>
        </w:rPr>
        <w:t>The Government must publish findings from it</w:t>
      </w:r>
      <w:r w:rsidRPr="00AD0D60">
        <w:rPr>
          <w:rFonts w:ascii="Open Sans" w:eastAsia="Open Sans" w:hAnsi="Open Sans" w:cs="Open Sans"/>
          <w:color w:val="4E5053"/>
        </w:rPr>
        <w:t xml:space="preserve">s study on strengthening enforcement for </w:t>
      </w:r>
      <w:proofErr w:type="gramStart"/>
      <w:r w:rsidRPr="00AD0D60">
        <w:rPr>
          <w:rFonts w:ascii="Open Sans" w:eastAsia="Open Sans" w:hAnsi="Open Sans" w:cs="Open Sans"/>
          <w:color w:val="4E5053"/>
        </w:rPr>
        <w:t>privately-rented</w:t>
      </w:r>
      <w:proofErr w:type="gramEnd"/>
      <w:r w:rsidRPr="00AD0D60">
        <w:rPr>
          <w:rFonts w:ascii="Open Sans" w:eastAsia="Open Sans" w:hAnsi="Open Sans" w:cs="Open Sans"/>
          <w:color w:val="4E5053"/>
        </w:rPr>
        <w:t xml:space="preserve"> bui</w:t>
      </w:r>
      <w:r w:rsidRPr="00AD0D60">
        <w:rPr>
          <w:rFonts w:ascii="Open Sans" w:eastAsia="Open Sans" w:hAnsi="Open Sans" w:cs="Open Sans"/>
          <w:color w:val="4E5053"/>
        </w:rPr>
        <w:t xml:space="preserve">ldings in 2022. Government must consider extra measures to check the compliance of qualified installers, approved </w:t>
      </w:r>
      <w:proofErr w:type="gramStart"/>
      <w:r w:rsidRPr="00AD0D60">
        <w:rPr>
          <w:rFonts w:ascii="Open Sans" w:eastAsia="Open Sans" w:hAnsi="Open Sans" w:cs="Open Sans"/>
          <w:color w:val="4E5053"/>
        </w:rPr>
        <w:t>inspectors</w:t>
      </w:r>
      <w:proofErr w:type="gramEnd"/>
      <w:r w:rsidRPr="00AD0D60">
        <w:rPr>
          <w:rFonts w:ascii="Open Sans" w:eastAsia="Open Sans" w:hAnsi="Open Sans" w:cs="Open Sans"/>
          <w:color w:val="4E5053"/>
        </w:rPr>
        <w:t xml:space="preserve"> and EPC assessors. Government must deliver ensure enough resources for Local Authorities to enforce standards effectively.</w:t>
      </w:r>
    </w:p>
    <w:p w14:paraId="04F6C313" w14:textId="77777777" w:rsidR="00D505F9" w:rsidRPr="00AD0D60" w:rsidRDefault="00E96AC8">
      <w:pPr>
        <w:numPr>
          <w:ilvl w:val="0"/>
          <w:numId w:val="4"/>
        </w:numPr>
        <w:spacing w:after="0"/>
        <w:rPr>
          <w:rFonts w:ascii="Open Sans" w:eastAsia="Open Sans" w:hAnsi="Open Sans" w:cs="Open Sans"/>
          <w:b/>
          <w:color w:val="4E5053"/>
        </w:rPr>
      </w:pPr>
      <w:r w:rsidRPr="00AD0D60">
        <w:rPr>
          <w:rFonts w:ascii="Open Sans" w:eastAsia="Open Sans" w:hAnsi="Open Sans" w:cs="Open Sans"/>
          <w:b/>
          <w:color w:val="4E5053"/>
        </w:rPr>
        <w:t>Planning</w:t>
      </w:r>
      <w:r w:rsidRPr="00AD0D60">
        <w:rPr>
          <w:rFonts w:ascii="Open Sans" w:eastAsia="Open Sans" w:hAnsi="Open Sans" w:cs="Open Sans"/>
          <w:b/>
          <w:color w:val="4E5053"/>
        </w:rPr>
        <w:t xml:space="preserve">. </w:t>
      </w:r>
      <w:r w:rsidRPr="00AD0D60">
        <w:rPr>
          <w:rFonts w:ascii="Open Sans" w:eastAsia="Open Sans" w:hAnsi="Open Sans" w:cs="Open Sans"/>
          <w:color w:val="4E5053"/>
        </w:rPr>
        <w:t>The Government should set out detailed plans for Local Area Energy Planning, including details on the standards for the plans. The Government should continue its work to strengthen data sharing between actors such as Local Authorities, Ofgem and DNOs. Th</w:t>
      </w:r>
      <w:r w:rsidRPr="00AD0D60">
        <w:rPr>
          <w:rFonts w:ascii="Open Sans" w:eastAsia="Open Sans" w:hAnsi="Open Sans" w:cs="Open Sans"/>
          <w:color w:val="4E5053"/>
        </w:rPr>
        <w:t>e Government should work with Ofgem on a research programme to identify priority areas for hydrogen. The approach to planning needs to be consistent across the UK, and complement existing planning work, such as flooding and air quality.</w:t>
      </w:r>
    </w:p>
    <w:p w14:paraId="09A65FA3" w14:textId="6367BACD" w:rsidR="00D505F9" w:rsidRPr="00AD0D60" w:rsidRDefault="00E96AC8">
      <w:pPr>
        <w:numPr>
          <w:ilvl w:val="0"/>
          <w:numId w:val="4"/>
        </w:numPr>
        <w:spacing w:after="0"/>
        <w:rPr>
          <w:rFonts w:ascii="Open Sans" w:eastAsia="Open Sans" w:hAnsi="Open Sans" w:cs="Open Sans"/>
          <w:b/>
          <w:color w:val="4E5053"/>
        </w:rPr>
      </w:pPr>
      <w:r w:rsidRPr="00AD0D60">
        <w:rPr>
          <w:rFonts w:ascii="Open Sans" w:eastAsia="Open Sans" w:hAnsi="Open Sans" w:cs="Open Sans"/>
          <w:b/>
          <w:color w:val="4E5053"/>
        </w:rPr>
        <w:t xml:space="preserve">Data. </w:t>
      </w:r>
      <w:r w:rsidRPr="00AD0D60">
        <w:rPr>
          <w:rFonts w:ascii="Open Sans" w:eastAsia="Open Sans" w:hAnsi="Open Sans" w:cs="Open Sans"/>
          <w:color w:val="4E5053"/>
        </w:rPr>
        <w:t>The Governmen</w:t>
      </w:r>
      <w:r w:rsidRPr="00AD0D60">
        <w:rPr>
          <w:rFonts w:ascii="Open Sans" w:eastAsia="Open Sans" w:hAnsi="Open Sans" w:cs="Open Sans"/>
          <w:color w:val="4E5053"/>
        </w:rPr>
        <w:t>t needs to broaden the scope of its data collection efforts</w:t>
      </w:r>
      <w:r w:rsidRPr="00AD0D60">
        <w:rPr>
          <w:rFonts w:ascii="Open Sans" w:eastAsia="Open Sans" w:hAnsi="Open Sans" w:cs="Open Sans"/>
          <w:color w:val="4E5053"/>
        </w:rPr>
        <w:t xml:space="preserve"> and develop policies which help the collection of data. The Government needs to develop new and better indicators to track policy progress.</w:t>
      </w:r>
    </w:p>
    <w:p w14:paraId="4EAF9860" w14:textId="77777777" w:rsidR="00D505F9" w:rsidRPr="00AD0D60" w:rsidRDefault="00E96AC8">
      <w:pPr>
        <w:numPr>
          <w:ilvl w:val="0"/>
          <w:numId w:val="4"/>
        </w:numPr>
        <w:rPr>
          <w:rFonts w:ascii="Open Sans" w:eastAsia="Open Sans" w:hAnsi="Open Sans" w:cs="Open Sans"/>
          <w:b/>
          <w:color w:val="4E5053"/>
        </w:rPr>
      </w:pPr>
      <w:r w:rsidRPr="00AD0D60">
        <w:rPr>
          <w:rFonts w:ascii="Open Sans" w:eastAsia="Open Sans" w:hAnsi="Open Sans" w:cs="Open Sans"/>
          <w:b/>
          <w:color w:val="4E5053"/>
        </w:rPr>
        <w:t xml:space="preserve">Governance. </w:t>
      </w:r>
      <w:r w:rsidRPr="00AD0D60">
        <w:rPr>
          <w:rFonts w:ascii="Open Sans" w:eastAsia="Open Sans" w:hAnsi="Open Sans" w:cs="Open Sans"/>
          <w:color w:val="4E5053"/>
        </w:rPr>
        <w:t>Government must work with devolved governme</w:t>
      </w:r>
      <w:r w:rsidRPr="00AD0D60">
        <w:rPr>
          <w:rFonts w:ascii="Open Sans" w:eastAsia="Open Sans" w:hAnsi="Open Sans" w:cs="Open Sans"/>
          <w:color w:val="4E5053"/>
        </w:rPr>
        <w:t>nts during implementation of the Strategy. Government must clearly define the bodies that will be responsible for delivering programmes. Government must establish new forums, or develop existing ones, such as the Net Zero Hubs</w:t>
      </w:r>
      <w:r w:rsidRPr="00AD0D60">
        <w:rPr>
          <w:rFonts w:ascii="Open Sans" w:eastAsia="Open Sans" w:hAnsi="Open Sans" w:cs="Open Sans"/>
          <w:b/>
          <w:color w:val="4E5053"/>
        </w:rPr>
        <w:t>.</w:t>
      </w:r>
    </w:p>
    <w:p w14:paraId="41758280" w14:textId="77777777" w:rsidR="00D505F9" w:rsidRPr="00835436" w:rsidRDefault="00E96AC8">
      <w:pPr>
        <w:rPr>
          <w:rFonts w:ascii="Open Sans" w:eastAsia="Open Sans" w:hAnsi="Open Sans" w:cs="Open Sans"/>
          <w:b/>
          <w:color w:val="4E5053"/>
          <w:sz w:val="24"/>
          <w:szCs w:val="24"/>
        </w:rPr>
      </w:pPr>
      <w:r w:rsidRPr="00835436">
        <w:rPr>
          <w:rFonts w:ascii="Open Sans" w:eastAsia="Open Sans" w:hAnsi="Open Sans" w:cs="Open Sans"/>
          <w:b/>
          <w:color w:val="4E5053"/>
          <w:sz w:val="24"/>
          <w:szCs w:val="24"/>
        </w:rPr>
        <w:t>Risk</w:t>
      </w:r>
    </w:p>
    <w:p w14:paraId="541C4A5B" w14:textId="77777777" w:rsidR="00D505F9" w:rsidRPr="00AD0D60" w:rsidRDefault="00E96AC8">
      <w:pPr>
        <w:numPr>
          <w:ilvl w:val="0"/>
          <w:numId w:val="6"/>
        </w:numPr>
        <w:spacing w:after="0"/>
        <w:rPr>
          <w:rFonts w:ascii="Open Sans" w:eastAsia="Open Sans" w:hAnsi="Open Sans" w:cs="Open Sans"/>
          <w:color w:val="4E5053"/>
        </w:rPr>
      </w:pPr>
      <w:r w:rsidRPr="00AD0D60">
        <w:rPr>
          <w:rFonts w:ascii="Open Sans" w:eastAsia="Open Sans" w:hAnsi="Open Sans" w:cs="Open Sans"/>
          <w:color w:val="4E5053"/>
        </w:rPr>
        <w:t>Two-thirds of the ambit</w:t>
      </w:r>
      <w:r w:rsidRPr="00AD0D60">
        <w:rPr>
          <w:rFonts w:ascii="Open Sans" w:eastAsia="Open Sans" w:hAnsi="Open Sans" w:cs="Open Sans"/>
          <w:color w:val="4E5053"/>
        </w:rPr>
        <w:t>ion in the Strategy faces at least some, and often significant, delivery risks. These reflect novel policy approaches that are still in development and must be monitored. Potential risks include:</w:t>
      </w:r>
    </w:p>
    <w:p w14:paraId="5C5D6770" w14:textId="77777777" w:rsidR="00D505F9" w:rsidRPr="00AD0D60" w:rsidRDefault="00E96AC8">
      <w:pPr>
        <w:numPr>
          <w:ilvl w:val="1"/>
          <w:numId w:val="6"/>
        </w:numPr>
        <w:spacing w:after="0"/>
        <w:rPr>
          <w:rFonts w:ascii="Open Sans" w:eastAsia="Open Sans" w:hAnsi="Open Sans" w:cs="Open Sans"/>
          <w:color w:val="4E5053"/>
        </w:rPr>
      </w:pPr>
      <w:r w:rsidRPr="00AD0D60">
        <w:rPr>
          <w:rFonts w:ascii="Open Sans" w:eastAsia="Open Sans" w:hAnsi="Open Sans" w:cs="Open Sans"/>
          <w:b/>
          <w:color w:val="4E5053"/>
        </w:rPr>
        <w:t>Reliance on a market-based approach.</w:t>
      </w:r>
      <w:r w:rsidRPr="00AD0D60">
        <w:rPr>
          <w:rFonts w:ascii="Open Sans" w:eastAsia="Open Sans" w:hAnsi="Open Sans" w:cs="Open Sans"/>
          <w:color w:val="4E5053"/>
        </w:rPr>
        <w:t xml:space="preserve"> The Government has proposed a market-based mechanism for heat pumps and relies on the market to drive delivery in other areas, such as heat networks. </w:t>
      </w:r>
    </w:p>
    <w:p w14:paraId="0656207D" w14:textId="77777777" w:rsidR="00D505F9" w:rsidRPr="00AD0D60" w:rsidRDefault="00E96AC8">
      <w:pPr>
        <w:numPr>
          <w:ilvl w:val="1"/>
          <w:numId w:val="6"/>
        </w:numPr>
        <w:spacing w:after="0"/>
        <w:rPr>
          <w:rFonts w:ascii="Open Sans" w:eastAsia="Open Sans" w:hAnsi="Open Sans" w:cs="Open Sans"/>
          <w:color w:val="4E5053"/>
        </w:rPr>
      </w:pPr>
      <w:r w:rsidRPr="00AD0D60">
        <w:rPr>
          <w:rFonts w:ascii="Open Sans" w:eastAsia="Open Sans" w:hAnsi="Open Sans" w:cs="Open Sans"/>
          <w:b/>
          <w:color w:val="4E5053"/>
        </w:rPr>
        <w:t>Enabling policies and coordination.</w:t>
      </w:r>
      <w:r w:rsidRPr="00AD0D60">
        <w:rPr>
          <w:rFonts w:ascii="Open Sans" w:eastAsia="Open Sans" w:hAnsi="Open Sans" w:cs="Open Sans"/>
          <w:color w:val="4E5053"/>
        </w:rPr>
        <w:t xml:space="preserve"> More needs to be done to coordin</w:t>
      </w:r>
      <w:r w:rsidRPr="00AD0D60">
        <w:rPr>
          <w:rFonts w:ascii="Open Sans" w:eastAsia="Open Sans" w:hAnsi="Open Sans" w:cs="Open Sans"/>
          <w:color w:val="4E5053"/>
        </w:rPr>
        <w:t xml:space="preserve">ate the national strategy with plans of devolved and local government. </w:t>
      </w:r>
    </w:p>
    <w:p w14:paraId="312904FF" w14:textId="77777777" w:rsidR="00D505F9" w:rsidRPr="00AD0D60" w:rsidRDefault="00E96AC8">
      <w:pPr>
        <w:numPr>
          <w:ilvl w:val="1"/>
          <w:numId w:val="6"/>
        </w:numPr>
        <w:rPr>
          <w:rFonts w:ascii="Open Sans" w:eastAsia="Open Sans" w:hAnsi="Open Sans" w:cs="Open Sans"/>
          <w:color w:val="4E5053"/>
        </w:rPr>
      </w:pPr>
      <w:r w:rsidRPr="00AD0D60">
        <w:rPr>
          <w:rFonts w:ascii="Open Sans" w:eastAsia="Open Sans" w:hAnsi="Open Sans" w:cs="Open Sans"/>
          <w:b/>
          <w:color w:val="4E5053"/>
        </w:rPr>
        <w:t>Lack of pace and clarity.</w:t>
      </w:r>
      <w:r w:rsidRPr="00AD0D60">
        <w:rPr>
          <w:rFonts w:ascii="Open Sans" w:eastAsia="Open Sans" w:hAnsi="Open Sans" w:cs="Open Sans"/>
          <w:color w:val="4E5053"/>
        </w:rPr>
        <w:t xml:space="preserve"> The Government has announced consultations which it has yet to start, including on owner-occupier energy efficiency, </w:t>
      </w:r>
      <w:r w:rsidRPr="00AD0D60">
        <w:rPr>
          <w:rFonts w:ascii="Open Sans" w:eastAsia="Open Sans" w:hAnsi="Open Sans" w:cs="Open Sans"/>
          <w:color w:val="4E5053"/>
        </w:rPr>
        <w:lastRenderedPageBreak/>
        <w:t xml:space="preserve">hydrogen-ready </w:t>
      </w:r>
      <w:proofErr w:type="gramStart"/>
      <w:r w:rsidRPr="00AD0D60">
        <w:rPr>
          <w:rFonts w:ascii="Open Sans" w:eastAsia="Open Sans" w:hAnsi="Open Sans" w:cs="Open Sans"/>
          <w:color w:val="4E5053"/>
        </w:rPr>
        <w:t>boilers</w:t>
      </w:r>
      <w:proofErr w:type="gramEnd"/>
      <w:r w:rsidRPr="00AD0D60">
        <w:rPr>
          <w:rFonts w:ascii="Open Sans" w:eastAsia="Open Sans" w:hAnsi="Open Sans" w:cs="Open Sans"/>
          <w:color w:val="4E5053"/>
        </w:rPr>
        <w:t xml:space="preserve"> and boiler phase-outs for buildings on the gas grid.</w:t>
      </w:r>
    </w:p>
    <w:sectPr w:rsidR="00D505F9" w:rsidRPr="00AD0D60">
      <w:headerReference w:type="default" r:id="rId12"/>
      <w:footerReference w:type="default" r:id="rId13"/>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iara Zennaro" w:date="2022-03-14T13:33:00Z" w:initials="KZ">
    <w:p w14:paraId="608632C6" w14:textId="6F3A8FA2" w:rsidR="00835436" w:rsidRDefault="00835436">
      <w:pPr>
        <w:pStyle w:val="CommentText"/>
      </w:pPr>
      <w:r>
        <w:rPr>
          <w:rStyle w:val="CommentReference"/>
        </w:rPr>
        <w:annotationRef/>
      </w:r>
      <w:r>
        <w:t>Is this specific to non-residential or domestic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8632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C2C3" w16cex:dateUtc="2022-03-1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632C6" w16cid:durableId="25D9C2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BF31" w14:textId="77777777" w:rsidR="00E96AC8" w:rsidRDefault="00E96AC8">
      <w:pPr>
        <w:spacing w:after="0" w:line="240" w:lineRule="auto"/>
      </w:pPr>
      <w:r>
        <w:separator/>
      </w:r>
    </w:p>
  </w:endnote>
  <w:endnote w:type="continuationSeparator" w:id="0">
    <w:p w14:paraId="544300E6" w14:textId="77777777" w:rsidR="00E96AC8" w:rsidRDefault="00E9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2269" w14:textId="77777777" w:rsidR="00D505F9" w:rsidRDefault="00E96AC8">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B73CF">
      <w:rPr>
        <w:noProof/>
        <w:color w:val="000000"/>
      </w:rPr>
      <w:t>1</w:t>
    </w:r>
    <w:r>
      <w:rPr>
        <w:color w:val="000000"/>
      </w:rPr>
      <w:fldChar w:fldCharType="end"/>
    </w:r>
  </w:p>
  <w:p w14:paraId="394DC593" w14:textId="77777777" w:rsidR="00D505F9" w:rsidRDefault="00D505F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1E6E" w14:textId="77777777" w:rsidR="00E96AC8" w:rsidRDefault="00E96AC8">
      <w:pPr>
        <w:spacing w:after="0" w:line="240" w:lineRule="auto"/>
      </w:pPr>
      <w:r>
        <w:separator/>
      </w:r>
    </w:p>
  </w:footnote>
  <w:footnote w:type="continuationSeparator" w:id="0">
    <w:p w14:paraId="3B0382F9" w14:textId="77777777" w:rsidR="00E96AC8" w:rsidRDefault="00E96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DCED" w14:textId="77777777" w:rsidR="00D505F9" w:rsidRPr="00835436" w:rsidRDefault="00E96AC8">
    <w:pPr>
      <w:pBdr>
        <w:top w:val="nil"/>
        <w:left w:val="nil"/>
        <w:bottom w:val="nil"/>
        <w:right w:val="nil"/>
        <w:between w:val="nil"/>
      </w:pBdr>
      <w:tabs>
        <w:tab w:val="center" w:pos="4513"/>
        <w:tab w:val="right" w:pos="9026"/>
      </w:tabs>
      <w:spacing w:after="0" w:line="240" w:lineRule="auto"/>
      <w:rPr>
        <w:rFonts w:ascii="Open Sans" w:hAnsi="Open Sans" w:cs="Open Sans"/>
        <w:color w:val="000000"/>
      </w:rPr>
    </w:pPr>
    <w:r w:rsidRPr="00835436">
      <w:rPr>
        <w:rFonts w:ascii="Open Sans" w:hAnsi="Open Sans" w:cs="Open Sans"/>
      </w:rPr>
      <w:t>14/03/2022</w:t>
    </w:r>
    <w:r w:rsidRPr="00835436">
      <w:rPr>
        <w:rFonts w:ascii="Open Sans" w:hAnsi="Open Sans" w:cs="Open Sans"/>
        <w:noProof/>
      </w:rPr>
      <w:drawing>
        <wp:anchor distT="0" distB="0" distL="114300" distR="114300" simplePos="0" relativeHeight="251658240" behindDoc="0" locked="0" layoutInCell="1" hidden="0" allowOverlap="1" wp14:anchorId="2A2A78D5" wp14:editId="3A6A5474">
          <wp:simplePos x="0" y="0"/>
          <wp:positionH relativeFrom="column">
            <wp:posOffset>3771900</wp:posOffset>
          </wp:positionH>
          <wp:positionV relativeFrom="paragraph">
            <wp:posOffset>-259713</wp:posOffset>
          </wp:positionV>
          <wp:extent cx="2321560" cy="67691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21560" cy="6769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B7324"/>
    <w:multiLevelType w:val="multilevel"/>
    <w:tmpl w:val="F5149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1A57A0"/>
    <w:multiLevelType w:val="multilevel"/>
    <w:tmpl w:val="B72C9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212754"/>
    <w:multiLevelType w:val="multilevel"/>
    <w:tmpl w:val="EDB4B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A70384"/>
    <w:multiLevelType w:val="multilevel"/>
    <w:tmpl w:val="306C1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AB205D"/>
    <w:multiLevelType w:val="multilevel"/>
    <w:tmpl w:val="B4548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0E1AF8"/>
    <w:multiLevelType w:val="multilevel"/>
    <w:tmpl w:val="8AAA2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ara Zennaro">
    <w15:presenceInfo w15:providerId="None" w15:userId="Kiara Zenn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F9"/>
    <w:rsid w:val="007B73CF"/>
    <w:rsid w:val="00835436"/>
    <w:rsid w:val="00AD0D60"/>
    <w:rsid w:val="00D505F9"/>
    <w:rsid w:val="00E96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B0A2"/>
  <w15:docId w15:val="{9A1A1531-C888-418E-B3D9-0F34E904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35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436"/>
  </w:style>
  <w:style w:type="paragraph" w:styleId="Footer">
    <w:name w:val="footer"/>
    <w:basedOn w:val="Normal"/>
    <w:link w:val="FooterChar"/>
    <w:uiPriority w:val="99"/>
    <w:unhideWhenUsed/>
    <w:rsid w:val="00835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436"/>
  </w:style>
  <w:style w:type="character" w:styleId="CommentReference">
    <w:name w:val="annotation reference"/>
    <w:basedOn w:val="DefaultParagraphFont"/>
    <w:uiPriority w:val="99"/>
    <w:semiHidden/>
    <w:unhideWhenUsed/>
    <w:rsid w:val="00835436"/>
    <w:rPr>
      <w:sz w:val="16"/>
      <w:szCs w:val="16"/>
    </w:rPr>
  </w:style>
  <w:style w:type="paragraph" w:styleId="CommentText">
    <w:name w:val="annotation text"/>
    <w:basedOn w:val="Normal"/>
    <w:link w:val="CommentTextChar"/>
    <w:uiPriority w:val="99"/>
    <w:semiHidden/>
    <w:unhideWhenUsed/>
    <w:rsid w:val="00835436"/>
    <w:pPr>
      <w:spacing w:line="240" w:lineRule="auto"/>
    </w:pPr>
    <w:rPr>
      <w:sz w:val="20"/>
      <w:szCs w:val="20"/>
    </w:rPr>
  </w:style>
  <w:style w:type="character" w:customStyle="1" w:styleId="CommentTextChar">
    <w:name w:val="Comment Text Char"/>
    <w:basedOn w:val="DefaultParagraphFont"/>
    <w:link w:val="CommentText"/>
    <w:uiPriority w:val="99"/>
    <w:semiHidden/>
    <w:rsid w:val="00835436"/>
    <w:rPr>
      <w:sz w:val="20"/>
      <w:szCs w:val="20"/>
    </w:rPr>
  </w:style>
  <w:style w:type="paragraph" w:styleId="CommentSubject">
    <w:name w:val="annotation subject"/>
    <w:basedOn w:val="CommentText"/>
    <w:next w:val="CommentText"/>
    <w:link w:val="CommentSubjectChar"/>
    <w:uiPriority w:val="99"/>
    <w:semiHidden/>
    <w:unhideWhenUsed/>
    <w:rsid w:val="00835436"/>
    <w:rPr>
      <w:b/>
      <w:bCs/>
    </w:rPr>
  </w:style>
  <w:style w:type="character" w:customStyle="1" w:styleId="CommentSubjectChar">
    <w:name w:val="Comment Subject Char"/>
    <w:basedOn w:val="CommentTextChar"/>
    <w:link w:val="CommentSubject"/>
    <w:uiPriority w:val="99"/>
    <w:semiHidden/>
    <w:rsid w:val="008354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ccc.org.uk/wp-content/uploads/2022/03/CCC-Independent-Assessment-The-UKs-Heat-and-Buildings-Strategy.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John</dc:creator>
  <cp:lastModifiedBy>Kiara Zennaro</cp:lastModifiedBy>
  <cp:revision>3</cp:revision>
  <dcterms:created xsi:type="dcterms:W3CDTF">2022-03-14T13:19:00Z</dcterms:created>
  <dcterms:modified xsi:type="dcterms:W3CDTF">2022-03-14T13:36:00Z</dcterms:modified>
</cp:coreProperties>
</file>