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B9B1" w14:textId="0520EF99" w:rsidR="00BC5602" w:rsidRPr="00732ABA" w:rsidRDefault="00115B5E" w:rsidP="00263740">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 xml:space="preserve">DRAFT </w:t>
      </w:r>
      <w:r w:rsidR="0006647D" w:rsidRPr="00732ABA">
        <w:rPr>
          <w:rFonts w:ascii="Open Sans" w:eastAsia="Open Sans" w:hAnsi="Open Sans" w:cs="Open Sans"/>
          <w:b/>
          <w:color w:val="06926B"/>
          <w:sz w:val="36"/>
          <w:szCs w:val="36"/>
        </w:rPr>
        <w:t>REA Response:</w:t>
      </w:r>
    </w:p>
    <w:p w14:paraId="1ADBB20C" w14:textId="5EC256EB" w:rsidR="00BC5602" w:rsidRPr="00732ABA" w:rsidRDefault="007C48F5" w:rsidP="00263740">
      <w:pPr>
        <w:spacing w:before="120" w:after="120" w:line="240" w:lineRule="auto"/>
        <w:jc w:val="center"/>
        <w:rPr>
          <w:rFonts w:ascii="Open Sans" w:eastAsia="Open Sans" w:hAnsi="Open Sans" w:cs="Open Sans"/>
          <w:b/>
          <w:color w:val="06926B"/>
          <w:sz w:val="36"/>
          <w:szCs w:val="36"/>
        </w:rPr>
      </w:pPr>
      <w:r w:rsidRPr="00732ABA">
        <w:rPr>
          <w:rFonts w:ascii="Open Sans" w:eastAsia="Open Sans" w:hAnsi="Open Sans" w:cs="Open Sans"/>
          <w:b/>
          <w:color w:val="06926B"/>
          <w:sz w:val="36"/>
          <w:szCs w:val="36"/>
        </w:rPr>
        <w:t>Revision of the Gas Safety (Management) Regulations 1996</w:t>
      </w:r>
    </w:p>
    <w:p w14:paraId="608D5A39" w14:textId="77777777" w:rsidR="007C48F5" w:rsidRPr="00732ABA" w:rsidRDefault="007C48F5" w:rsidP="00263740">
      <w:pPr>
        <w:spacing w:before="120" w:after="120" w:line="240" w:lineRule="auto"/>
        <w:jc w:val="center"/>
        <w:rPr>
          <w:rFonts w:ascii="Open Sans" w:eastAsia="Open Sans" w:hAnsi="Open Sans" w:cs="Open Sans"/>
          <w:color w:val="434343"/>
        </w:rPr>
      </w:pPr>
    </w:p>
    <w:p w14:paraId="794A4807" w14:textId="77777777" w:rsidR="00BC5602" w:rsidRPr="00732ABA" w:rsidRDefault="0006647D" w:rsidP="00263740">
      <w:pPr>
        <w:spacing w:before="120" w:after="120" w:line="240" w:lineRule="auto"/>
        <w:rPr>
          <w:rFonts w:ascii="Open Sans" w:hAnsi="Open Sans" w:cs="Open Sans"/>
        </w:rPr>
      </w:pPr>
      <w:r w:rsidRPr="00732ABA">
        <w:rPr>
          <w:rFonts w:ascii="Open Sans" w:eastAsia="Open Sans" w:hAnsi="Open Sans" w:cs="Open Sans"/>
          <w:b/>
          <w:color w:val="2F5496"/>
        </w:rPr>
        <w:t>If you are responding on behalf of an organisation, please confirm the name and type of organisation you represent?</w:t>
      </w:r>
    </w:p>
    <w:p w14:paraId="31BA344C" w14:textId="7D86E26E" w:rsidR="00BC5602" w:rsidRPr="00732ABA" w:rsidRDefault="0006647D" w:rsidP="00263740">
      <w:pPr>
        <w:spacing w:before="120" w:after="120" w:line="240" w:lineRule="auto"/>
        <w:rPr>
          <w:rFonts w:ascii="Open Sans" w:eastAsia="Open Sans" w:hAnsi="Open Sans" w:cs="Open Sans"/>
          <w:color w:val="434343"/>
        </w:rPr>
      </w:pPr>
      <w:r w:rsidRPr="00732ABA">
        <w:rPr>
          <w:rFonts w:ascii="Open Sans" w:eastAsia="Open Sans" w:hAnsi="Open Sans" w:cs="Open Sans"/>
          <w:color w:val="434343"/>
        </w:rPr>
        <w:t xml:space="preserve">The Association for Renewable Energy &amp; Clean Technologies (REA), the UK’s largest renewables trade association, is pleased to submit this response to the above call for evidence. </w:t>
      </w:r>
    </w:p>
    <w:p w14:paraId="64D1E40D" w14:textId="55B83264" w:rsidR="0006647D" w:rsidRPr="00732ABA" w:rsidRDefault="008346E5" w:rsidP="00263740">
      <w:pPr>
        <w:spacing w:before="120" w:after="120" w:line="240" w:lineRule="auto"/>
        <w:rPr>
          <w:rFonts w:ascii="Open Sans" w:eastAsia="Open Sans" w:hAnsi="Open Sans" w:cs="Open Sans"/>
          <w:color w:val="434343"/>
        </w:rPr>
      </w:pPr>
      <w:r w:rsidRPr="00732ABA">
        <w:rPr>
          <w:rFonts w:ascii="Open Sans" w:eastAsia="Open Sans" w:hAnsi="Open Sans" w:cs="Open Sans"/>
          <w:color w:val="434343"/>
        </w:rPr>
        <w:t>The REA represents industry stakeholders from across the whole bioenergy sector and includes dedicated member forums focused on green gas</w:t>
      </w:r>
      <w:r w:rsidR="007A66A1" w:rsidRPr="00732ABA">
        <w:rPr>
          <w:rFonts w:ascii="Open Sans" w:eastAsia="Open Sans" w:hAnsi="Open Sans" w:cs="Open Sans"/>
          <w:color w:val="434343"/>
        </w:rPr>
        <w:t xml:space="preserve">es including </w:t>
      </w:r>
      <w:r w:rsidR="007C48F5" w:rsidRPr="00732ABA">
        <w:rPr>
          <w:rFonts w:ascii="Open Sans" w:eastAsia="Open Sans" w:hAnsi="Open Sans" w:cs="Open Sans"/>
          <w:color w:val="434343"/>
        </w:rPr>
        <w:t xml:space="preserve">biomethane, </w:t>
      </w:r>
      <w:r w:rsidRPr="00732ABA">
        <w:rPr>
          <w:rFonts w:ascii="Open Sans" w:eastAsia="Open Sans" w:hAnsi="Open Sans" w:cs="Open Sans"/>
          <w:color w:val="434343"/>
        </w:rPr>
        <w:t xml:space="preserve">clean hydrogen,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16720D0F" w14:textId="44786D8C" w:rsidR="00780FBD" w:rsidRDefault="00780FBD" w:rsidP="00263740">
      <w:pPr>
        <w:spacing w:before="120" w:after="120" w:line="240" w:lineRule="auto"/>
        <w:rPr>
          <w:rFonts w:ascii="Open Sans" w:eastAsia="Open Sans" w:hAnsi="Open Sans" w:cs="Open Sans"/>
          <w:color w:val="434343"/>
        </w:rPr>
      </w:pPr>
    </w:p>
    <w:p w14:paraId="5B0F7F01" w14:textId="4752E4DA" w:rsidR="00263740" w:rsidRPr="00263740" w:rsidRDefault="00263740" w:rsidP="00263740">
      <w:pPr>
        <w:spacing w:before="120" w:after="120" w:line="240" w:lineRule="auto"/>
        <w:rPr>
          <w:rFonts w:ascii="Open Sans" w:eastAsia="Open Sans" w:hAnsi="Open Sans" w:cs="Open Sans"/>
          <w:b/>
          <w:color w:val="2F5496"/>
        </w:rPr>
      </w:pPr>
      <w:r w:rsidRPr="00263740">
        <w:rPr>
          <w:rFonts w:ascii="Open Sans" w:eastAsia="Open Sans" w:hAnsi="Open Sans" w:cs="Open Sans"/>
          <w:b/>
          <w:color w:val="2F5496"/>
        </w:rPr>
        <w:t xml:space="preserve">Context </w:t>
      </w:r>
    </w:p>
    <w:p w14:paraId="177F929D" w14:textId="1826C693" w:rsidR="00866BD1" w:rsidRDefault="00780FBD" w:rsidP="00263740">
      <w:pPr>
        <w:spacing w:before="120" w:after="120" w:line="240" w:lineRule="auto"/>
        <w:rPr>
          <w:rFonts w:ascii="Open Sans" w:hAnsi="Open Sans" w:cs="Open Sans"/>
          <w:color w:val="202020"/>
        </w:rPr>
      </w:pPr>
      <w:r w:rsidRPr="00732ABA">
        <w:rPr>
          <w:rFonts w:ascii="Open Sans" w:hAnsi="Open Sans" w:cs="Open Sans"/>
          <w:color w:val="202020"/>
        </w:rPr>
        <w:t>On 28</w:t>
      </w:r>
      <w:r w:rsidR="00263740" w:rsidRPr="00263740">
        <w:rPr>
          <w:rFonts w:ascii="Open Sans" w:hAnsi="Open Sans" w:cs="Open Sans"/>
          <w:color w:val="202020"/>
          <w:vertAlign w:val="superscript"/>
        </w:rPr>
        <w:t>th</w:t>
      </w:r>
      <w:r w:rsidR="00263740">
        <w:rPr>
          <w:rFonts w:ascii="Open Sans" w:hAnsi="Open Sans" w:cs="Open Sans"/>
          <w:color w:val="202020"/>
        </w:rPr>
        <w:t xml:space="preserve"> </w:t>
      </w:r>
      <w:r w:rsidRPr="00732ABA">
        <w:rPr>
          <w:rFonts w:ascii="Open Sans" w:hAnsi="Open Sans" w:cs="Open Sans"/>
          <w:color w:val="202020"/>
        </w:rPr>
        <w:t xml:space="preserve">January 2022, the HSE launched a consultation on proposals to amend the GSMR. These regulations apply to the conveyance of natural gas (methane) through pipes to domestic, </w:t>
      </w:r>
      <w:proofErr w:type="gramStart"/>
      <w:r w:rsidRPr="00732ABA">
        <w:rPr>
          <w:rFonts w:ascii="Open Sans" w:hAnsi="Open Sans" w:cs="Open Sans"/>
          <w:color w:val="202020"/>
        </w:rPr>
        <w:t>commercial</w:t>
      </w:r>
      <w:proofErr w:type="gramEnd"/>
      <w:r w:rsidRPr="00732ABA">
        <w:rPr>
          <w:rFonts w:ascii="Open Sans" w:hAnsi="Open Sans" w:cs="Open Sans"/>
          <w:color w:val="202020"/>
        </w:rPr>
        <w:t xml:space="preserve"> and industrial consumers. The consultation, using an on-line survey, is open for eight weeks until 21 March 2022.</w:t>
      </w:r>
      <w:r w:rsidRPr="00732ABA">
        <w:rPr>
          <w:rFonts w:ascii="Open Sans" w:hAnsi="Open Sans" w:cs="Open Sans"/>
          <w:color w:val="202020"/>
        </w:rPr>
        <w:br/>
      </w:r>
      <w:r w:rsidRPr="00732ABA">
        <w:rPr>
          <w:rFonts w:ascii="Open Sans" w:hAnsi="Open Sans" w:cs="Open Sans"/>
          <w:color w:val="202020"/>
        </w:rPr>
        <w:br/>
      </w:r>
      <w:r w:rsidR="00866BD1" w:rsidRPr="00866BD1">
        <w:rPr>
          <w:rFonts w:ascii="Open Sans" w:eastAsia="Open Sans" w:hAnsi="Open Sans" w:cs="Open Sans"/>
          <w:b/>
          <w:color w:val="2F5496"/>
        </w:rPr>
        <w:t xml:space="preserve">Response </w:t>
      </w:r>
    </w:p>
    <w:p w14:paraId="7006A194" w14:textId="08B4B48F" w:rsidR="00780FBD" w:rsidRPr="00BE1E76" w:rsidRDefault="00BE1E76" w:rsidP="00263740">
      <w:pPr>
        <w:spacing w:before="120" w:after="120" w:line="240" w:lineRule="auto"/>
        <w:rPr>
          <w:rFonts w:ascii="Open Sans" w:hAnsi="Open Sans" w:cs="Open Sans"/>
          <w:color w:val="202020"/>
        </w:rPr>
      </w:pPr>
      <w:r>
        <w:rPr>
          <w:rFonts w:ascii="Open Sans" w:hAnsi="Open Sans" w:cs="Open Sans"/>
          <w:color w:val="202020"/>
        </w:rPr>
        <w:t xml:space="preserve">Please note that our comments below specifically relate to </w:t>
      </w:r>
      <w:r w:rsidRPr="00BE1E76">
        <w:rPr>
          <w:rFonts w:ascii="Open Sans" w:hAnsi="Open Sans" w:cs="Open Sans"/>
          <w:color w:val="202020"/>
        </w:rPr>
        <w:t>D.11.2 section on page 36 of the consultation</w:t>
      </w:r>
      <w:r>
        <w:rPr>
          <w:rFonts w:ascii="Open Sans" w:hAnsi="Open Sans" w:cs="Open Sans"/>
          <w:color w:val="202020"/>
        </w:rPr>
        <w:t xml:space="preserve"> </w:t>
      </w:r>
      <w:r w:rsidR="00780FBD" w:rsidRPr="00BE1E76">
        <w:rPr>
          <w:rFonts w:ascii="Open Sans" w:hAnsi="Open Sans" w:cs="Open Sans"/>
          <w:color w:val="202020"/>
        </w:rPr>
        <w:t>(</w:t>
      </w:r>
      <w:r>
        <w:rPr>
          <w:rFonts w:ascii="Open Sans" w:hAnsi="Open Sans" w:cs="Open Sans"/>
          <w:color w:val="202020"/>
        </w:rPr>
        <w:t>c</w:t>
      </w:r>
      <w:r w:rsidR="00780FBD" w:rsidRPr="00BE1E76">
        <w:rPr>
          <w:rFonts w:ascii="Open Sans" w:hAnsi="Open Sans" w:cs="Open Sans"/>
          <w:color w:val="202020"/>
        </w:rPr>
        <w:t xml:space="preserve">opy of this section at the bottom </w:t>
      </w:r>
      <w:r>
        <w:rPr>
          <w:rFonts w:ascii="Open Sans" w:hAnsi="Open Sans" w:cs="Open Sans"/>
          <w:color w:val="202020"/>
        </w:rPr>
        <w:t>of this response</w:t>
      </w:r>
      <w:r w:rsidR="00780FBD" w:rsidRPr="00BE1E76">
        <w:rPr>
          <w:rFonts w:ascii="Open Sans" w:hAnsi="Open Sans" w:cs="Open Sans"/>
          <w:color w:val="202020"/>
        </w:rPr>
        <w:t xml:space="preserve">). </w:t>
      </w:r>
    </w:p>
    <w:p w14:paraId="50CB54D9" w14:textId="02610587" w:rsidR="00780FBD" w:rsidRPr="00732ABA" w:rsidRDefault="00780FBD" w:rsidP="00263740">
      <w:pPr>
        <w:spacing w:before="120" w:after="120" w:line="240" w:lineRule="auto"/>
        <w:rPr>
          <w:rFonts w:ascii="Open Sans" w:hAnsi="Open Sans" w:cs="Open Sans"/>
          <w:color w:val="1F3864"/>
          <w:lang w:eastAsia="en-US"/>
        </w:rPr>
      </w:pPr>
      <w:r w:rsidRPr="00BE1E76">
        <w:rPr>
          <w:rFonts w:ascii="Open Sans" w:hAnsi="Open Sans" w:cs="Open Sans"/>
          <w:color w:val="202020"/>
        </w:rPr>
        <w:t>Further to the proposed change to GSMR to require all Biomethane pipelines to have a Safety Case (Section D.11.2 of the consultation), we do not support this change for the following reasons:</w:t>
      </w:r>
    </w:p>
    <w:p w14:paraId="2382F39B" w14:textId="77777777" w:rsidR="00780FBD" w:rsidRPr="00BE1E76" w:rsidRDefault="00780FBD" w:rsidP="00BE1E76">
      <w:pPr>
        <w:pStyle w:val="ListParagraph"/>
        <w:numPr>
          <w:ilvl w:val="0"/>
          <w:numId w:val="6"/>
        </w:numPr>
        <w:spacing w:before="120" w:after="120" w:line="240" w:lineRule="auto"/>
        <w:ind w:left="284" w:hanging="284"/>
        <w:contextualSpacing w:val="0"/>
        <w:rPr>
          <w:rFonts w:ascii="Open Sans" w:eastAsia="Times New Roman" w:hAnsi="Open Sans" w:cs="Open Sans"/>
          <w:lang w:eastAsia="en-US"/>
        </w:rPr>
      </w:pPr>
      <w:r w:rsidRPr="00BE1E76">
        <w:rPr>
          <w:rFonts w:ascii="Open Sans" w:eastAsia="Times New Roman" w:hAnsi="Open Sans" w:cs="Open Sans"/>
          <w:lang w:eastAsia="en-US"/>
        </w:rPr>
        <w:t xml:space="preserve">We believe the current arrangements are sufficient to ensure continued safety of private biomethane pipelines. Under current arrangements private biomethane pipelines are laid and connected upstream of a Gas Network Operator (GNO) entry Remote Operated Valve (ROV). Under this arrangement the biomethane entry pipeline (which may also be on wholly private land and variable in length from several metres to several kilometres) has been viewed as part of the gas processing facilities and therefore not required a separate Safety Case. All Safety related concerns regarding private biomethane pipeline design, construction, </w:t>
      </w:r>
      <w:proofErr w:type="gramStart"/>
      <w:r w:rsidRPr="00BE1E76">
        <w:rPr>
          <w:rFonts w:ascii="Open Sans" w:eastAsia="Times New Roman" w:hAnsi="Open Sans" w:cs="Open Sans"/>
          <w:lang w:eastAsia="en-US"/>
        </w:rPr>
        <w:t>operation</w:t>
      </w:r>
      <w:proofErr w:type="gramEnd"/>
      <w:r w:rsidRPr="00BE1E76">
        <w:rPr>
          <w:rFonts w:ascii="Open Sans" w:eastAsia="Times New Roman" w:hAnsi="Open Sans" w:cs="Open Sans"/>
          <w:lang w:eastAsia="en-US"/>
        </w:rPr>
        <w:t xml:space="preserve"> and emergency arrangements are adequately covered by the requirements of the </w:t>
      </w:r>
      <w:r w:rsidRPr="00BE1E76">
        <w:rPr>
          <w:rFonts w:ascii="Open Sans" w:eastAsia="Times New Roman" w:hAnsi="Open Sans" w:cs="Open Sans"/>
          <w:lang w:eastAsia="en-US"/>
        </w:rPr>
        <w:lastRenderedPageBreak/>
        <w:t>Pipeline Safety Regulations 1996. In addition, the downstream GNO can isolate the upstream private pipeline by closure of the ROV at any time.</w:t>
      </w:r>
    </w:p>
    <w:p w14:paraId="71C854ED" w14:textId="77777777" w:rsidR="00780FBD" w:rsidRPr="00BE1E76" w:rsidRDefault="00780FBD" w:rsidP="00BE1E76">
      <w:pPr>
        <w:pStyle w:val="ListParagraph"/>
        <w:spacing w:before="120" w:after="120" w:line="240" w:lineRule="auto"/>
        <w:ind w:left="284" w:hanging="284"/>
        <w:rPr>
          <w:rFonts w:ascii="Open Sans" w:eastAsiaTheme="minorHAnsi" w:hAnsi="Open Sans" w:cs="Open Sans"/>
          <w:lang w:eastAsia="en-US"/>
        </w:rPr>
      </w:pPr>
    </w:p>
    <w:p w14:paraId="15F4D6DD" w14:textId="1E2F9741" w:rsidR="00780FBD" w:rsidRPr="00BE1E76" w:rsidRDefault="00780FBD" w:rsidP="00565259">
      <w:pPr>
        <w:pStyle w:val="ListParagraph"/>
        <w:numPr>
          <w:ilvl w:val="0"/>
          <w:numId w:val="6"/>
        </w:numPr>
        <w:spacing w:before="120" w:after="120" w:line="240" w:lineRule="auto"/>
        <w:ind w:left="284" w:hanging="284"/>
        <w:contextualSpacing w:val="0"/>
        <w:rPr>
          <w:rFonts w:ascii="Open Sans" w:eastAsiaTheme="minorHAnsi" w:hAnsi="Open Sans" w:cs="Open Sans"/>
          <w:lang w:eastAsia="en-US"/>
        </w:rPr>
      </w:pPr>
      <w:r w:rsidRPr="00BE1E76">
        <w:rPr>
          <w:rFonts w:ascii="Open Sans" w:eastAsia="Times New Roman" w:hAnsi="Open Sans" w:cs="Open Sans"/>
          <w:lang w:eastAsia="en-US"/>
        </w:rPr>
        <w:t>GSMR has a greater focus on protecting domestic customers. Biomethane pipelines are interruptible entry pipelines which do not supply domestic customer directly. They are Non-Relevant Mains for the connection of domestic premises and therefore many of the provisions under GSMR do not apply to the same extent as a GNO network which has extensive networks in densely populated areas and high volumes of directly connected domestic and industrial customers:</w:t>
      </w:r>
    </w:p>
    <w:p w14:paraId="6CE39262" w14:textId="59976F01" w:rsidR="00780FBD" w:rsidRPr="00BE1E76" w:rsidRDefault="00780FBD" w:rsidP="00BE1E76">
      <w:pPr>
        <w:pStyle w:val="ListParagraph"/>
        <w:numPr>
          <w:ilvl w:val="1"/>
          <w:numId w:val="6"/>
        </w:numPr>
        <w:spacing w:before="120" w:after="120" w:line="240" w:lineRule="auto"/>
        <w:ind w:left="709" w:hanging="425"/>
        <w:contextualSpacing w:val="0"/>
        <w:rPr>
          <w:rFonts w:ascii="Open Sans" w:eastAsia="Times New Roman" w:hAnsi="Open Sans" w:cs="Open Sans"/>
          <w:lang w:eastAsia="en-US"/>
        </w:rPr>
      </w:pPr>
      <w:r w:rsidRPr="00BE1E76">
        <w:rPr>
          <w:rFonts w:ascii="Open Sans" w:eastAsia="Times New Roman" w:hAnsi="Open Sans" w:cs="Open Sans"/>
          <w:lang w:eastAsia="en-US"/>
        </w:rPr>
        <w:t>Arrangements for gas supply emergencies – As biomethane pipelines are interruptible, with no directly connected customers and relatively low flow</w:t>
      </w:r>
      <w:r w:rsidR="00BE1E76">
        <w:rPr>
          <w:rFonts w:ascii="Open Sans" w:eastAsia="Times New Roman" w:hAnsi="Open Sans" w:cs="Open Sans"/>
          <w:lang w:eastAsia="en-US"/>
        </w:rPr>
        <w:t xml:space="preserve"> </w:t>
      </w:r>
      <w:r w:rsidRPr="00BE1E76">
        <w:rPr>
          <w:rFonts w:ascii="Open Sans" w:eastAsia="Times New Roman" w:hAnsi="Open Sans" w:cs="Open Sans"/>
          <w:lang w:eastAsia="en-US"/>
        </w:rPr>
        <w:t xml:space="preserve">rate they are not required to maintain gas supply in GNO downstream </w:t>
      </w:r>
      <w:proofErr w:type="gramStart"/>
      <w:r w:rsidRPr="00BE1E76">
        <w:rPr>
          <w:rFonts w:ascii="Open Sans" w:eastAsia="Times New Roman" w:hAnsi="Open Sans" w:cs="Open Sans"/>
          <w:lang w:eastAsia="en-US"/>
        </w:rPr>
        <w:t>networks</w:t>
      </w:r>
      <w:proofErr w:type="gramEnd"/>
      <w:r w:rsidRPr="00BE1E76">
        <w:rPr>
          <w:rFonts w:ascii="Open Sans" w:eastAsia="Times New Roman" w:hAnsi="Open Sans" w:cs="Open Sans"/>
          <w:lang w:eastAsia="en-US"/>
        </w:rPr>
        <w:t xml:space="preserve"> and no customer supplies are directly affected. During a GNO supply emergency the downstream GNO can simply shut off the private biomethane pipeline using the ROV.</w:t>
      </w:r>
    </w:p>
    <w:p w14:paraId="7AC0DE39" w14:textId="412FFA46" w:rsidR="00780FBD" w:rsidRPr="00BE1E76" w:rsidRDefault="00780FBD" w:rsidP="00BE1E76">
      <w:pPr>
        <w:pStyle w:val="ListParagraph"/>
        <w:numPr>
          <w:ilvl w:val="1"/>
          <w:numId w:val="6"/>
        </w:numPr>
        <w:spacing w:before="120" w:after="120" w:line="240" w:lineRule="auto"/>
        <w:ind w:left="709" w:hanging="425"/>
        <w:contextualSpacing w:val="0"/>
        <w:rPr>
          <w:rFonts w:ascii="Open Sans" w:eastAsia="Times New Roman" w:hAnsi="Open Sans" w:cs="Open Sans"/>
          <w:lang w:eastAsia="en-US"/>
        </w:rPr>
      </w:pPr>
      <w:r w:rsidRPr="00BE1E76">
        <w:rPr>
          <w:rFonts w:ascii="Open Sans" w:eastAsia="Times New Roman" w:hAnsi="Open Sans" w:cs="Open Sans"/>
          <w:lang w:eastAsia="en-US"/>
        </w:rPr>
        <w:t>Gas composition – Although GSMR specification is required</w:t>
      </w:r>
      <w:r w:rsidR="00566E8E">
        <w:rPr>
          <w:rFonts w:ascii="Open Sans" w:eastAsia="Times New Roman" w:hAnsi="Open Sans" w:cs="Open Sans"/>
          <w:lang w:eastAsia="en-US"/>
        </w:rPr>
        <w:t xml:space="preserve">, </w:t>
      </w:r>
      <w:r w:rsidRPr="00BE1E76">
        <w:rPr>
          <w:rFonts w:ascii="Open Sans" w:eastAsia="Times New Roman" w:hAnsi="Open Sans" w:cs="Open Sans"/>
          <w:lang w:eastAsia="en-US"/>
        </w:rPr>
        <w:t xml:space="preserve">it is only for entry into the downstream GNO network for which the gas composition requirements are fully provided in the Network Entry Agreement with the downstream GNO including all monitoring and safety devices – this includes the ability for the GNO to shut off the biomethane pipeline if there is a gas quality excursion. </w:t>
      </w:r>
    </w:p>
    <w:p w14:paraId="0D1ADDA7" w14:textId="77777777" w:rsidR="00780FBD" w:rsidRPr="00BE1E76" w:rsidRDefault="00780FBD" w:rsidP="00BE1E76">
      <w:pPr>
        <w:pStyle w:val="ListParagraph"/>
        <w:numPr>
          <w:ilvl w:val="1"/>
          <w:numId w:val="6"/>
        </w:numPr>
        <w:spacing w:before="120" w:after="120" w:line="240" w:lineRule="auto"/>
        <w:ind w:left="709" w:hanging="425"/>
        <w:contextualSpacing w:val="0"/>
        <w:rPr>
          <w:rFonts w:ascii="Open Sans" w:eastAsia="Times New Roman" w:hAnsi="Open Sans" w:cs="Open Sans"/>
          <w:lang w:eastAsia="en-US"/>
        </w:rPr>
      </w:pPr>
      <w:r w:rsidRPr="00BE1E76">
        <w:rPr>
          <w:rFonts w:ascii="Open Sans" w:eastAsia="Times New Roman" w:hAnsi="Open Sans" w:cs="Open Sans"/>
          <w:lang w:eastAsia="en-US"/>
        </w:rPr>
        <w:t xml:space="preserve">Reported escapes and gas incidents - While these apply to biomethane pipelines the emergency provisions are adequately covered by the Pipeline Safety Regulations 1996. It should also be noted that biomethane pipelines are mainly laid in rural locations with low population density and </w:t>
      </w:r>
      <w:proofErr w:type="gramStart"/>
      <w:r w:rsidRPr="00BE1E76">
        <w:rPr>
          <w:rFonts w:ascii="Open Sans" w:eastAsia="Times New Roman" w:hAnsi="Open Sans" w:cs="Open Sans"/>
          <w:lang w:eastAsia="en-US"/>
        </w:rPr>
        <w:t>no</w:t>
      </w:r>
      <w:proofErr w:type="gramEnd"/>
      <w:r w:rsidRPr="00BE1E76">
        <w:rPr>
          <w:rFonts w:ascii="Open Sans" w:eastAsia="Times New Roman" w:hAnsi="Open Sans" w:cs="Open Sans"/>
          <w:lang w:eastAsia="en-US"/>
        </w:rPr>
        <w:t xml:space="preserve"> directly connected domestic or I&amp;C customers, therefore GSMR gas escape and incident provisions beyond a customer ECV are not applicable.</w:t>
      </w:r>
    </w:p>
    <w:p w14:paraId="5AB60038" w14:textId="77777777" w:rsidR="00780FBD" w:rsidRPr="00BE1E76" w:rsidRDefault="00780FBD" w:rsidP="00263740">
      <w:pPr>
        <w:pStyle w:val="ListParagraph"/>
        <w:spacing w:before="120" w:after="120" w:line="240" w:lineRule="auto"/>
        <w:ind w:left="1440"/>
        <w:rPr>
          <w:rFonts w:ascii="Open Sans" w:eastAsiaTheme="minorHAnsi" w:hAnsi="Open Sans" w:cs="Open Sans"/>
          <w:lang w:eastAsia="en-US"/>
        </w:rPr>
      </w:pPr>
    </w:p>
    <w:p w14:paraId="13335929" w14:textId="77777777" w:rsidR="00780FBD" w:rsidRPr="00BE1E76" w:rsidRDefault="00780FBD" w:rsidP="00566E8E">
      <w:pPr>
        <w:pStyle w:val="ListParagraph"/>
        <w:numPr>
          <w:ilvl w:val="0"/>
          <w:numId w:val="6"/>
        </w:numPr>
        <w:spacing w:before="120" w:after="120" w:line="240" w:lineRule="auto"/>
        <w:ind w:left="284" w:hanging="284"/>
        <w:contextualSpacing w:val="0"/>
        <w:rPr>
          <w:rFonts w:ascii="Open Sans" w:eastAsia="Times New Roman" w:hAnsi="Open Sans" w:cs="Open Sans"/>
          <w:lang w:eastAsia="en-US"/>
        </w:rPr>
      </w:pPr>
      <w:r w:rsidRPr="00BE1E76">
        <w:rPr>
          <w:rFonts w:ascii="Open Sans" w:eastAsia="Times New Roman" w:hAnsi="Open Sans" w:cs="Open Sans"/>
          <w:lang w:eastAsia="en-US"/>
        </w:rPr>
        <w:t>The pressure generated by a Biomethane plant is typically up to 7bar on the outlet. In areas where there is a lack of capacity in the GNO LP/MP and IP networks it is necessary to connect to an above 7 bar GNO network (pressures up to 85 bar) – these situations are becoming more frequent as capacity is taken up by biomethane plants already in operation. In these situations, the AD plant is typically some distance from the GNO high pressure network and to avoid extension of the high-pressure system a private biomethane pipeline may be laid at lower pressures up to 7bar to a remote compressor station close to the existing high-pressure system, improving safety by use of the lower pressure. This enables a Minimum Entry Connection to be constructed with an ROV controlling the flow of biomethane and greatly reducing the amount of high-pressure pipework extension required on the GNO system. If the GSMR legislation is changed so private biomethane pipelines upstream of the GNO ROV require a safety case, the additional costs and timescales around development, approval and maintenance of a Safety Case will incentive the GNO high pressure systems to be extended all the way to the biomethane plants and therefore increase safety risks for the public.</w:t>
      </w:r>
    </w:p>
    <w:p w14:paraId="33F03431" w14:textId="77777777" w:rsidR="00780FBD" w:rsidRPr="00566E8E" w:rsidRDefault="00780FBD" w:rsidP="00566E8E">
      <w:pPr>
        <w:pStyle w:val="ListParagraph"/>
        <w:spacing w:before="120" w:after="120" w:line="240" w:lineRule="auto"/>
        <w:ind w:left="284"/>
        <w:contextualSpacing w:val="0"/>
        <w:rPr>
          <w:rFonts w:ascii="Open Sans" w:eastAsia="Times New Roman" w:hAnsi="Open Sans" w:cs="Open Sans"/>
          <w:lang w:eastAsia="en-US"/>
        </w:rPr>
      </w:pPr>
    </w:p>
    <w:p w14:paraId="210EFB6B" w14:textId="77777777" w:rsidR="00780FBD" w:rsidRPr="00BE1E76" w:rsidRDefault="00780FBD" w:rsidP="00566E8E">
      <w:pPr>
        <w:pStyle w:val="ListParagraph"/>
        <w:numPr>
          <w:ilvl w:val="0"/>
          <w:numId w:val="6"/>
        </w:numPr>
        <w:spacing w:before="120" w:after="120" w:line="240" w:lineRule="auto"/>
        <w:ind w:left="284" w:hanging="284"/>
        <w:contextualSpacing w:val="0"/>
        <w:rPr>
          <w:rFonts w:ascii="Open Sans" w:eastAsia="Times New Roman" w:hAnsi="Open Sans" w:cs="Open Sans"/>
          <w:lang w:eastAsia="en-US"/>
        </w:rPr>
      </w:pPr>
      <w:r w:rsidRPr="00BE1E76">
        <w:rPr>
          <w:rFonts w:ascii="Open Sans" w:eastAsia="Times New Roman" w:hAnsi="Open Sans" w:cs="Open Sans"/>
          <w:lang w:eastAsia="en-US"/>
        </w:rPr>
        <w:lastRenderedPageBreak/>
        <w:t xml:space="preserve">With the drive for Net Zero the number of biomethane connections is forecast to increase greatly. If all these projects require the biomethane operator to have a Safety Case for the biomethane pipeline upstream of the GNO ROV this will greatly increase costs and timescales for the industry and ultimately result in </w:t>
      </w:r>
      <w:proofErr w:type="gramStart"/>
      <w:r w:rsidRPr="00BE1E76">
        <w:rPr>
          <w:rFonts w:ascii="Open Sans" w:eastAsia="Times New Roman" w:hAnsi="Open Sans" w:cs="Open Sans"/>
          <w:lang w:eastAsia="en-US"/>
        </w:rPr>
        <w:t>a number of</w:t>
      </w:r>
      <w:proofErr w:type="gramEnd"/>
      <w:r w:rsidRPr="00BE1E76">
        <w:rPr>
          <w:rFonts w:ascii="Open Sans" w:eastAsia="Times New Roman" w:hAnsi="Open Sans" w:cs="Open Sans"/>
          <w:lang w:eastAsia="en-US"/>
        </w:rPr>
        <w:t xml:space="preserve"> projects not being progressed and therefore not maximising the opportunity to reduce carbon emissions in line with government targets. The process would also result in a significant increase in workload for the HSE in assessing, </w:t>
      </w:r>
      <w:proofErr w:type="gramStart"/>
      <w:r w:rsidRPr="00BE1E76">
        <w:rPr>
          <w:rFonts w:ascii="Open Sans" w:eastAsia="Times New Roman" w:hAnsi="Open Sans" w:cs="Open Sans"/>
          <w:lang w:eastAsia="en-US"/>
        </w:rPr>
        <w:t>approving</w:t>
      </w:r>
      <w:proofErr w:type="gramEnd"/>
      <w:r w:rsidRPr="00BE1E76">
        <w:rPr>
          <w:rFonts w:ascii="Open Sans" w:eastAsia="Times New Roman" w:hAnsi="Open Sans" w:cs="Open Sans"/>
          <w:lang w:eastAsia="en-US"/>
        </w:rPr>
        <w:t xml:space="preserve"> and auditing Safety Cases for minor sections of pipework which are adequately covered by PSSR and all upstream of a GNO ROV which can be closed remotely.</w:t>
      </w:r>
    </w:p>
    <w:p w14:paraId="3B0B2112" w14:textId="77777777" w:rsidR="00566E8E" w:rsidRDefault="00566E8E" w:rsidP="00566E8E">
      <w:pPr>
        <w:spacing w:before="120" w:after="120" w:line="240" w:lineRule="auto"/>
        <w:rPr>
          <w:rFonts w:ascii="Open Sans" w:eastAsia="Times New Roman" w:hAnsi="Open Sans" w:cs="Open Sans"/>
          <w:lang w:eastAsia="en-US"/>
        </w:rPr>
      </w:pPr>
    </w:p>
    <w:p w14:paraId="56CFF383" w14:textId="2E389572" w:rsidR="00780FBD" w:rsidRPr="00566E8E" w:rsidRDefault="00566E8E" w:rsidP="00566E8E">
      <w:pPr>
        <w:spacing w:before="120" w:after="120" w:line="240" w:lineRule="auto"/>
        <w:rPr>
          <w:rFonts w:ascii="Open Sans" w:eastAsia="Times New Roman" w:hAnsi="Open Sans" w:cs="Open Sans"/>
          <w:b/>
          <w:bCs/>
          <w:lang w:eastAsia="en-US"/>
        </w:rPr>
      </w:pPr>
      <w:r w:rsidRPr="00566E8E">
        <w:rPr>
          <w:rFonts w:ascii="Open Sans" w:eastAsia="Times New Roman" w:hAnsi="Open Sans" w:cs="Open Sans"/>
          <w:b/>
          <w:bCs/>
          <w:lang w:eastAsia="en-US"/>
        </w:rPr>
        <w:t xml:space="preserve">Relevant excerpt from consultation </w:t>
      </w:r>
    </w:p>
    <w:p w14:paraId="02BDD8E9" w14:textId="77777777" w:rsidR="00780FBD" w:rsidRPr="00566E8E" w:rsidRDefault="00780FBD" w:rsidP="00263740">
      <w:pPr>
        <w:pStyle w:val="Heading4"/>
        <w:spacing w:before="120" w:after="120" w:line="240" w:lineRule="auto"/>
        <w:rPr>
          <w:rFonts w:ascii="Open Sans" w:eastAsia="Times New Roman" w:hAnsi="Open Sans" w:cs="Open Sans"/>
          <w:bCs/>
          <w:i/>
          <w:iCs/>
          <w:sz w:val="22"/>
          <w:szCs w:val="22"/>
        </w:rPr>
      </w:pPr>
      <w:r w:rsidRPr="00566E8E">
        <w:rPr>
          <w:rFonts w:ascii="Open Sans" w:eastAsia="Times New Roman" w:hAnsi="Open Sans" w:cs="Open Sans"/>
          <w:b w:val="0"/>
          <w:bCs/>
          <w:i/>
          <w:iCs/>
          <w:sz w:val="22"/>
          <w:szCs w:val="22"/>
        </w:rPr>
        <w:t>D.11.2. Inclusion of biomethane pipelines</w:t>
      </w:r>
    </w:p>
    <w:p w14:paraId="483720D6" w14:textId="77777777" w:rsidR="00780FBD" w:rsidRPr="00566E8E" w:rsidRDefault="00780FBD" w:rsidP="00263740">
      <w:pPr>
        <w:pStyle w:val="BodyText1"/>
        <w:keepNext/>
        <w:spacing w:after="120"/>
        <w:jc w:val="both"/>
        <w:rPr>
          <w:rFonts w:ascii="Open Sans" w:hAnsi="Open Sans" w:cs="Open Sans"/>
          <w:i/>
          <w:iCs/>
          <w:color w:val="auto"/>
        </w:rPr>
      </w:pPr>
      <w:r w:rsidRPr="00566E8E">
        <w:rPr>
          <w:rFonts w:ascii="Open Sans" w:hAnsi="Open Sans" w:cs="Open Sans"/>
          <w:i/>
          <w:iCs/>
          <w:color w:val="auto"/>
        </w:rPr>
        <w:t>Under GSMR, this is an issue for biomethane pipelines where the requirements of the regulations and the associated guidance have led to differing interpretations.</w:t>
      </w:r>
    </w:p>
    <w:p w14:paraId="05F38272" w14:textId="77777777" w:rsidR="00780FBD" w:rsidRPr="00566E8E" w:rsidRDefault="00780FBD" w:rsidP="00263740">
      <w:pPr>
        <w:pStyle w:val="BodyText1"/>
        <w:spacing w:after="120"/>
        <w:jc w:val="both"/>
        <w:rPr>
          <w:rFonts w:ascii="Open Sans" w:hAnsi="Open Sans" w:cs="Open Sans"/>
          <w:i/>
          <w:iCs/>
          <w:color w:val="auto"/>
        </w:rPr>
      </w:pPr>
      <w:r w:rsidRPr="00566E8E">
        <w:rPr>
          <w:rFonts w:ascii="Open Sans" w:hAnsi="Open Sans" w:cs="Open Sans"/>
          <w:i/>
          <w:iCs/>
          <w:color w:val="auto"/>
        </w:rPr>
        <w:t>A safety case should be produced by the conveyor of gas to demonstrate safe operation of the pipeline including response to gas escapes and emergencies. This is an issue for biomethane pipelines where the requirements of the regulations and the associated guidance have led to differing interpretations.</w:t>
      </w:r>
    </w:p>
    <w:p w14:paraId="69E00B94" w14:textId="77777777" w:rsidR="00780FBD" w:rsidRPr="00566E8E" w:rsidRDefault="00780FBD" w:rsidP="00263740">
      <w:pPr>
        <w:pStyle w:val="BodyText1"/>
        <w:spacing w:after="120"/>
        <w:jc w:val="both"/>
        <w:rPr>
          <w:rFonts w:ascii="Open Sans" w:hAnsi="Open Sans" w:cs="Open Sans"/>
          <w:i/>
          <w:iCs/>
          <w:color w:val="auto"/>
        </w:rPr>
      </w:pPr>
      <w:r w:rsidRPr="00566E8E">
        <w:rPr>
          <w:rFonts w:ascii="Open Sans" w:hAnsi="Open Sans" w:cs="Open Sans"/>
          <w:i/>
          <w:iCs/>
          <w:color w:val="auto"/>
        </w:rPr>
        <w:t xml:space="preserve">Inconsistencies have arisen with the application of GSMR, with some pipelines connecting the biomethane production plants considered to be on the network and some to be out of the network.  This results in some pipelines operated with a safety case, and some without, which does not comply with GSMR Regulation 3(1).  </w:t>
      </w:r>
    </w:p>
    <w:p w14:paraId="5329277F" w14:textId="77777777" w:rsidR="00780FBD" w:rsidRPr="00566E8E" w:rsidRDefault="00780FBD" w:rsidP="00263740">
      <w:pPr>
        <w:pStyle w:val="BodyText1"/>
        <w:spacing w:after="120"/>
        <w:jc w:val="both"/>
        <w:rPr>
          <w:rFonts w:ascii="Open Sans" w:hAnsi="Open Sans" w:cs="Open Sans"/>
          <w:i/>
          <w:iCs/>
          <w:color w:val="auto"/>
        </w:rPr>
      </w:pPr>
      <w:r w:rsidRPr="00566E8E">
        <w:rPr>
          <w:rFonts w:ascii="Open Sans" w:hAnsi="Open Sans" w:cs="Open Sans"/>
          <w:i/>
          <w:iCs/>
          <w:color w:val="auto"/>
        </w:rPr>
        <w:t xml:space="preserve">These inconsistencies have primarily arisen due to </w:t>
      </w:r>
      <w:proofErr w:type="gramStart"/>
      <w:r w:rsidRPr="00566E8E">
        <w:rPr>
          <w:rFonts w:ascii="Open Sans" w:hAnsi="Open Sans" w:cs="Open Sans"/>
          <w:i/>
          <w:iCs/>
          <w:color w:val="auto"/>
        </w:rPr>
        <w:t>whether or not</w:t>
      </w:r>
      <w:proofErr w:type="gramEnd"/>
      <w:r w:rsidRPr="00566E8E">
        <w:rPr>
          <w:rFonts w:ascii="Open Sans" w:hAnsi="Open Sans" w:cs="Open Sans"/>
          <w:i/>
          <w:iCs/>
          <w:color w:val="auto"/>
        </w:rPr>
        <w:t xml:space="preserve"> the operator of the pipeline has an existing safety case.  Where the operator has an existing safety case (typically the downstream network operator) the new pipeline has become an extension of their network and incorporated into an existing safety case.  In other cases, the new pipeline operator is standalone from the downstream system it connects in to and has no safety case.</w:t>
      </w:r>
    </w:p>
    <w:p w14:paraId="6CDD2134" w14:textId="77777777" w:rsidR="00780FBD" w:rsidRPr="00566E8E" w:rsidRDefault="00780FBD" w:rsidP="00263740">
      <w:pPr>
        <w:pStyle w:val="BodyText1"/>
        <w:spacing w:after="120"/>
        <w:jc w:val="both"/>
        <w:rPr>
          <w:rFonts w:ascii="Open Sans" w:hAnsi="Open Sans" w:cs="Open Sans"/>
          <w:i/>
          <w:iCs/>
          <w:color w:val="auto"/>
        </w:rPr>
      </w:pPr>
      <w:r w:rsidRPr="00566E8E">
        <w:rPr>
          <w:rFonts w:ascii="Open Sans" w:hAnsi="Open Sans" w:cs="Open Sans"/>
          <w:i/>
          <w:iCs/>
          <w:color w:val="auto"/>
        </w:rPr>
        <w:t>The policy intention is to ensure that all parts of the network which are conveying gas periodically have a safety case in place which is helping to manage risk.</w:t>
      </w:r>
    </w:p>
    <w:p w14:paraId="7A4FC192" w14:textId="77777777" w:rsidR="00780FBD" w:rsidRPr="00566E8E" w:rsidRDefault="00780FBD" w:rsidP="00263740">
      <w:pPr>
        <w:pStyle w:val="BodyText1"/>
        <w:spacing w:after="120"/>
        <w:jc w:val="both"/>
        <w:rPr>
          <w:rFonts w:ascii="Open Sans" w:hAnsi="Open Sans" w:cs="Open Sans"/>
          <w:i/>
          <w:iCs/>
          <w:color w:val="auto"/>
        </w:rPr>
      </w:pPr>
      <w:r w:rsidRPr="00566E8E">
        <w:rPr>
          <w:rFonts w:ascii="Open Sans" w:hAnsi="Open Sans" w:cs="Open Sans"/>
          <w:i/>
          <w:iCs/>
          <w:color w:val="auto"/>
        </w:rPr>
        <w:t xml:space="preserve">This would be a new duty on the operators of biomethane sites that do not have a safety case already in place and would mean an additional administrative cost to such operators of having to prepare and compile a safety case. We have not estimated these costs as part of the consultation stage </w:t>
      </w:r>
      <w:proofErr w:type="gramStart"/>
      <w:r w:rsidRPr="00566E8E">
        <w:rPr>
          <w:rFonts w:ascii="Open Sans" w:hAnsi="Open Sans" w:cs="Open Sans"/>
          <w:i/>
          <w:iCs/>
          <w:color w:val="auto"/>
        </w:rPr>
        <w:t>IA, but</w:t>
      </w:r>
      <w:proofErr w:type="gramEnd"/>
      <w:r w:rsidRPr="00566E8E">
        <w:rPr>
          <w:rFonts w:ascii="Open Sans" w:hAnsi="Open Sans" w:cs="Open Sans"/>
          <w:i/>
          <w:iCs/>
          <w:color w:val="auto"/>
        </w:rPr>
        <w:t xml:space="preserve"> will engage with </w:t>
      </w:r>
      <w:proofErr w:type="spellStart"/>
      <w:r w:rsidRPr="00566E8E">
        <w:rPr>
          <w:rFonts w:ascii="Open Sans" w:hAnsi="Open Sans" w:cs="Open Sans"/>
          <w:i/>
          <w:iCs/>
          <w:color w:val="auto"/>
        </w:rPr>
        <w:t>dutyholders</w:t>
      </w:r>
      <w:proofErr w:type="spellEnd"/>
      <w:r w:rsidRPr="00566E8E">
        <w:rPr>
          <w:rFonts w:ascii="Open Sans" w:hAnsi="Open Sans" w:cs="Open Sans"/>
          <w:i/>
          <w:iCs/>
          <w:color w:val="auto"/>
        </w:rPr>
        <w:t xml:space="preserve"> to do so for the final stage. </w:t>
      </w:r>
    </w:p>
    <w:p w14:paraId="60C1FDA4" w14:textId="77777777" w:rsidR="00780FBD" w:rsidRPr="00566E8E" w:rsidRDefault="00780FBD" w:rsidP="00263740">
      <w:pPr>
        <w:spacing w:before="120" w:after="120" w:line="240" w:lineRule="auto"/>
        <w:rPr>
          <w:rFonts w:ascii="Open Sans" w:hAnsi="Open Sans" w:cs="Open Sans"/>
          <w:i/>
          <w:iCs/>
          <w:lang w:eastAsia="en-US"/>
        </w:rPr>
      </w:pPr>
    </w:p>
    <w:p w14:paraId="0D2C634F" w14:textId="77777777" w:rsidR="00780FBD" w:rsidRPr="00566E8E" w:rsidRDefault="00780FBD" w:rsidP="00263740">
      <w:pPr>
        <w:spacing w:before="120" w:after="120" w:line="240" w:lineRule="auto"/>
        <w:rPr>
          <w:rFonts w:ascii="Open Sans" w:hAnsi="Open Sans" w:cs="Open Sans"/>
          <w:i/>
          <w:iCs/>
          <w:lang w:eastAsia="en-US"/>
        </w:rPr>
      </w:pPr>
    </w:p>
    <w:p w14:paraId="2DDA92D5" w14:textId="7AEA824C" w:rsidR="00780FBD" w:rsidRPr="00BE1E76" w:rsidRDefault="00780FBD" w:rsidP="00263740">
      <w:pPr>
        <w:spacing w:before="120" w:after="120" w:line="240" w:lineRule="auto"/>
        <w:rPr>
          <w:rFonts w:ascii="Open Sans" w:eastAsia="Open Sans" w:hAnsi="Open Sans" w:cs="Open Sans"/>
        </w:rPr>
      </w:pPr>
    </w:p>
    <w:sectPr w:rsidR="00780FBD" w:rsidRPr="00BE1E76">
      <w:headerReference w:type="default" r:id="rId7"/>
      <w:footerReference w:type="default" r:id="rId8"/>
      <w:head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BDAC" w14:textId="77777777" w:rsidR="00F812A1" w:rsidRDefault="00F812A1">
      <w:pPr>
        <w:spacing w:after="0" w:line="240" w:lineRule="auto"/>
      </w:pPr>
      <w:r>
        <w:separator/>
      </w:r>
    </w:p>
  </w:endnote>
  <w:endnote w:type="continuationSeparator" w:id="0">
    <w:p w14:paraId="4BB28385" w14:textId="77777777" w:rsidR="00F812A1" w:rsidRDefault="00F8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79986"/>
      <w:docPartObj>
        <w:docPartGallery w:val="Page Numbers (Bottom of Page)"/>
        <w:docPartUnique/>
      </w:docPartObj>
    </w:sdtPr>
    <w:sdtEndPr>
      <w:rPr>
        <w:noProof/>
      </w:rPr>
    </w:sdtEndPr>
    <w:sdtContent>
      <w:p w14:paraId="38C430B2" w14:textId="0ED11070" w:rsidR="0006647D" w:rsidRDefault="00066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F1A72"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E49" w14:textId="77777777" w:rsidR="00F812A1" w:rsidRDefault="00F812A1">
      <w:pPr>
        <w:spacing w:after="0" w:line="240" w:lineRule="auto"/>
      </w:pPr>
      <w:r>
        <w:separator/>
      </w:r>
    </w:p>
  </w:footnote>
  <w:footnote w:type="continuationSeparator" w:id="0">
    <w:p w14:paraId="223AA219" w14:textId="77777777" w:rsidR="00F812A1" w:rsidRDefault="00F8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572" w14:textId="5DB73C76" w:rsidR="00BC5602" w:rsidRDefault="0006647D">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w:t>
    </w:r>
    <w:r w:rsidR="00BE1E76">
      <w:rPr>
        <w:i/>
        <w:sz w:val="20"/>
        <w:szCs w:val="20"/>
      </w:rPr>
      <w:t xml:space="preserve">HSE Consultation on GSMR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5D2" w14:textId="17DE7AB6" w:rsidR="00BC5602" w:rsidRDefault="0006647D">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noProof/>
      </w:rPr>
      <w:drawing>
        <wp:anchor distT="0" distB="0" distL="114300" distR="114300" simplePos="0" relativeHeight="251658240" behindDoc="0" locked="0" layoutInCell="1" hidden="0" allowOverlap="1" wp14:anchorId="43A6CB81" wp14:editId="70D9DF50">
          <wp:simplePos x="0" y="0"/>
          <wp:positionH relativeFrom="column">
            <wp:posOffset>4786630</wp:posOffset>
          </wp:positionH>
          <wp:positionV relativeFrom="paragraph">
            <wp:posOffset>-311140</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r w:rsidR="00EE74B5">
      <w:rPr>
        <w:rFonts w:ascii="Open Sans" w:eastAsia="Open Sans" w:hAnsi="Open Sans" w:cs="Open Sans"/>
      </w:rPr>
      <w:t>1</w:t>
    </w:r>
    <w:r w:rsidR="00BE1E76">
      <w:rPr>
        <w:rFonts w:ascii="Open Sans" w:eastAsia="Open Sans" w:hAnsi="Open Sans" w:cs="Open Sans"/>
      </w:rPr>
      <w:t>4</w:t>
    </w:r>
    <w:r w:rsidR="00EE74B5">
      <w:rPr>
        <w:rFonts w:ascii="Open Sans" w:eastAsia="Open Sans" w:hAnsi="Open Sans" w:cs="Open Sans"/>
      </w:rPr>
      <w:t>/03/2022</w:t>
    </w:r>
  </w:p>
  <w:p w14:paraId="52739471"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9E2"/>
    <w:multiLevelType w:val="hybridMultilevel"/>
    <w:tmpl w:val="44AAC3BE"/>
    <w:lvl w:ilvl="0" w:tplc="FB883FCE">
      <w:start w:val="1"/>
      <w:numFmt w:val="decimal"/>
      <w:pStyle w:val="BodyText1"/>
      <w:lvlText w:val="%1."/>
      <w:lvlJc w:val="left"/>
      <w:pPr>
        <w:ind w:left="360" w:hanging="360"/>
      </w:pPr>
      <w:rPr>
        <w:b w:val="0"/>
        <w:i w:val="0"/>
        <w:iCs/>
        <w:sz w:val="20"/>
        <w:szCs w:val="20"/>
        <w:vertAlign w:val="baseline"/>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322052"/>
    <w:multiLevelType w:val="hybridMultilevel"/>
    <w:tmpl w:val="A7B0AD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62C4D15"/>
    <w:multiLevelType w:val="hybridMultilevel"/>
    <w:tmpl w:val="AEE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515F8"/>
    <w:multiLevelType w:val="multilevel"/>
    <w:tmpl w:val="10FA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4604A"/>
    <w:multiLevelType w:val="multilevel"/>
    <w:tmpl w:val="A574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F2CDC"/>
    <w:multiLevelType w:val="multilevel"/>
    <w:tmpl w:val="7BDE96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02"/>
    <w:rsid w:val="00022E25"/>
    <w:rsid w:val="00043722"/>
    <w:rsid w:val="0006647D"/>
    <w:rsid w:val="000E5FAA"/>
    <w:rsid w:val="00115B5E"/>
    <w:rsid w:val="001B5F3D"/>
    <w:rsid w:val="00263740"/>
    <w:rsid w:val="00274B3A"/>
    <w:rsid w:val="00281882"/>
    <w:rsid w:val="002B1786"/>
    <w:rsid w:val="002E038D"/>
    <w:rsid w:val="00314E5C"/>
    <w:rsid w:val="003D4B98"/>
    <w:rsid w:val="003E0FC9"/>
    <w:rsid w:val="003F3290"/>
    <w:rsid w:val="00464D27"/>
    <w:rsid w:val="0053360B"/>
    <w:rsid w:val="00566E8E"/>
    <w:rsid w:val="006D4ED8"/>
    <w:rsid w:val="00717983"/>
    <w:rsid w:val="00732ABA"/>
    <w:rsid w:val="00780FBD"/>
    <w:rsid w:val="00787A06"/>
    <w:rsid w:val="007A6606"/>
    <w:rsid w:val="007A66A1"/>
    <w:rsid w:val="007C48F5"/>
    <w:rsid w:val="007D3CF7"/>
    <w:rsid w:val="0083098E"/>
    <w:rsid w:val="008346E5"/>
    <w:rsid w:val="00866BD1"/>
    <w:rsid w:val="008805DB"/>
    <w:rsid w:val="00950B05"/>
    <w:rsid w:val="009C4CD1"/>
    <w:rsid w:val="00A9196C"/>
    <w:rsid w:val="00AC1446"/>
    <w:rsid w:val="00B04AF4"/>
    <w:rsid w:val="00B859F3"/>
    <w:rsid w:val="00BC5602"/>
    <w:rsid w:val="00BE1E76"/>
    <w:rsid w:val="00C14EB1"/>
    <w:rsid w:val="00C21F6D"/>
    <w:rsid w:val="00D610BF"/>
    <w:rsid w:val="00D70E88"/>
    <w:rsid w:val="00DD6BC2"/>
    <w:rsid w:val="00E001ED"/>
    <w:rsid w:val="00E90F37"/>
    <w:rsid w:val="00EE74B5"/>
    <w:rsid w:val="00F27288"/>
    <w:rsid w:val="00F7592B"/>
    <w:rsid w:val="00F812A1"/>
    <w:rsid w:val="00FD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A857"/>
  <w15:docId w15:val="{7469BA90-628C-4F98-8991-E5E6010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7D"/>
  </w:style>
  <w:style w:type="paragraph" w:styleId="Footer">
    <w:name w:val="footer"/>
    <w:basedOn w:val="Normal"/>
    <w:link w:val="FooterChar"/>
    <w:uiPriority w:val="99"/>
    <w:unhideWhenUsed/>
    <w:rsid w:val="0006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7D"/>
  </w:style>
  <w:style w:type="character" w:styleId="Hyperlink">
    <w:name w:val="Hyperlink"/>
    <w:basedOn w:val="DefaultParagraphFont"/>
    <w:uiPriority w:val="99"/>
    <w:unhideWhenUsed/>
    <w:rsid w:val="002E038D"/>
    <w:rPr>
      <w:color w:val="0000FF" w:themeColor="hyperlink"/>
      <w:u w:val="single"/>
    </w:rPr>
  </w:style>
  <w:style w:type="character" w:styleId="UnresolvedMention">
    <w:name w:val="Unresolved Mention"/>
    <w:basedOn w:val="DefaultParagraphFont"/>
    <w:uiPriority w:val="99"/>
    <w:semiHidden/>
    <w:unhideWhenUsed/>
    <w:rsid w:val="002E038D"/>
    <w:rPr>
      <w:color w:val="605E5C"/>
      <w:shd w:val="clear" w:color="auto" w:fill="E1DFDD"/>
    </w:rPr>
  </w:style>
  <w:style w:type="paragraph" w:styleId="ListParagraph">
    <w:name w:val="List Paragraph"/>
    <w:basedOn w:val="Normal"/>
    <w:uiPriority w:val="34"/>
    <w:qFormat/>
    <w:rsid w:val="00F7592B"/>
    <w:pPr>
      <w:ind w:left="720"/>
      <w:contextualSpacing/>
    </w:pPr>
  </w:style>
  <w:style w:type="paragraph" w:customStyle="1" w:styleId="Default">
    <w:name w:val="Default"/>
    <w:rsid w:val="006D4ED8"/>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styleId="Revision">
    <w:name w:val="Revision"/>
    <w:hidden/>
    <w:uiPriority w:val="99"/>
    <w:semiHidden/>
    <w:rsid w:val="00C21F6D"/>
    <w:pPr>
      <w:spacing w:after="0" w:line="240" w:lineRule="auto"/>
    </w:pPr>
  </w:style>
  <w:style w:type="character" w:customStyle="1" w:styleId="BodytextChar">
    <w:name w:val="Body text Char"/>
    <w:basedOn w:val="DefaultParagraphFont"/>
    <w:link w:val="BodyText1"/>
    <w:locked/>
    <w:rsid w:val="00780FBD"/>
    <w:rPr>
      <w:rFonts w:ascii="Arial" w:eastAsiaTheme="minorHAnsi" w:hAnsi="Arial" w:cs="Arial"/>
      <w:color w:val="000000"/>
    </w:rPr>
  </w:style>
  <w:style w:type="paragraph" w:customStyle="1" w:styleId="BodyText1">
    <w:name w:val="Body Text1"/>
    <w:basedOn w:val="Normal"/>
    <w:link w:val="BodytextChar"/>
    <w:rsid w:val="00780FBD"/>
    <w:pPr>
      <w:numPr>
        <w:numId w:val="5"/>
      </w:numPr>
      <w:spacing w:before="120" w:after="240" w:line="240" w:lineRule="auto"/>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882">
      <w:bodyDiv w:val="1"/>
      <w:marLeft w:val="0"/>
      <w:marRight w:val="0"/>
      <w:marTop w:val="0"/>
      <w:marBottom w:val="0"/>
      <w:divBdr>
        <w:top w:val="none" w:sz="0" w:space="0" w:color="auto"/>
        <w:left w:val="none" w:sz="0" w:space="0" w:color="auto"/>
        <w:bottom w:val="none" w:sz="0" w:space="0" w:color="auto"/>
        <w:right w:val="none" w:sz="0" w:space="0" w:color="auto"/>
      </w:divBdr>
    </w:div>
    <w:div w:id="57559324">
      <w:bodyDiv w:val="1"/>
      <w:marLeft w:val="0"/>
      <w:marRight w:val="0"/>
      <w:marTop w:val="0"/>
      <w:marBottom w:val="0"/>
      <w:divBdr>
        <w:top w:val="none" w:sz="0" w:space="0" w:color="auto"/>
        <w:left w:val="none" w:sz="0" w:space="0" w:color="auto"/>
        <w:bottom w:val="none" w:sz="0" w:space="0" w:color="auto"/>
        <w:right w:val="none" w:sz="0" w:space="0" w:color="auto"/>
      </w:divBdr>
    </w:div>
    <w:div w:id="744642123">
      <w:bodyDiv w:val="1"/>
      <w:marLeft w:val="0"/>
      <w:marRight w:val="0"/>
      <w:marTop w:val="0"/>
      <w:marBottom w:val="0"/>
      <w:divBdr>
        <w:top w:val="none" w:sz="0" w:space="0" w:color="auto"/>
        <w:left w:val="none" w:sz="0" w:space="0" w:color="auto"/>
        <w:bottom w:val="none" w:sz="0" w:space="0" w:color="auto"/>
        <w:right w:val="none" w:sz="0" w:space="0" w:color="auto"/>
      </w:divBdr>
    </w:div>
    <w:div w:id="975644403">
      <w:bodyDiv w:val="1"/>
      <w:marLeft w:val="0"/>
      <w:marRight w:val="0"/>
      <w:marTop w:val="0"/>
      <w:marBottom w:val="0"/>
      <w:divBdr>
        <w:top w:val="none" w:sz="0" w:space="0" w:color="auto"/>
        <w:left w:val="none" w:sz="0" w:space="0" w:color="auto"/>
        <w:bottom w:val="none" w:sz="0" w:space="0" w:color="auto"/>
        <w:right w:val="none" w:sz="0" w:space="0" w:color="auto"/>
      </w:divBdr>
    </w:div>
    <w:div w:id="1027636048">
      <w:bodyDiv w:val="1"/>
      <w:marLeft w:val="0"/>
      <w:marRight w:val="0"/>
      <w:marTop w:val="0"/>
      <w:marBottom w:val="0"/>
      <w:divBdr>
        <w:top w:val="none" w:sz="0" w:space="0" w:color="auto"/>
        <w:left w:val="none" w:sz="0" w:space="0" w:color="auto"/>
        <w:bottom w:val="none" w:sz="0" w:space="0" w:color="auto"/>
        <w:right w:val="none" w:sz="0" w:space="0" w:color="auto"/>
      </w:divBdr>
    </w:div>
    <w:div w:id="1108431307">
      <w:bodyDiv w:val="1"/>
      <w:marLeft w:val="0"/>
      <w:marRight w:val="0"/>
      <w:marTop w:val="0"/>
      <w:marBottom w:val="0"/>
      <w:divBdr>
        <w:top w:val="none" w:sz="0" w:space="0" w:color="auto"/>
        <w:left w:val="none" w:sz="0" w:space="0" w:color="auto"/>
        <w:bottom w:val="none" w:sz="0" w:space="0" w:color="auto"/>
        <w:right w:val="none" w:sz="0" w:space="0" w:color="auto"/>
      </w:divBdr>
    </w:div>
    <w:div w:id="1330017545">
      <w:bodyDiv w:val="1"/>
      <w:marLeft w:val="0"/>
      <w:marRight w:val="0"/>
      <w:marTop w:val="0"/>
      <w:marBottom w:val="0"/>
      <w:divBdr>
        <w:top w:val="none" w:sz="0" w:space="0" w:color="auto"/>
        <w:left w:val="none" w:sz="0" w:space="0" w:color="auto"/>
        <w:bottom w:val="none" w:sz="0" w:space="0" w:color="auto"/>
        <w:right w:val="none" w:sz="0" w:space="0" w:color="auto"/>
      </w:divBdr>
    </w:div>
    <w:div w:id="1446118682">
      <w:bodyDiv w:val="1"/>
      <w:marLeft w:val="0"/>
      <w:marRight w:val="0"/>
      <w:marTop w:val="0"/>
      <w:marBottom w:val="0"/>
      <w:divBdr>
        <w:top w:val="none" w:sz="0" w:space="0" w:color="auto"/>
        <w:left w:val="none" w:sz="0" w:space="0" w:color="auto"/>
        <w:bottom w:val="none" w:sz="0" w:space="0" w:color="auto"/>
        <w:right w:val="none" w:sz="0" w:space="0" w:color="auto"/>
      </w:divBdr>
    </w:div>
    <w:div w:id="1640726180">
      <w:bodyDiv w:val="1"/>
      <w:marLeft w:val="0"/>
      <w:marRight w:val="0"/>
      <w:marTop w:val="0"/>
      <w:marBottom w:val="0"/>
      <w:divBdr>
        <w:top w:val="none" w:sz="0" w:space="0" w:color="auto"/>
        <w:left w:val="none" w:sz="0" w:space="0" w:color="auto"/>
        <w:bottom w:val="none" w:sz="0" w:space="0" w:color="auto"/>
        <w:right w:val="none" w:sz="0" w:space="0" w:color="auto"/>
      </w:divBdr>
    </w:div>
    <w:div w:id="1642997437">
      <w:bodyDiv w:val="1"/>
      <w:marLeft w:val="0"/>
      <w:marRight w:val="0"/>
      <w:marTop w:val="0"/>
      <w:marBottom w:val="0"/>
      <w:divBdr>
        <w:top w:val="none" w:sz="0" w:space="0" w:color="auto"/>
        <w:left w:val="none" w:sz="0" w:space="0" w:color="auto"/>
        <w:bottom w:val="none" w:sz="0" w:space="0" w:color="auto"/>
        <w:right w:val="none" w:sz="0" w:space="0" w:color="auto"/>
      </w:divBdr>
    </w:div>
    <w:div w:id="170467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10</cp:revision>
  <dcterms:created xsi:type="dcterms:W3CDTF">2022-03-11T14:43:00Z</dcterms:created>
  <dcterms:modified xsi:type="dcterms:W3CDTF">2022-03-14T14:39:00Z</dcterms:modified>
</cp:coreProperties>
</file>