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  <w:b w:val="1"/>
          <w:sz w:val="29"/>
          <w:szCs w:val="29"/>
        </w:rPr>
      </w:pPr>
      <w:r w:rsidDel="00000000" w:rsidR="00000000" w:rsidRPr="00000000">
        <w:rPr>
          <w:rFonts w:ascii="Open Sans" w:cs="Open Sans" w:eastAsia="Open Sans" w:hAnsi="Open Sans"/>
          <w:b w:val="1"/>
          <w:sz w:val="29"/>
          <w:szCs w:val="29"/>
          <w:rtl w:val="0"/>
        </w:rPr>
        <w:t xml:space="preserve">Agenda for April Member Policy Webinar</w:t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25 March 2022 –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10.30 start. 12.00 finish. Online: Microsoft Teams Platform</w:t>
      </w:r>
    </w:p>
    <w:tbl>
      <w:tblPr>
        <w:tblStyle w:val="Table1"/>
        <w:tblW w:w="13815.0" w:type="dxa"/>
        <w:jc w:val="left"/>
        <w:tblInd w:w="-15.0" w:type="dxa"/>
        <w:tblLayout w:type="fixed"/>
        <w:tblLook w:val="0400"/>
      </w:tblPr>
      <w:tblGrid>
        <w:gridCol w:w="11220"/>
        <w:gridCol w:w="2595"/>
        <w:tblGridChange w:id="0">
          <w:tblGrid>
            <w:gridCol w:w="11220"/>
            <w:gridCol w:w="2595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660000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line="276" w:lineRule="auto"/>
              <w:rPr>
                <w:rFonts w:ascii="Open Sans" w:cs="Open Sans" w:eastAsia="Open Sans" w:hAnsi="Open Sans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rtl w:val="0"/>
              </w:rPr>
              <w:t xml:space="preserve">Item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660000" w:val="clear"/>
          </w:tcPr>
          <w:p w:rsidR="00000000" w:rsidDel="00000000" w:rsidP="00000000" w:rsidRDefault="00000000" w:rsidRPr="00000000" w14:paraId="00000004">
            <w:pPr>
              <w:rPr>
                <w:rFonts w:ascii="Open Sans" w:cs="Open Sans" w:eastAsia="Open Sans" w:hAnsi="Open Sans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rtl w:val="0"/>
              </w:rPr>
              <w:t xml:space="preserve">Timings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line="276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Welcome from Nina Skorupska, CEO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10.30 (5 min)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Energy Security Strategy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Frank Gordon, Policy Director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10.35 (10 min)</w:t>
            </w:r>
          </w:p>
        </w:tc>
      </w:tr>
      <w:tr>
        <w:trPr>
          <w:cantSplit w:val="0"/>
          <w:trHeight w:val="2565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Policy Updates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REA Policy Team</w:t>
            </w:r>
          </w:p>
          <w:p w:rsidR="00000000" w:rsidDel="00000000" w:rsidP="00000000" w:rsidRDefault="00000000" w:rsidRPr="00000000" w14:paraId="0000000C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Energy Security Strategy </w:t>
            </w:r>
          </w:p>
          <w:p w:rsidR="00000000" w:rsidDel="00000000" w:rsidP="00000000" w:rsidRDefault="00000000" w:rsidRPr="00000000" w14:paraId="0000000D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Review of Energy Markets Arrangements</w:t>
            </w:r>
          </w:p>
          <w:p w:rsidR="00000000" w:rsidDel="00000000" w:rsidP="00000000" w:rsidRDefault="00000000" w:rsidRPr="00000000" w14:paraId="0000000E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Hydrogen Updates</w:t>
            </w:r>
          </w:p>
          <w:p w:rsidR="00000000" w:rsidDel="00000000" w:rsidP="00000000" w:rsidRDefault="00000000" w:rsidRPr="00000000" w14:paraId="0000000F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EV Infrastructure Strategy and Consumer experience </w:t>
            </w:r>
          </w:p>
          <w:p w:rsidR="00000000" w:rsidDel="00000000" w:rsidP="00000000" w:rsidRDefault="00000000" w:rsidRPr="00000000" w14:paraId="00000010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Boiler Upgrade scheme &amp; Future Homes and Building Standards</w:t>
            </w:r>
          </w:p>
          <w:p w:rsidR="00000000" w:rsidDel="00000000" w:rsidP="00000000" w:rsidRDefault="00000000" w:rsidRPr="00000000" w14:paraId="00000011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VAT reduction</w:t>
            </w:r>
          </w:p>
          <w:p w:rsidR="00000000" w:rsidDel="00000000" w:rsidP="00000000" w:rsidRDefault="00000000" w:rsidRPr="00000000" w14:paraId="00000012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Business Rates changes &amp; UK ETS Launch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10.45 (40 min)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Discussion and feedback with members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4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Nina Skorupska, CEO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11.25 (20 min)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Follow up Steps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REA External Affairs Team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2"/>
              </w:numPr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Political engagement and minister meetings  (AM)</w:t>
            </w:r>
          </w:p>
          <w:p w:rsidR="00000000" w:rsidDel="00000000" w:rsidP="00000000" w:rsidRDefault="00000000" w:rsidRPr="00000000" w14:paraId="0000001A">
            <w:pPr>
              <w:numPr>
                <w:ilvl w:val="1"/>
                <w:numId w:val="2"/>
              </w:numPr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Policy next steps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2"/>
              </w:numPr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Upcoming REA events and REA activities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11.45 (10 min)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Close and Thanks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Nina Skorupska, CEO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11.55 (5 min)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 END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12.00</w:t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ind w:left="-142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0" w:w="16820" w:orient="landscape"/>
      <w:pgMar w:bottom="993" w:top="1135" w:left="1440" w:right="1440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Calibri"/>
  <w:font w:name="Courier New"/>
  <w:font w:name="Noto Sans Symbol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spacing w:line="276" w:lineRule="auto"/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462878" cy="60102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2878" cy="6010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8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