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28"/>
          <w:szCs w:val="28"/>
        </w:rPr>
      </w:pPr>
      <w:r w:rsidDel="00000000" w:rsidR="00000000" w:rsidRPr="00000000">
        <w:rPr>
          <w:rFonts w:ascii="Open Sans" w:cs="Open Sans" w:eastAsia="Open Sans" w:hAnsi="Open Sans"/>
          <w:b w:val="1"/>
          <w:color w:val="06926b"/>
          <w:sz w:val="28"/>
          <w:szCs w:val="28"/>
          <w:rtl w:val="0"/>
        </w:rPr>
        <w:t xml:space="preserve">REA Briefing on Developing the UK Emissions Trading Scheme (UK ETS)</w:t>
      </w:r>
    </w:p>
    <w:p w:rsidR="00000000" w:rsidDel="00000000" w:rsidP="00000000" w:rsidRDefault="00000000" w:rsidRPr="00000000" w14:paraId="00000002">
      <w:pPr>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color w:val="4e5053"/>
        </w:rPr>
      </w:pPr>
      <w:r w:rsidDel="00000000" w:rsidR="00000000" w:rsidRPr="00000000">
        <w:rPr>
          <w:rFonts w:ascii="Open Sans" w:cs="Open Sans" w:eastAsia="Open Sans" w:hAnsi="Open Sans"/>
          <w:b w:val="1"/>
          <w:color w:val="4e5053"/>
          <w:rtl w:val="0"/>
        </w:rPr>
        <w:t xml:space="preserve">Summary &amp; Context</w:t>
      </w:r>
      <w:r w:rsidDel="00000000" w:rsidR="00000000" w:rsidRPr="00000000">
        <w:rPr>
          <w:rtl w:val="0"/>
        </w:rPr>
      </w:r>
    </w:p>
    <w:p w:rsidR="00000000" w:rsidDel="00000000" w:rsidP="00000000" w:rsidRDefault="00000000" w:rsidRPr="00000000" w14:paraId="00000004">
      <w:pPr>
        <w:numPr>
          <w:ilvl w:val="0"/>
          <w:numId w:val="3"/>
        </w:numPr>
        <w:spacing w:after="0" w:lineRule="auto"/>
        <w:ind w:left="720" w:hanging="360"/>
        <w:rPr>
          <w:rFonts w:ascii="Open Sans" w:cs="Open Sans" w:eastAsia="Open Sans" w:hAnsi="Open Sans"/>
          <w:color w:val="4e5053"/>
          <w:u w:val="none"/>
        </w:rPr>
      </w:pPr>
      <w:r w:rsidDel="00000000" w:rsidR="00000000" w:rsidRPr="00000000">
        <w:rPr>
          <w:rFonts w:ascii="Open Sans" w:cs="Open Sans" w:eastAsia="Open Sans" w:hAnsi="Open Sans"/>
          <w:color w:val="4e5053"/>
          <w:rtl w:val="0"/>
        </w:rPr>
        <w:t xml:space="preserve">The UK ETS works on the ‘cap and trade’ principle. A cap is set on the total amount of certain greenhouse gases that can be emitted by sectors covered by the scheme. </w:t>
      </w:r>
    </w:p>
    <w:p w:rsidR="00000000" w:rsidDel="00000000" w:rsidP="00000000" w:rsidRDefault="00000000" w:rsidRPr="00000000" w14:paraId="00000005">
      <w:pPr>
        <w:numPr>
          <w:ilvl w:val="0"/>
          <w:numId w:val="3"/>
        </w:numPr>
        <w:spacing w:after="0" w:lineRule="auto"/>
        <w:ind w:left="720" w:hanging="360"/>
        <w:rPr>
          <w:rFonts w:ascii="Open Sans" w:cs="Open Sans" w:eastAsia="Open Sans" w:hAnsi="Open Sans"/>
          <w:color w:val="4e5053"/>
          <w:u w:val="none"/>
        </w:rPr>
      </w:pPr>
      <w:r w:rsidDel="00000000" w:rsidR="00000000" w:rsidRPr="00000000">
        <w:rPr>
          <w:rFonts w:ascii="Open Sans" w:cs="Open Sans" w:eastAsia="Open Sans" w:hAnsi="Open Sans"/>
          <w:color w:val="4e5053"/>
          <w:rtl w:val="0"/>
        </w:rPr>
        <w:t xml:space="preserve">This limits the total amount of carbon that can be emitted and, as the cap decreases over time, provides a signal to decarbonise at pace and scale. </w:t>
      </w:r>
    </w:p>
    <w:p w:rsidR="00000000" w:rsidDel="00000000" w:rsidP="00000000" w:rsidRDefault="00000000" w:rsidRPr="00000000" w14:paraId="00000006">
      <w:pPr>
        <w:numPr>
          <w:ilvl w:val="0"/>
          <w:numId w:val="3"/>
        </w:numPr>
        <w:spacing w:after="0" w:lineRule="auto"/>
        <w:ind w:left="720" w:hanging="360"/>
        <w:rPr>
          <w:rFonts w:ascii="Open Sans" w:cs="Open Sans" w:eastAsia="Open Sans" w:hAnsi="Open Sans"/>
          <w:color w:val="4e5053"/>
          <w:u w:val="none"/>
        </w:rPr>
      </w:pPr>
      <w:r w:rsidDel="00000000" w:rsidR="00000000" w:rsidRPr="00000000">
        <w:rPr>
          <w:rFonts w:ascii="Open Sans" w:cs="Open Sans" w:eastAsia="Open Sans" w:hAnsi="Open Sans"/>
          <w:color w:val="4e5053"/>
          <w:rtl w:val="0"/>
        </w:rPr>
        <w:t xml:space="preserve">Participants in the UK ETS are required to get allowances equal to their annual emissions under the scheme. These can be bought in regular auctions or by trading on the secondary market. Some participants at risk of carbon leakage receive some allowances for free. </w:t>
      </w:r>
    </w:p>
    <w:p w:rsidR="00000000" w:rsidDel="00000000" w:rsidP="00000000" w:rsidRDefault="00000000" w:rsidRPr="00000000" w14:paraId="00000007">
      <w:pPr>
        <w:numPr>
          <w:ilvl w:val="0"/>
          <w:numId w:val="3"/>
        </w:numPr>
        <w:spacing w:after="0" w:lineRule="auto"/>
        <w:ind w:left="720" w:hanging="360"/>
        <w:rPr>
          <w:rFonts w:ascii="Open Sans" w:cs="Open Sans" w:eastAsia="Open Sans" w:hAnsi="Open Sans"/>
          <w:color w:val="4e5053"/>
          <w:u w:val="none"/>
        </w:rPr>
      </w:pPr>
      <w:r w:rsidDel="00000000" w:rsidR="00000000" w:rsidRPr="00000000">
        <w:rPr>
          <w:rFonts w:ascii="Open Sans" w:cs="Open Sans" w:eastAsia="Open Sans" w:hAnsi="Open Sans"/>
          <w:color w:val="4e5053"/>
          <w:rtl w:val="0"/>
        </w:rPr>
        <w:t xml:space="preserve">The cap and thus the number of allowances is reduced over time, so that total emissions in the sectors covered must fall.</w:t>
      </w:r>
    </w:p>
    <w:p w:rsidR="00000000" w:rsidDel="00000000" w:rsidP="00000000" w:rsidRDefault="00000000" w:rsidRPr="00000000" w14:paraId="00000008">
      <w:pPr>
        <w:numPr>
          <w:ilvl w:val="0"/>
          <w:numId w:val="3"/>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UK ETS Authority is seeking stakeholder views on proposals to develop the UK ETS to ensure that it drives emission reductions towards the UK ambitious targets. The consultation closed on </w:t>
      </w:r>
      <w:r w:rsidDel="00000000" w:rsidR="00000000" w:rsidRPr="00000000">
        <w:rPr>
          <w:rFonts w:ascii="Open Sans" w:cs="Open Sans" w:eastAsia="Open Sans" w:hAnsi="Open Sans"/>
          <w:b w:val="1"/>
          <w:color w:val="4e5053"/>
          <w:rtl w:val="0"/>
        </w:rPr>
        <w:t xml:space="preserve">17</w:t>
      </w:r>
      <w:r w:rsidDel="00000000" w:rsidR="00000000" w:rsidRPr="00000000">
        <w:rPr>
          <w:rFonts w:ascii="Open Sans" w:cs="Open Sans" w:eastAsia="Open Sans" w:hAnsi="Open Sans"/>
          <w:b w:val="1"/>
          <w:color w:val="4e5053"/>
          <w:vertAlign w:val="superscript"/>
          <w:rtl w:val="0"/>
        </w:rPr>
        <w:t xml:space="preserve">th</w:t>
      </w:r>
      <w:r w:rsidDel="00000000" w:rsidR="00000000" w:rsidRPr="00000000">
        <w:rPr>
          <w:rFonts w:ascii="Open Sans" w:cs="Open Sans" w:eastAsia="Open Sans" w:hAnsi="Open Sans"/>
          <w:b w:val="1"/>
          <w:color w:val="4e5053"/>
          <w:rtl w:val="0"/>
        </w:rPr>
        <w:t xml:space="preserve"> June</w:t>
      </w:r>
      <w:r w:rsidDel="00000000" w:rsidR="00000000" w:rsidRPr="00000000">
        <w:rPr>
          <w:rFonts w:ascii="Open Sans" w:cs="Open Sans" w:eastAsia="Open Sans" w:hAnsi="Open Sans"/>
          <w:color w:val="4e5053"/>
          <w:rtl w:val="0"/>
        </w:rPr>
        <w:t xml:space="preserve"> and consists of the following nine </w:t>
      </w:r>
      <w:r w:rsidDel="00000000" w:rsidR="00000000" w:rsidRPr="00000000">
        <w:rPr>
          <w:rFonts w:ascii="Open Sans" w:cs="Open Sans" w:eastAsia="Open Sans" w:hAnsi="Open Sans"/>
          <w:color w:val="4e5053"/>
          <w:rtl w:val="0"/>
        </w:rPr>
        <w:t xml:space="preserve">chapters</w:t>
      </w:r>
      <w:r w:rsidDel="00000000" w:rsidR="00000000" w:rsidRPr="00000000">
        <w:rPr>
          <w:rFonts w:ascii="Open Sans" w:cs="Open Sans" w:eastAsia="Open Sans" w:hAnsi="Open Sans"/>
          <w:color w:val="4e5053"/>
          <w:rtl w:val="0"/>
        </w:rPr>
        <w:t xml:space="preserve">.</w:t>
      </w:r>
    </w:p>
    <w:p w:rsidR="00000000" w:rsidDel="00000000" w:rsidP="00000000" w:rsidRDefault="00000000" w:rsidRPr="00000000" w14:paraId="00000009">
      <w:pPr>
        <w:spacing w:after="0" w:lineRule="auto"/>
        <w:ind w:left="720" w:firstLine="0"/>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Net zero consistent cap</w:t>
      </w:r>
    </w:p>
    <w:p w:rsidR="00000000" w:rsidDel="00000000" w:rsidP="00000000" w:rsidRDefault="00000000" w:rsidRPr="00000000" w14:paraId="0000000B">
      <w:pPr>
        <w:numPr>
          <w:ilvl w:val="0"/>
          <w:numId w:val="4"/>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a "net-zero consistent cap". It would allow a total cap for the entire first Phase (2021-2030) of between 887 million allowances and 936 million allowances. </w:t>
      </w:r>
    </w:p>
    <w:p w:rsidR="00000000" w:rsidDel="00000000" w:rsidP="00000000" w:rsidRDefault="00000000" w:rsidRPr="00000000" w14:paraId="0000000C">
      <w:pPr>
        <w:numPr>
          <w:ilvl w:val="1"/>
          <w:numId w:val="4"/>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Compared to the current legislated cap for the whole phase, this would equate to a reduction of between around 30-35% over the course of the phase. </w:t>
      </w:r>
    </w:p>
    <w:p w:rsidR="00000000" w:rsidDel="00000000" w:rsidP="00000000" w:rsidRDefault="00000000" w:rsidRPr="00000000" w14:paraId="0000000D">
      <w:pPr>
        <w:numPr>
          <w:ilvl w:val="0"/>
          <w:numId w:val="4"/>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This would need a step change to the cap in 2024, with the cap becoming tighter over the phase and an annual cap of around 50 million allowances in 2030. </w:t>
      </w:r>
    </w:p>
    <w:p w:rsidR="00000000" w:rsidDel="00000000" w:rsidP="00000000" w:rsidRDefault="00000000" w:rsidRPr="00000000" w14:paraId="0000000E">
      <w:pPr>
        <w:numPr>
          <w:ilvl w:val="0"/>
          <w:numId w:val="4"/>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BEIS' current assessment is that this could enable the addition of up to 10 million allowances per annum from 2023 up to and including 2027.</w:t>
      </w:r>
    </w:p>
    <w:p w:rsidR="00000000" w:rsidDel="00000000" w:rsidP="00000000" w:rsidRDefault="00000000" w:rsidRPr="00000000" w14:paraId="0000000F">
      <w:pPr>
        <w:spacing w:after="0" w:lineRule="auto"/>
        <w:ind w:left="720" w:firstLine="0"/>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Free allocation review</w:t>
      </w:r>
    </w:p>
    <w:p w:rsidR="00000000" w:rsidDel="00000000" w:rsidP="00000000" w:rsidRDefault="00000000" w:rsidRPr="00000000" w14:paraId="00000011">
      <w:pPr>
        <w:numPr>
          <w:ilvl w:val="0"/>
          <w:numId w:val="6"/>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has proposed to reset the industry cap (ie the share of free allocation under the UK ETS cap) to align it with a net zero consistent cap. This proposal would reset the industry cap to make up a percentage of the cap (37%) rather than being set as fixed numbers, as in current legislation. </w:t>
      </w:r>
    </w:p>
    <w:p w:rsidR="00000000" w:rsidDel="00000000" w:rsidP="00000000" w:rsidRDefault="00000000" w:rsidRPr="00000000" w14:paraId="00000012">
      <w:pPr>
        <w:numPr>
          <w:ilvl w:val="0"/>
          <w:numId w:val="6"/>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will also consider using a lower or higher proportion of the cap than 37%. </w:t>
      </w:r>
    </w:p>
    <w:p w:rsidR="00000000" w:rsidDel="00000000" w:rsidP="00000000" w:rsidRDefault="00000000" w:rsidRPr="00000000" w14:paraId="00000013">
      <w:pPr>
        <w:numPr>
          <w:ilvl w:val="1"/>
          <w:numId w:val="6"/>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They will set out the exact figures as well as reasoning for this decision as part of the government response. </w:t>
      </w:r>
    </w:p>
    <w:p w:rsidR="00000000" w:rsidDel="00000000" w:rsidP="00000000" w:rsidRDefault="00000000" w:rsidRPr="00000000" w14:paraId="00000014">
      <w:pPr>
        <w:numPr>
          <w:ilvl w:val="0"/>
          <w:numId w:val="6"/>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When looking to reset the industry cap, the Authority will take into consideration:</w:t>
      </w:r>
    </w:p>
    <w:p w:rsidR="00000000" w:rsidDel="00000000" w:rsidP="00000000" w:rsidRDefault="00000000" w:rsidRPr="00000000" w14:paraId="00000015">
      <w:pPr>
        <w:numPr>
          <w:ilvl w:val="1"/>
          <w:numId w:val="6"/>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year in which the industry cap falls beneath the level of free allocations.</w:t>
      </w:r>
    </w:p>
    <w:p w:rsidR="00000000" w:rsidDel="00000000" w:rsidP="00000000" w:rsidRDefault="00000000" w:rsidRPr="00000000" w14:paraId="00000016">
      <w:pPr>
        <w:numPr>
          <w:ilvl w:val="1"/>
          <w:numId w:val="6"/>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distribution of allowances under the cap.</w:t>
      </w:r>
    </w:p>
    <w:p w:rsidR="00000000" w:rsidDel="00000000" w:rsidP="00000000" w:rsidRDefault="00000000" w:rsidRPr="00000000" w14:paraId="00000017">
      <w:pPr>
        <w:numPr>
          <w:ilvl w:val="1"/>
          <w:numId w:val="6"/>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Impacts on liquidity caused by changes to the industry cap. </w:t>
      </w:r>
    </w:p>
    <w:p w:rsidR="00000000" w:rsidDel="00000000" w:rsidP="00000000" w:rsidRDefault="00000000" w:rsidRPr="00000000" w14:paraId="00000018">
      <w:pPr>
        <w:numPr>
          <w:ilvl w:val="1"/>
          <w:numId w:val="6"/>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cost to government through foregone revenue via the issuance of free allocations.</w:t>
      </w:r>
    </w:p>
    <w:p w:rsidR="00000000" w:rsidDel="00000000" w:rsidP="00000000" w:rsidRDefault="00000000" w:rsidRPr="00000000" w14:paraId="00000019">
      <w:pPr>
        <w:spacing w:after="0" w:lineRule="auto"/>
        <w:ind w:left="1440" w:firstLine="0"/>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Unallocated free allowances</w:t>
      </w:r>
    </w:p>
    <w:p w:rsidR="00000000" w:rsidDel="00000000" w:rsidP="00000000" w:rsidRDefault="00000000" w:rsidRPr="00000000" w14:paraId="0000001B">
      <w:pPr>
        <w:numPr>
          <w:ilvl w:val="0"/>
          <w:numId w:val="5"/>
        </w:numPr>
        <w:spacing w:after="0" w:lineRule="auto"/>
        <w:ind w:left="720" w:hanging="360"/>
        <w:rPr>
          <w:rFonts w:ascii="Open Sans" w:cs="Open Sans" w:eastAsia="Open Sans" w:hAnsi="Open Sans"/>
          <w:b w:val="1"/>
          <w:color w:val="4e5053"/>
        </w:rPr>
      </w:pPr>
      <w:r w:rsidDel="00000000" w:rsidR="00000000" w:rsidRPr="00000000">
        <w:rPr>
          <w:rFonts w:ascii="Open Sans" w:cs="Open Sans" w:eastAsia="Open Sans" w:hAnsi="Open Sans"/>
          <w:color w:val="4e5053"/>
          <w:rtl w:val="0"/>
        </w:rPr>
        <w:t xml:space="preserve">If this resetting industry proposal is taken forward, it is possible that the industry cap could fall below the levels of free allocation for 2024 and 2025. </w:t>
      </w: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rFonts w:ascii="Open Sans" w:cs="Open Sans" w:eastAsia="Open Sans" w:hAnsi="Open Sans"/>
          <w:b w:val="1"/>
          <w:color w:val="4e5053"/>
        </w:rPr>
      </w:pPr>
      <w:r w:rsidDel="00000000" w:rsidR="00000000" w:rsidRPr="00000000">
        <w:rPr>
          <w:rFonts w:ascii="Open Sans" w:cs="Open Sans" w:eastAsia="Open Sans" w:hAnsi="Open Sans"/>
          <w:color w:val="4e5053"/>
          <w:rtl w:val="0"/>
        </w:rPr>
        <w:t xml:space="preserve">If a cross-sectoral correction factor (CSCF) is triggered before 2026, the Authority will use their reserve of unallocated allowances to mitigate against any reduction to free allocations. </w:t>
      </w: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rPr>
          <w:rFonts w:ascii="Open Sans" w:cs="Open Sans" w:eastAsia="Open Sans" w:hAnsi="Open Sans"/>
          <w:b w:val="1"/>
          <w:color w:val="4e5053"/>
        </w:rPr>
      </w:pPr>
      <w:r w:rsidDel="00000000" w:rsidR="00000000" w:rsidRPr="00000000">
        <w:rPr>
          <w:rFonts w:ascii="Open Sans" w:cs="Open Sans" w:eastAsia="Open Sans" w:hAnsi="Open Sans"/>
          <w:color w:val="4e5053"/>
          <w:rtl w:val="0"/>
        </w:rPr>
        <w:t xml:space="preserve">The implementation of the net zero consistent cap in 2024 will need a significant drop in allowances reaching the market in 2024, thus the Authority is considering bringing a part of 2021-2023 unallocated allowances to auction. </w:t>
      </w:r>
      <w:r w:rsidDel="00000000" w:rsidR="00000000" w:rsidRPr="00000000">
        <w:rPr>
          <w:rtl w:val="0"/>
        </w:rPr>
      </w:r>
    </w:p>
    <w:p w:rsidR="00000000" w:rsidDel="00000000" w:rsidP="00000000" w:rsidRDefault="00000000" w:rsidRPr="00000000" w14:paraId="0000001E">
      <w:pPr>
        <w:numPr>
          <w:ilvl w:val="1"/>
          <w:numId w:val="5"/>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These allowances are already factored into the cap for Phase I of the UK ETS, as such, this would not increase the total number of allowances under the cap over the whole phase</w:t>
      </w:r>
    </w:p>
    <w:p w:rsidR="00000000" w:rsidDel="00000000" w:rsidP="00000000" w:rsidRDefault="00000000" w:rsidRPr="00000000" w14:paraId="0000001F">
      <w:pPr>
        <w:numPr>
          <w:ilvl w:val="0"/>
          <w:numId w:val="5"/>
        </w:numPr>
        <w:ind w:left="720" w:hanging="360"/>
        <w:rPr>
          <w:rFonts w:ascii="Open Sans" w:cs="Open Sans" w:eastAsia="Open Sans" w:hAnsi="Open Sans"/>
          <w:b w:val="1"/>
          <w:color w:val="4e5053"/>
        </w:rPr>
      </w:pPr>
      <w:r w:rsidDel="00000000" w:rsidR="00000000" w:rsidRPr="00000000">
        <w:rPr>
          <w:rFonts w:ascii="Open Sans" w:cs="Open Sans" w:eastAsia="Open Sans" w:hAnsi="Open Sans"/>
          <w:color w:val="4e5053"/>
          <w:rtl w:val="0"/>
        </w:rPr>
        <w:t xml:space="preserve">The Authority intends to keep a part of unallocated allowances and/or flexible share for market stability uses.</w:t>
      </w:r>
      <w:r w:rsidDel="00000000" w:rsidR="00000000" w:rsidRPr="00000000">
        <w:rPr>
          <w:rtl w:val="0"/>
        </w:rPr>
      </w:r>
    </w:p>
    <w:p w:rsidR="00000000" w:rsidDel="00000000" w:rsidP="00000000" w:rsidRDefault="00000000" w:rsidRPr="00000000" w14:paraId="00000020">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Future markets policy</w:t>
      </w:r>
    </w:p>
    <w:p w:rsidR="00000000" w:rsidDel="00000000" w:rsidP="00000000" w:rsidRDefault="00000000" w:rsidRPr="00000000" w14:paraId="00000021">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future markets chapter is a fairly open ended call for evidence, with little in the way of set assumptions or minded to positions. However, the section does lay out the Authority’s Market Objectives:</w:t>
      </w:r>
    </w:p>
    <w:p w:rsidR="00000000" w:rsidDel="00000000" w:rsidP="00000000" w:rsidRDefault="00000000" w:rsidRPr="00000000" w14:paraId="00000022">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Counter excessive unexpected and destabilising prices and/or demand shocks in the market.</w:t>
      </w:r>
    </w:p>
    <w:p w:rsidR="00000000" w:rsidDel="00000000" w:rsidP="00000000" w:rsidRDefault="00000000" w:rsidRPr="00000000" w14:paraId="00000023">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Support price discovery and liquidity in UK ETS markets.</w:t>
      </w:r>
    </w:p>
    <w:p w:rsidR="00000000" w:rsidDel="00000000" w:rsidP="00000000" w:rsidRDefault="00000000" w:rsidRPr="00000000" w14:paraId="00000024">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Guard against market abuse and activity that could destabilise UK ETS markets.</w:t>
      </w:r>
    </w:p>
    <w:p w:rsidR="00000000" w:rsidDel="00000000" w:rsidP="00000000" w:rsidRDefault="00000000" w:rsidRPr="00000000" w14:paraId="00000025">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Most of the previous ETS mechanisms remain the same, with the call for evidence asking if the following mechanisms are still fit for purpose:</w:t>
      </w:r>
    </w:p>
    <w:p w:rsidR="00000000" w:rsidDel="00000000" w:rsidP="00000000" w:rsidRDefault="00000000" w:rsidRPr="00000000" w14:paraId="00000026">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Auction Reserve Price</w:t>
      </w:r>
    </w:p>
    <w:p w:rsidR="00000000" w:rsidDel="00000000" w:rsidP="00000000" w:rsidRDefault="00000000" w:rsidRPr="00000000" w14:paraId="00000027">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Cost Containment Mechanism</w:t>
      </w:r>
    </w:p>
    <w:p w:rsidR="00000000" w:rsidDel="00000000" w:rsidP="00000000" w:rsidRDefault="00000000" w:rsidRPr="00000000" w14:paraId="00000028">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Auction process </w:t>
      </w:r>
    </w:p>
    <w:p w:rsidR="00000000" w:rsidDel="00000000" w:rsidP="00000000" w:rsidRDefault="00000000" w:rsidRPr="00000000" w14:paraId="00000029">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market stability mechanism</w:t>
      </w:r>
    </w:p>
    <w:p w:rsidR="00000000" w:rsidDel="00000000" w:rsidP="00000000" w:rsidRDefault="00000000" w:rsidRPr="00000000" w14:paraId="0000002A">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Banking and borrowing of allowances</w:t>
      </w:r>
    </w:p>
    <w:p w:rsidR="00000000" w:rsidDel="00000000" w:rsidP="00000000" w:rsidRDefault="00000000" w:rsidRPr="00000000" w14:paraId="0000002B">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Aviation </w:t>
      </w:r>
    </w:p>
    <w:p w:rsidR="00000000" w:rsidDel="00000000" w:rsidP="00000000" w:rsidRDefault="00000000" w:rsidRPr="00000000" w14:paraId="0000002C">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is considering withdrawing free allocation for the aviation sector, including the following three policy options. </w:t>
      </w:r>
    </w:p>
    <w:p w:rsidR="00000000" w:rsidDel="00000000" w:rsidP="00000000" w:rsidRDefault="00000000" w:rsidRPr="00000000" w14:paraId="0000002D">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Early phase-out: full auctioning will apply from 2026.</w:t>
      </w:r>
    </w:p>
    <w:p w:rsidR="00000000" w:rsidDel="00000000" w:rsidP="00000000" w:rsidRDefault="00000000" w:rsidRPr="00000000" w14:paraId="0000002E">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Intermediate phase-out: full auctioning will apply no later than 2028.</w:t>
      </w:r>
    </w:p>
    <w:p w:rsidR="00000000" w:rsidDel="00000000" w:rsidP="00000000" w:rsidRDefault="00000000" w:rsidRPr="00000000" w14:paraId="0000002F">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Later phase-out: full auctioning will apply from the start of 2031.</w:t>
      </w:r>
    </w:p>
    <w:p w:rsidR="00000000" w:rsidDel="00000000" w:rsidP="00000000" w:rsidRDefault="00000000" w:rsidRPr="00000000" w14:paraId="00000030">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is considering updating the activity year used to calculate aviation free allocation entitlement. It has not given exact details of this update.</w:t>
      </w:r>
    </w:p>
    <w:p w:rsidR="00000000" w:rsidDel="00000000" w:rsidP="00000000" w:rsidRDefault="00000000" w:rsidRPr="00000000" w14:paraId="00000031">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has proposed including flights to Switzerland as part of the UK Aviation ETS.</w:t>
      </w:r>
    </w:p>
    <w:p w:rsidR="00000000" w:rsidDel="00000000" w:rsidP="00000000" w:rsidRDefault="00000000" w:rsidRPr="00000000" w14:paraId="00000032">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verifiers of aviation activities should be able to conduct remote site visits.</w:t>
      </w:r>
    </w:p>
    <w:p w:rsidR="00000000" w:rsidDel="00000000" w:rsidP="00000000" w:rsidRDefault="00000000" w:rsidRPr="00000000" w14:paraId="00000033">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Expanding UK ETS coverage within covered sectors</w:t>
      </w:r>
    </w:p>
    <w:p w:rsidR="00000000" w:rsidDel="00000000" w:rsidP="00000000" w:rsidRDefault="00000000" w:rsidRPr="00000000" w14:paraId="00000035">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extending the Monitoring, Reporting and Verification (MRV) regime to cover carbon dioxide from venting. </w:t>
      </w:r>
    </w:p>
    <w:p w:rsidR="00000000" w:rsidDel="00000000" w:rsidP="00000000" w:rsidRDefault="00000000" w:rsidRPr="00000000" w14:paraId="00000036">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This would mean that meters to measure emissions from CO</w:t>
      </w:r>
      <w:r w:rsidDel="00000000" w:rsidR="00000000" w:rsidRPr="00000000">
        <w:rPr>
          <w:rFonts w:ascii="Open Sans" w:cs="Open Sans" w:eastAsia="Open Sans" w:hAnsi="Open Sans"/>
          <w:color w:val="4e5053"/>
          <w:vertAlign w:val="subscript"/>
          <w:rtl w:val="0"/>
        </w:rPr>
        <w:t xml:space="preserve">2</w:t>
      </w:r>
      <w:r w:rsidDel="00000000" w:rsidR="00000000" w:rsidRPr="00000000">
        <w:rPr>
          <w:rFonts w:ascii="Open Sans" w:cs="Open Sans" w:eastAsia="Open Sans" w:hAnsi="Open Sans"/>
          <w:color w:val="4e5053"/>
          <w:rtl w:val="0"/>
        </w:rPr>
        <w:t xml:space="preserve"> vents would be installed as standard on new installations.</w:t>
      </w:r>
    </w:p>
    <w:p w:rsidR="00000000" w:rsidDel="00000000" w:rsidP="00000000" w:rsidRDefault="00000000" w:rsidRPr="00000000" w14:paraId="00000037">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a 20MWth combustion threshold, or an alternative threshold that is specific to vented CO</w:t>
      </w:r>
      <w:r w:rsidDel="00000000" w:rsidR="00000000" w:rsidRPr="00000000">
        <w:rPr>
          <w:rFonts w:ascii="Open Sans" w:cs="Open Sans" w:eastAsia="Open Sans" w:hAnsi="Open Sans"/>
          <w:color w:val="4e5053"/>
          <w:vertAlign w:val="subscript"/>
          <w:rtl w:val="0"/>
        </w:rPr>
        <w:t xml:space="preserve">2</w:t>
      </w:r>
      <w:r w:rsidDel="00000000" w:rsidR="00000000" w:rsidRPr="00000000">
        <w:rPr>
          <w:rFonts w:ascii="Open Sans" w:cs="Open Sans" w:eastAsia="Open Sans" w:hAnsi="Open Sans"/>
          <w:color w:val="4e5053"/>
          <w:rtl w:val="0"/>
        </w:rPr>
        <w:t xml:space="preserve">.</w:t>
      </w:r>
    </w:p>
    <w:p w:rsidR="00000000" w:rsidDel="00000000" w:rsidP="00000000" w:rsidRDefault="00000000" w:rsidRPr="00000000" w14:paraId="00000038">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methane could be converted to its carbon dioxide equivalent by multiplying the mass of methane emissions by the appropriate GWP.</w:t>
      </w:r>
    </w:p>
    <w:p w:rsidR="00000000" w:rsidDel="00000000" w:rsidP="00000000" w:rsidRDefault="00000000" w:rsidRPr="00000000" w14:paraId="00000039">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the UK ETS be expanded to allow for the transportation of CO</w:t>
      </w:r>
      <w:r w:rsidDel="00000000" w:rsidR="00000000" w:rsidRPr="00000000">
        <w:rPr>
          <w:rFonts w:ascii="Open Sans" w:cs="Open Sans" w:eastAsia="Open Sans" w:hAnsi="Open Sans"/>
          <w:color w:val="4e5053"/>
          <w:vertAlign w:val="subscript"/>
          <w:rtl w:val="0"/>
        </w:rPr>
        <w:t xml:space="preserve">2</w:t>
      </w:r>
      <w:r w:rsidDel="00000000" w:rsidR="00000000" w:rsidRPr="00000000">
        <w:rPr>
          <w:rFonts w:ascii="Open Sans" w:cs="Open Sans" w:eastAsia="Open Sans" w:hAnsi="Open Sans"/>
          <w:color w:val="4e5053"/>
          <w:rtl w:val="0"/>
        </w:rPr>
        <w:t xml:space="preserve"> through non-pipeline transport.</w:t>
      </w:r>
    </w:p>
    <w:p w:rsidR="00000000" w:rsidDel="00000000" w:rsidP="00000000" w:rsidRDefault="00000000" w:rsidRPr="00000000" w14:paraId="0000003A">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i w:val="1"/>
          <w:color w:val="4e5053"/>
          <w:u w:val="single"/>
        </w:rPr>
      </w:pPr>
      <w:r w:rsidDel="00000000" w:rsidR="00000000" w:rsidRPr="00000000">
        <w:rPr>
          <w:rFonts w:ascii="Open Sans" w:cs="Open Sans" w:eastAsia="Open Sans" w:hAnsi="Open Sans"/>
          <w:i w:val="1"/>
          <w:color w:val="4e5053"/>
          <w:u w:val="single"/>
          <w:rtl w:val="0"/>
        </w:rPr>
        <w:t xml:space="preserve">Biomass</w:t>
      </w:r>
      <w:r w:rsidDel="00000000" w:rsidR="00000000" w:rsidRPr="00000000">
        <w:rPr>
          <w:rFonts w:ascii="Open Sans" w:cs="Open Sans" w:eastAsia="Open Sans" w:hAnsi="Open Sans"/>
          <w:i w:val="1"/>
          <w:color w:val="4e5053"/>
          <w:u w:val="single"/>
          <w:rtl w:val="0"/>
        </w:rPr>
        <w:t xml:space="preserve"> (except biofuels for transport)</w:t>
      </w:r>
      <w:r w:rsidDel="00000000" w:rsidR="00000000" w:rsidRPr="00000000">
        <w:rPr>
          <w:rtl w:val="0"/>
        </w:rPr>
      </w:r>
    </w:p>
    <w:p w:rsidR="00000000" w:rsidDel="00000000" w:rsidP="00000000" w:rsidRDefault="00000000" w:rsidRPr="00000000" w14:paraId="0000003C">
      <w:pPr>
        <w:rPr>
          <w:rFonts w:ascii="Open Sans" w:cs="Open Sans" w:eastAsia="Open Sans" w:hAnsi="Open Sans"/>
          <w:color w:val="4e5053"/>
        </w:rPr>
      </w:pPr>
      <w:r w:rsidDel="00000000" w:rsidR="00000000" w:rsidRPr="00000000">
        <w:rPr>
          <w:rFonts w:ascii="Open Sans" w:cs="Open Sans" w:eastAsia="Open Sans" w:hAnsi="Open Sans"/>
          <w:b w:val="1"/>
          <w:color w:val="4e5053"/>
          <w:rtl w:val="0"/>
        </w:rPr>
        <w:t xml:space="preserve">In regard to biomass, </w:t>
      </w:r>
      <w:r w:rsidDel="00000000" w:rsidR="00000000" w:rsidRPr="00000000">
        <w:rPr>
          <w:rFonts w:ascii="Open Sans" w:cs="Open Sans" w:eastAsia="Open Sans" w:hAnsi="Open Sans"/>
          <w:color w:val="4e5053"/>
          <w:rtl w:val="0"/>
        </w:rPr>
        <w:t xml:space="preserve">the Authority proposes: </w:t>
      </w:r>
    </w:p>
    <w:p w:rsidR="00000000" w:rsidDel="00000000" w:rsidP="00000000" w:rsidRDefault="00000000" w:rsidRPr="00000000" w14:paraId="0000003D">
      <w:pPr>
        <w:numPr>
          <w:ilvl w:val="0"/>
          <w:numId w:val="1"/>
        </w:numPr>
        <w:spacing w:after="0" w:lineRule="auto"/>
        <w:ind w:left="72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To apply sustainability criteria to solid, liquid and gaseous biomass for all installations (currently these criteria are only applied to bioliquids under the UK ETS). </w:t>
      </w:r>
    </w:p>
    <w:p w:rsidR="00000000" w:rsidDel="00000000" w:rsidP="00000000" w:rsidRDefault="00000000" w:rsidRPr="00000000" w14:paraId="0000003E">
      <w:pPr>
        <w:numPr>
          <w:ilvl w:val="1"/>
          <w:numId w:val="1"/>
        </w:numPr>
        <w:spacing w:after="0" w:lineRule="auto"/>
        <w:ind w:left="144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They intend to use a set of criteria mirroring one of the UK policies which already applies these standards (e.g. Renewable Obligation, Contract for Difference and Non Domestic Renewable Heat Incentive).</w:t>
      </w:r>
    </w:p>
    <w:p w:rsidR="00000000" w:rsidDel="00000000" w:rsidP="00000000" w:rsidRDefault="00000000" w:rsidRPr="00000000" w14:paraId="0000003F">
      <w:pPr>
        <w:numPr>
          <w:ilvl w:val="1"/>
          <w:numId w:val="1"/>
        </w:numPr>
        <w:spacing w:after="0" w:lineRule="auto"/>
        <w:ind w:left="144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The Authority are seeking views on which set of criteria to apply.</w:t>
      </w:r>
    </w:p>
    <w:p w:rsidR="00000000" w:rsidDel="00000000" w:rsidP="00000000" w:rsidRDefault="00000000" w:rsidRPr="00000000" w14:paraId="00000040">
      <w:pPr>
        <w:numPr>
          <w:ilvl w:val="0"/>
          <w:numId w:val="1"/>
        </w:numPr>
        <w:spacing w:after="0" w:lineRule="auto"/>
        <w:ind w:left="72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For units which generate energy through biomass combustion to be exempt from the UK ETS, they must only burn biomass which adheres to sustainability criteria. </w:t>
      </w:r>
    </w:p>
    <w:p w:rsidR="00000000" w:rsidDel="00000000" w:rsidP="00000000" w:rsidRDefault="00000000" w:rsidRPr="00000000" w14:paraId="00000041">
      <w:pPr>
        <w:numPr>
          <w:ilvl w:val="0"/>
          <w:numId w:val="1"/>
        </w:numPr>
        <w:spacing w:after="0" w:lineRule="auto"/>
        <w:ind w:left="72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For HSEs, require that the sustainability criteria are applicable for: </w:t>
      </w:r>
    </w:p>
    <w:p w:rsidR="00000000" w:rsidDel="00000000" w:rsidP="00000000" w:rsidRDefault="00000000" w:rsidRPr="00000000" w14:paraId="00000042">
      <w:pPr>
        <w:numPr>
          <w:ilvl w:val="1"/>
          <w:numId w:val="1"/>
        </w:numPr>
        <w:spacing w:after="0" w:lineRule="auto"/>
        <w:ind w:left="144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Assessing eligibility to be a HSE in the second allocation period </w:t>
      </w:r>
    </w:p>
    <w:p w:rsidR="00000000" w:rsidDel="00000000" w:rsidP="00000000" w:rsidRDefault="00000000" w:rsidRPr="00000000" w14:paraId="00000043">
      <w:pPr>
        <w:numPr>
          <w:ilvl w:val="1"/>
          <w:numId w:val="1"/>
        </w:numPr>
        <w:spacing w:after="0" w:lineRule="auto"/>
        <w:ind w:left="144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Calculating of emissions targets </w:t>
      </w:r>
    </w:p>
    <w:p w:rsidR="00000000" w:rsidDel="00000000" w:rsidP="00000000" w:rsidRDefault="00000000" w:rsidRPr="00000000" w14:paraId="00000044">
      <w:pPr>
        <w:numPr>
          <w:ilvl w:val="1"/>
          <w:numId w:val="1"/>
        </w:numPr>
        <w:spacing w:after="0" w:lineRule="auto"/>
        <w:ind w:left="144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Determining whether an installation’s reportable emissions exceed the emissions targets.  </w:t>
      </w:r>
    </w:p>
    <w:p w:rsidR="00000000" w:rsidDel="00000000" w:rsidP="00000000" w:rsidRDefault="00000000" w:rsidRPr="00000000" w14:paraId="00000045">
      <w:pPr>
        <w:numPr>
          <w:ilvl w:val="0"/>
          <w:numId w:val="1"/>
        </w:numPr>
        <w:ind w:left="72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An emissions factor of zero would also only apply to biomass that meets the sustainability criteria. They propose that this change come into effect from the start of the second allocation period.</w:t>
      </w:r>
    </w:p>
    <w:p w:rsidR="00000000" w:rsidDel="00000000" w:rsidP="00000000" w:rsidRDefault="00000000" w:rsidRPr="00000000" w14:paraId="00000046">
      <w:pPr>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Expanding the UK Emissions Trading Scheme to new sectors</w:t>
      </w:r>
    </w:p>
    <w:p w:rsidR="00000000" w:rsidDel="00000000" w:rsidP="00000000" w:rsidRDefault="00000000" w:rsidRPr="00000000" w14:paraId="00000047">
      <w:pPr>
        <w:spacing w:after="0" w:lineRule="auto"/>
        <w:rPr>
          <w:rFonts w:ascii="Open Sans" w:cs="Open Sans" w:eastAsia="Open Sans" w:hAnsi="Open Sans"/>
          <w:i w:val="1"/>
          <w:color w:val="4e5053"/>
          <w:u w:val="single"/>
        </w:rPr>
      </w:pPr>
      <w:r w:rsidDel="00000000" w:rsidR="00000000" w:rsidRPr="00000000">
        <w:rPr>
          <w:rFonts w:ascii="Open Sans" w:cs="Open Sans" w:eastAsia="Open Sans" w:hAnsi="Open Sans"/>
          <w:i w:val="1"/>
          <w:color w:val="4e5053"/>
          <w:u w:val="single"/>
          <w:rtl w:val="0"/>
        </w:rPr>
        <w:t xml:space="preserve">Maritime</w:t>
      </w:r>
    </w:p>
    <w:p w:rsidR="00000000" w:rsidDel="00000000" w:rsidP="00000000" w:rsidRDefault="00000000" w:rsidRPr="00000000" w14:paraId="00000048">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maritime UK ETS inclusion on an activity basis. This would be modelled on the current treatment of aviation within the UK ETS.</w:t>
      </w:r>
    </w:p>
    <w:p w:rsidR="00000000" w:rsidDel="00000000" w:rsidP="00000000" w:rsidRDefault="00000000" w:rsidRPr="00000000" w14:paraId="00000049">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MRV regulations apply to vessels undertaking certain activities and operating on certain routes if they are over 5000 GT. For this reason, the Authority is minded that the UK ETS will apply to vessels over this threshold.</w:t>
      </w:r>
    </w:p>
    <w:p w:rsidR="00000000" w:rsidDel="00000000" w:rsidP="00000000" w:rsidRDefault="00000000" w:rsidRPr="00000000" w14:paraId="0000004A">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4B">
      <w:pPr>
        <w:spacing w:after="0" w:lineRule="auto"/>
        <w:rPr>
          <w:rFonts w:ascii="Open Sans" w:cs="Open Sans" w:eastAsia="Open Sans" w:hAnsi="Open Sans"/>
          <w:i w:val="1"/>
          <w:color w:val="4e5053"/>
          <w:u w:val="single"/>
        </w:rPr>
      </w:pPr>
      <w:r w:rsidDel="00000000" w:rsidR="00000000" w:rsidRPr="00000000">
        <w:rPr>
          <w:rFonts w:ascii="Open Sans" w:cs="Open Sans" w:eastAsia="Open Sans" w:hAnsi="Open Sans"/>
          <w:i w:val="1"/>
          <w:color w:val="4e5053"/>
          <w:u w:val="single"/>
          <w:rtl w:val="0"/>
        </w:rPr>
        <w:t xml:space="preserve">Energy from Waste</w:t>
      </w:r>
    </w:p>
    <w:p w:rsidR="00000000" w:rsidDel="00000000" w:rsidP="00000000" w:rsidRDefault="00000000" w:rsidRPr="00000000" w14:paraId="0000004C">
      <w:pPr>
        <w:numPr>
          <w:ilvl w:val="0"/>
          <w:numId w:val="8"/>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to explore expanding the UK ETS to waste incineration and EfW by the mid-late 2020s.</w:t>
      </w:r>
    </w:p>
    <w:p w:rsidR="00000000" w:rsidDel="00000000" w:rsidP="00000000" w:rsidRDefault="00000000" w:rsidRPr="00000000" w14:paraId="0000004D">
      <w:pPr>
        <w:numPr>
          <w:ilvl w:val="0"/>
          <w:numId w:val="8"/>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believes the UK ETS should cover the incineration of fossil material by all waste incinerators. </w:t>
      </w:r>
    </w:p>
    <w:p w:rsidR="00000000" w:rsidDel="00000000" w:rsidP="00000000" w:rsidRDefault="00000000" w:rsidRPr="00000000" w14:paraId="0000004E">
      <w:pPr>
        <w:numPr>
          <w:ilvl w:val="1"/>
          <w:numId w:val="8"/>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This means the UK ETS obligation for robust MRV would be placed on all operators of waste incinerators. </w:t>
      </w:r>
    </w:p>
    <w:p w:rsidR="00000000" w:rsidDel="00000000" w:rsidP="00000000" w:rsidRDefault="00000000" w:rsidRPr="00000000" w14:paraId="0000004F">
      <w:pPr>
        <w:numPr>
          <w:ilvl w:val="1"/>
          <w:numId w:val="8"/>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For EfW, this would mean conventional incineration, pyrolysis and gasification </w:t>
      </w:r>
      <w:r w:rsidDel="00000000" w:rsidR="00000000" w:rsidRPr="00000000">
        <w:rPr>
          <w:rFonts w:ascii="Open Sans" w:cs="Open Sans" w:eastAsia="Open Sans" w:hAnsi="Open Sans"/>
          <w:color w:val="4e5053"/>
          <w:rtl w:val="0"/>
        </w:rPr>
        <w:t xml:space="preserve">(ATT/ACT) </w:t>
      </w:r>
      <w:r w:rsidDel="00000000" w:rsidR="00000000" w:rsidRPr="00000000">
        <w:rPr>
          <w:rFonts w:ascii="Open Sans" w:cs="Open Sans" w:eastAsia="Open Sans" w:hAnsi="Open Sans"/>
          <w:color w:val="4e5053"/>
          <w:rtl w:val="0"/>
        </w:rPr>
        <w:t xml:space="preserve">would fall under the scope of the UK ETS</w:t>
      </w:r>
      <w:r w:rsidDel="00000000" w:rsidR="00000000" w:rsidRPr="00000000">
        <w:rPr>
          <w:rFonts w:ascii="Open Sans" w:cs="Open Sans" w:eastAsia="Open Sans" w:hAnsi="Open Sans"/>
          <w:color w:val="4e5053"/>
          <w:rtl w:val="0"/>
        </w:rPr>
        <w:t xml:space="preserve"> and pay a carbon price according to their greenhouse gas emissions</w:t>
      </w:r>
      <w:r w:rsidDel="00000000" w:rsidR="00000000" w:rsidRPr="00000000">
        <w:rPr>
          <w:rFonts w:ascii="Open Sans" w:cs="Open Sans" w:eastAsia="Open Sans" w:hAnsi="Open Sans"/>
          <w:color w:val="4e5053"/>
          <w:rtl w:val="0"/>
        </w:rPr>
        <w:t xml:space="preserve">.</w:t>
      </w:r>
    </w:p>
    <w:p w:rsidR="00000000" w:rsidDel="00000000" w:rsidP="00000000" w:rsidRDefault="00000000" w:rsidRPr="00000000" w14:paraId="00000050">
      <w:pPr>
        <w:numPr>
          <w:ilvl w:val="0"/>
          <w:numId w:val="8"/>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w:t>
      </w:r>
      <w:r w:rsidDel="00000000" w:rsidR="00000000" w:rsidRPr="00000000">
        <w:rPr>
          <w:rFonts w:ascii="Open Sans" w:cs="Open Sans" w:eastAsia="Open Sans" w:hAnsi="Open Sans"/>
          <w:color w:val="4e5053"/>
          <w:rtl w:val="0"/>
        </w:rPr>
        <w:t xml:space="preserve">and is seeking views on </w:t>
      </w:r>
      <w:r w:rsidDel="00000000" w:rsidR="00000000" w:rsidRPr="00000000">
        <w:rPr>
          <w:rFonts w:ascii="Open Sans" w:cs="Open Sans" w:eastAsia="Open Sans" w:hAnsi="Open Sans"/>
          <w:color w:val="4e5053"/>
          <w:rtl w:val="0"/>
        </w:rPr>
        <w:t xml:space="preserve">the following two options to determine the UK ETS MRV obligations for each plant:</w:t>
      </w:r>
    </w:p>
    <w:p w:rsidR="00000000" w:rsidDel="00000000" w:rsidP="00000000" w:rsidRDefault="00000000" w:rsidRPr="00000000" w14:paraId="00000051">
      <w:pPr>
        <w:numPr>
          <w:ilvl w:val="1"/>
          <w:numId w:val="8"/>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u w:val="single"/>
          <w:rtl w:val="0"/>
        </w:rPr>
        <w:t xml:space="preserve">Individual plant monitoring</w:t>
      </w:r>
      <w:r w:rsidDel="00000000" w:rsidR="00000000" w:rsidRPr="00000000">
        <w:rPr>
          <w:rFonts w:ascii="Open Sans" w:cs="Open Sans" w:eastAsia="Open Sans" w:hAnsi="Open Sans"/>
          <w:color w:val="4e5053"/>
          <w:rtl w:val="0"/>
        </w:rPr>
        <w:t xml:space="preserve">: operators to determine the ratio of fossil/biogenic CO</w:t>
      </w:r>
      <w:r w:rsidDel="00000000" w:rsidR="00000000" w:rsidRPr="00000000">
        <w:rPr>
          <w:rFonts w:ascii="Open Sans" w:cs="Open Sans" w:eastAsia="Open Sans" w:hAnsi="Open Sans"/>
          <w:color w:val="4e5053"/>
          <w:vertAlign w:val="subscript"/>
          <w:rtl w:val="0"/>
        </w:rPr>
        <w:t xml:space="preserve">2</w:t>
      </w:r>
      <w:r w:rsidDel="00000000" w:rsidR="00000000" w:rsidRPr="00000000">
        <w:rPr>
          <w:rFonts w:ascii="Open Sans" w:cs="Open Sans" w:eastAsia="Open Sans" w:hAnsi="Open Sans"/>
          <w:color w:val="4e5053"/>
          <w:rtl w:val="0"/>
        </w:rPr>
        <w:t xml:space="preserve"> that is being emitted from their plants</w:t>
      </w:r>
      <w:r w:rsidDel="00000000" w:rsidR="00000000" w:rsidRPr="00000000">
        <w:rPr>
          <w:rFonts w:ascii="Open Sans" w:cs="Open Sans" w:eastAsia="Open Sans" w:hAnsi="Open Sans"/>
          <w:color w:val="4e5053"/>
          <w:rtl w:val="0"/>
        </w:rPr>
        <w:t xml:space="preserve"> – it is proposed that the ETS obligation only applies to the processing of fossil waste </w:t>
      </w:r>
      <w:r w:rsidDel="00000000" w:rsidR="00000000" w:rsidRPr="00000000">
        <w:rPr>
          <w:rFonts w:ascii="Open Sans" w:cs="Open Sans" w:eastAsia="Open Sans" w:hAnsi="Open Sans"/>
          <w:color w:val="4e5053"/>
          <w:rtl w:val="0"/>
        </w:rPr>
        <w:t xml:space="preserve">. </w:t>
      </w:r>
    </w:p>
    <w:p w:rsidR="00000000" w:rsidDel="00000000" w:rsidP="00000000" w:rsidRDefault="00000000" w:rsidRPr="00000000" w14:paraId="00000052">
      <w:pPr>
        <w:numPr>
          <w:ilvl w:val="1"/>
          <w:numId w:val="8"/>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u w:val="single"/>
          <w:rtl w:val="0"/>
        </w:rPr>
        <w:t xml:space="preserve">Emissions factor approach</w:t>
      </w:r>
      <w:r w:rsidDel="00000000" w:rsidR="00000000" w:rsidRPr="00000000">
        <w:rPr>
          <w:rFonts w:ascii="Open Sans" w:cs="Open Sans" w:eastAsia="Open Sans" w:hAnsi="Open Sans"/>
          <w:color w:val="4e5053"/>
          <w:rtl w:val="0"/>
        </w:rPr>
        <w:t xml:space="preserve">: This approach would involve using an estimate for the composition of waste.</w:t>
      </w:r>
      <w:r w:rsidDel="00000000" w:rsidR="00000000" w:rsidRPr="00000000">
        <w:rPr>
          <w:rFonts w:ascii="Open Sans" w:cs="Open Sans" w:eastAsia="Open Sans" w:hAnsi="Open Sans"/>
          <w:color w:val="4e5053"/>
          <w:rtl w:val="0"/>
        </w:rPr>
        <w:t xml:space="preserve"> This factor would then be multiplied by the tonnes of waste processed by a plant to estimate their emissions from urning fossil fuel wastes. </w:t>
      </w:r>
      <w:r w:rsidDel="00000000" w:rsidR="00000000" w:rsidRPr="00000000">
        <w:rPr>
          <w:rtl w:val="0"/>
        </w:rPr>
      </w:r>
    </w:p>
    <w:p w:rsidR="00000000" w:rsidDel="00000000" w:rsidP="00000000" w:rsidRDefault="00000000" w:rsidRPr="00000000" w14:paraId="00000053">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color w:val="4e5053"/>
        </w:rPr>
      </w:pPr>
      <w:r w:rsidDel="00000000" w:rsidR="00000000" w:rsidRPr="00000000">
        <w:rPr>
          <w:rFonts w:ascii="Open Sans" w:cs="Open Sans" w:eastAsia="Open Sans" w:hAnsi="Open Sans"/>
          <w:b w:val="1"/>
          <w:color w:val="4e5053"/>
          <w:rtl w:val="0"/>
        </w:rPr>
        <w:t xml:space="preserve">Greenhouse Gas Removals (GGRs)</w:t>
      </w:r>
      <w:r w:rsidDel="00000000" w:rsidR="00000000" w:rsidRPr="00000000">
        <w:rPr>
          <w:rtl w:val="0"/>
        </w:rPr>
      </w:r>
    </w:p>
    <w:p w:rsidR="00000000" w:rsidDel="00000000" w:rsidP="00000000" w:rsidRDefault="00000000" w:rsidRPr="00000000" w14:paraId="00000055">
      <w:pPr>
        <w:numPr>
          <w:ilvl w:val="0"/>
          <w:numId w:val="7"/>
        </w:numPr>
        <w:spacing w:after="0" w:lineRule="auto"/>
        <w:ind w:left="720" w:hanging="360"/>
        <w:rPr>
          <w:rFonts w:ascii="Open Sans" w:cs="Open Sans" w:eastAsia="Open Sans" w:hAnsi="Open Sans"/>
          <w:color w:val="4e5053"/>
          <w:sz w:val="24"/>
          <w:szCs w:val="24"/>
        </w:rPr>
      </w:pPr>
      <w:r w:rsidDel="00000000" w:rsidR="00000000" w:rsidRPr="00000000">
        <w:rPr>
          <w:rFonts w:ascii="Open Sans" w:cs="Open Sans" w:eastAsia="Open Sans" w:hAnsi="Open Sans"/>
          <w:color w:val="4e5053"/>
          <w:rtl w:val="0"/>
        </w:rPr>
        <w:t xml:space="preserve">The Authority is launching a call for evidence to help gather views and evidence on how the UK ETS could in time become a market for GGRs.</w:t>
      </w:r>
    </w:p>
    <w:p w:rsidR="00000000" w:rsidDel="00000000" w:rsidP="00000000" w:rsidRDefault="00000000" w:rsidRPr="00000000" w14:paraId="00000056">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is considering different eligibility requirements for GGRs in a domestic market. These include:</w:t>
      </w:r>
    </w:p>
    <w:p w:rsidR="00000000" w:rsidDel="00000000" w:rsidP="00000000" w:rsidRDefault="00000000" w:rsidRPr="00000000" w14:paraId="00000057">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Robust Monitoring, Reporting and Verification (MRV) of emissions.</w:t>
      </w:r>
    </w:p>
    <w:p w:rsidR="00000000" w:rsidDel="00000000" w:rsidP="00000000" w:rsidRDefault="00000000" w:rsidRPr="00000000" w14:paraId="00000058">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Ensuring that carbon removed from the atmosphere is permanent or intended to be permanent. </w:t>
      </w:r>
    </w:p>
    <w:p w:rsidR="00000000" w:rsidDel="00000000" w:rsidP="00000000" w:rsidRDefault="00000000" w:rsidRPr="00000000" w14:paraId="00000059">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Clear property rights for any GGR credits or allowances in the market, to ensure that liability is established and maintained.</w:t>
      </w:r>
    </w:p>
    <w:p w:rsidR="00000000" w:rsidDel="00000000" w:rsidP="00000000" w:rsidRDefault="00000000" w:rsidRPr="00000000" w14:paraId="0000005A">
      <w:pPr>
        <w:numPr>
          <w:ilvl w:val="0"/>
          <w:numId w:val="7"/>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Authority goals around GGR includes:</w:t>
      </w:r>
    </w:p>
    <w:p w:rsidR="00000000" w:rsidDel="00000000" w:rsidP="00000000" w:rsidRDefault="00000000" w:rsidRPr="00000000" w14:paraId="0000005B">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Sending a market signal to businesses to invest in new low-carbon technologies and drive the price down of GGR technologies.</w:t>
      </w:r>
    </w:p>
    <w:p w:rsidR="00000000" w:rsidDel="00000000" w:rsidP="00000000" w:rsidRDefault="00000000" w:rsidRPr="00000000" w14:paraId="0000005C">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Accelerating the development and deployment of both nature-based and engineered GGRs.</w:t>
      </w:r>
    </w:p>
    <w:p w:rsidR="00000000" w:rsidDel="00000000" w:rsidP="00000000" w:rsidRDefault="00000000" w:rsidRPr="00000000" w14:paraId="0000005D">
      <w:pPr>
        <w:numPr>
          <w:ilvl w:val="1"/>
          <w:numId w:val="7"/>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Encouraging competitiveness and increased efficiency of GGRs.</w:t>
      </w:r>
    </w:p>
    <w:p w:rsidR="00000000" w:rsidDel="00000000" w:rsidP="00000000" w:rsidRDefault="00000000" w:rsidRPr="00000000" w14:paraId="0000005E">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5F">
      <w:pPr>
        <w:spacing w:after="0" w:lineRule="auto"/>
        <w:rPr>
          <w:rFonts w:ascii="Open Sans" w:cs="Open Sans" w:eastAsia="Open Sans" w:hAnsi="Open Sans"/>
          <w:b w:val="1"/>
          <w:color w:val="4e5053"/>
        </w:rPr>
      </w:pPr>
      <w:r w:rsidDel="00000000" w:rsidR="00000000" w:rsidRPr="00000000">
        <w:rPr>
          <w:rFonts w:ascii="Open Sans" w:cs="Open Sans" w:eastAsia="Open Sans" w:hAnsi="Open Sans"/>
          <w:b w:val="1"/>
          <w:color w:val="4e5053"/>
          <w:rtl w:val="0"/>
        </w:rPr>
        <w:t xml:space="preserve">Operational amendments to UK ETS</w:t>
      </w:r>
    </w:p>
    <w:p w:rsidR="00000000" w:rsidDel="00000000" w:rsidP="00000000" w:rsidRDefault="00000000" w:rsidRPr="00000000" w14:paraId="00000060">
      <w:pPr>
        <w:spacing w:after="0" w:lineRule="auto"/>
        <w:rPr>
          <w:rFonts w:ascii="Open Sans" w:cs="Open Sans" w:eastAsia="Open Sans" w:hAnsi="Open Sans"/>
          <w:color w:val="4e5053"/>
        </w:rPr>
      </w:pPr>
      <w:r w:rsidDel="00000000" w:rsidR="00000000" w:rsidRPr="00000000">
        <w:rPr>
          <w:rtl w:val="0"/>
        </w:rPr>
      </w:r>
    </w:p>
    <w:p w:rsidR="00000000" w:rsidDel="00000000" w:rsidP="00000000" w:rsidRDefault="00000000" w:rsidRPr="00000000" w14:paraId="00000061">
      <w:pPr>
        <w:spacing w:after="0" w:lineRule="auto"/>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The Authority proposes the following amendments:</w:t>
      </w:r>
    </w:p>
    <w:p w:rsidR="00000000" w:rsidDel="00000000" w:rsidP="00000000" w:rsidRDefault="00000000" w:rsidRPr="00000000" w14:paraId="00000062">
      <w:pPr>
        <w:numPr>
          <w:ilvl w:val="0"/>
          <w:numId w:val="2"/>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Amend the UK ETS legislation to set out that new electricity entrants to the ETS may not apply for a free allocation of allowances until they are able to provide a full calendar year of activity level data. </w:t>
      </w:r>
    </w:p>
    <w:p w:rsidR="00000000" w:rsidDel="00000000" w:rsidP="00000000" w:rsidRDefault="00000000" w:rsidRPr="00000000" w14:paraId="00000063">
      <w:pPr>
        <w:numPr>
          <w:ilvl w:val="0"/>
          <w:numId w:val="2"/>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Amend the UK ETS legislation to allow the Authority to create the total number of allowances from the flexible share in a scheme year.</w:t>
      </w:r>
    </w:p>
    <w:p w:rsidR="00000000" w:rsidDel="00000000" w:rsidP="00000000" w:rsidRDefault="00000000" w:rsidRPr="00000000" w14:paraId="00000064">
      <w:pPr>
        <w:numPr>
          <w:ilvl w:val="1"/>
          <w:numId w:val="2"/>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If the date of the permit transfer is before the activity level reporting deadline in a scheme year, the free allocation of allowances for that scheme year will be merged.</w:t>
      </w:r>
    </w:p>
    <w:p w:rsidR="00000000" w:rsidDel="00000000" w:rsidP="00000000" w:rsidRDefault="00000000" w:rsidRPr="00000000" w14:paraId="00000065">
      <w:pPr>
        <w:numPr>
          <w:ilvl w:val="0"/>
          <w:numId w:val="2"/>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Apply the without-feedback AR5 values for the purposes of the UK ETS, in line with the decision at COP26.</w:t>
      </w:r>
    </w:p>
    <w:p w:rsidR="00000000" w:rsidDel="00000000" w:rsidP="00000000" w:rsidRDefault="00000000" w:rsidRPr="00000000" w14:paraId="00000066">
      <w:pPr>
        <w:numPr>
          <w:ilvl w:val="0"/>
          <w:numId w:val="2"/>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Amending the Order to reflect the updated version of ISO 14065.</w:t>
      </w:r>
    </w:p>
    <w:p w:rsidR="00000000" w:rsidDel="00000000" w:rsidP="00000000" w:rsidRDefault="00000000" w:rsidRPr="00000000" w14:paraId="00000067">
      <w:pPr>
        <w:numPr>
          <w:ilvl w:val="0"/>
          <w:numId w:val="2"/>
        </w:numPr>
        <w:spacing w:after="0" w:lineRule="auto"/>
        <w:ind w:left="72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Offer a one-off window for operators HSEs in the first allocation period to re-enter the main UK ETS scheme from 2024 onwards. </w:t>
      </w:r>
    </w:p>
    <w:p w:rsidR="00000000" w:rsidDel="00000000" w:rsidP="00000000" w:rsidRDefault="00000000" w:rsidRPr="00000000" w14:paraId="00000068">
      <w:pPr>
        <w:numPr>
          <w:ilvl w:val="1"/>
          <w:numId w:val="2"/>
        </w:numPr>
        <w:spacing w:after="0" w:lineRule="auto"/>
        <w:ind w:left="1440" w:hanging="360"/>
        <w:rPr>
          <w:rFonts w:ascii="Open Sans" w:cs="Open Sans" w:eastAsia="Open Sans" w:hAnsi="Open Sans"/>
          <w:color w:val="4e5053"/>
        </w:rPr>
      </w:pPr>
      <w:r w:rsidDel="00000000" w:rsidR="00000000" w:rsidRPr="00000000">
        <w:rPr>
          <w:rFonts w:ascii="Open Sans" w:cs="Open Sans" w:eastAsia="Open Sans" w:hAnsi="Open Sans"/>
          <w:color w:val="4e5053"/>
          <w:rtl w:val="0"/>
        </w:rPr>
        <w:t xml:space="preserve">Operators re-entering the scheme voluntarily would be eligible to apply for free allocation.</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00000"/>
      </w:rPr>
    </w:pPr>
    <w:r w:rsidDel="00000000" w:rsidR="00000000" w:rsidRPr="00000000">
      <w:rPr>
        <w:rFonts w:ascii="Open Sans" w:cs="Open Sans" w:eastAsia="Open Sans" w:hAnsi="Open Sans"/>
        <w:rtl w:val="0"/>
      </w:rPr>
      <w:t xml:space="preserve">30/03/2022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-259711</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