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68BF" w14:textId="386FA715" w:rsidR="00894A30" w:rsidRPr="00711933" w:rsidRDefault="0070550B" w:rsidP="00894A30">
      <w:pPr>
        <w:spacing w:after="0"/>
        <w:rPr>
          <w:rFonts w:ascii="Open Sans" w:hAnsi="Open Sans" w:cs="Open Sans"/>
          <w:b/>
          <w:bCs/>
          <w:sz w:val="28"/>
          <w:szCs w:val="28"/>
        </w:rPr>
      </w:pPr>
      <w:r w:rsidRPr="00711933">
        <w:rPr>
          <w:rFonts w:ascii="Open Sans" w:hAnsi="Open Sans" w:cs="Open Sans"/>
          <w:b/>
          <w:bCs/>
          <w:sz w:val="28"/>
          <w:szCs w:val="28"/>
        </w:rPr>
        <w:t xml:space="preserve">REA’s </w:t>
      </w:r>
      <w:r w:rsidR="00894A30" w:rsidRPr="00711933">
        <w:rPr>
          <w:rFonts w:ascii="Open Sans" w:hAnsi="Open Sans" w:cs="Open Sans"/>
          <w:b/>
          <w:bCs/>
          <w:sz w:val="28"/>
          <w:szCs w:val="28"/>
        </w:rPr>
        <w:t xml:space="preserve">draft position on </w:t>
      </w:r>
      <w:r w:rsidR="00240D56">
        <w:rPr>
          <w:rFonts w:ascii="Open Sans" w:hAnsi="Open Sans" w:cs="Open Sans"/>
          <w:b/>
          <w:bCs/>
          <w:sz w:val="28"/>
          <w:szCs w:val="28"/>
        </w:rPr>
        <w:t xml:space="preserve">hydrogen </w:t>
      </w:r>
      <w:r w:rsidR="00894A30" w:rsidRPr="00711933">
        <w:rPr>
          <w:rFonts w:ascii="Open Sans" w:hAnsi="Open Sans" w:cs="Open Sans"/>
          <w:b/>
          <w:bCs/>
          <w:sz w:val="28"/>
          <w:szCs w:val="28"/>
        </w:rPr>
        <w:t>blending – for members’ consultation</w:t>
      </w:r>
    </w:p>
    <w:p w14:paraId="4C7C03A3" w14:textId="4BA6D922" w:rsidR="00894A30" w:rsidRDefault="00894A30" w:rsidP="00894A30">
      <w:pPr>
        <w:jc w:val="both"/>
        <w:rPr>
          <w:rFonts w:ascii="Open Sans" w:hAnsi="Open Sans" w:cs="Open Sans"/>
        </w:rPr>
      </w:pPr>
    </w:p>
    <w:p w14:paraId="5AE4CBAF" w14:textId="19C95499" w:rsidR="004C3692" w:rsidRDefault="004C3692" w:rsidP="00894A30">
      <w:pPr>
        <w:jc w:val="both"/>
        <w:rPr>
          <w:rFonts w:ascii="Open Sans" w:hAnsi="Open Sans" w:cs="Open Sans"/>
          <w:b/>
          <w:bCs/>
          <w:i/>
          <w:iCs/>
        </w:rPr>
      </w:pPr>
      <w:r w:rsidRPr="004C3692">
        <w:rPr>
          <w:rFonts w:ascii="Open Sans" w:hAnsi="Open Sans" w:cs="Open Sans"/>
          <w:b/>
          <w:bCs/>
          <w:i/>
          <w:iCs/>
        </w:rPr>
        <w:t xml:space="preserve">The REA believe hydrogen blending into the gas network has a key role to play, both in the short and long term, to support the scale up of the </w:t>
      </w:r>
      <w:r w:rsidR="00D94C93">
        <w:rPr>
          <w:rFonts w:ascii="Open Sans" w:hAnsi="Open Sans" w:cs="Open Sans"/>
          <w:b/>
          <w:bCs/>
          <w:i/>
          <w:iCs/>
        </w:rPr>
        <w:t xml:space="preserve">UK </w:t>
      </w:r>
      <w:r w:rsidRPr="004C3692">
        <w:rPr>
          <w:rFonts w:ascii="Open Sans" w:hAnsi="Open Sans" w:cs="Open Sans"/>
          <w:b/>
          <w:bCs/>
          <w:i/>
          <w:iCs/>
        </w:rPr>
        <w:t>clean hydrogen sector</w:t>
      </w:r>
      <w:r w:rsidR="00D94C93">
        <w:rPr>
          <w:rFonts w:ascii="Open Sans" w:hAnsi="Open Sans" w:cs="Open Sans"/>
          <w:b/>
          <w:bCs/>
          <w:i/>
          <w:iCs/>
        </w:rPr>
        <w:t xml:space="preserve">. It will also be critical to maintain the resilience of our energy system by enabling energy storage and balancing of the network between the peaks of generation and demand. We have set out detailed reasons for this statement below. </w:t>
      </w:r>
    </w:p>
    <w:p w14:paraId="68618736" w14:textId="77777777" w:rsidR="00D94C93" w:rsidRPr="004C3692" w:rsidRDefault="00D94C93" w:rsidP="00894A30">
      <w:pPr>
        <w:jc w:val="both"/>
        <w:rPr>
          <w:rFonts w:ascii="Open Sans" w:hAnsi="Open Sans" w:cs="Open Sans"/>
          <w:b/>
          <w:bCs/>
          <w:i/>
          <w:iCs/>
        </w:rPr>
      </w:pPr>
    </w:p>
    <w:p w14:paraId="1C559F5B" w14:textId="65799D60" w:rsidR="002C3EC2" w:rsidRPr="0045164E" w:rsidRDefault="00D94C93" w:rsidP="00894A30">
      <w:pPr>
        <w:jc w:val="both"/>
        <w:rPr>
          <w:rFonts w:ascii="Open Sans" w:hAnsi="Open Sans" w:cs="Open Sans"/>
          <w:b/>
          <w:bCs/>
          <w:u w:val="single"/>
        </w:rPr>
      </w:pPr>
      <w:r>
        <w:rPr>
          <w:rFonts w:ascii="Open Sans" w:hAnsi="Open Sans" w:cs="Open Sans"/>
          <w:b/>
          <w:bCs/>
          <w:u w:val="single"/>
        </w:rPr>
        <w:t>Paper c</w:t>
      </w:r>
      <w:r w:rsidR="002C3EC2" w:rsidRPr="0045164E">
        <w:rPr>
          <w:rFonts w:ascii="Open Sans" w:hAnsi="Open Sans" w:cs="Open Sans"/>
          <w:b/>
          <w:bCs/>
          <w:u w:val="single"/>
        </w:rPr>
        <w:t>ontents</w:t>
      </w:r>
    </w:p>
    <w:p w14:paraId="74BED11E" w14:textId="6F0E8B2E" w:rsidR="002C3EC2" w:rsidRPr="002C3EC2" w:rsidRDefault="00264372" w:rsidP="005B56CF">
      <w:pPr>
        <w:pStyle w:val="ListParagraph"/>
        <w:numPr>
          <w:ilvl w:val="0"/>
          <w:numId w:val="18"/>
        </w:numPr>
        <w:jc w:val="both"/>
        <w:rPr>
          <w:rFonts w:ascii="Open Sans" w:hAnsi="Open Sans" w:cs="Open Sans"/>
        </w:rPr>
      </w:pPr>
      <w:hyperlink w:anchor="_The_short-term_case" w:history="1">
        <w:r w:rsidR="002C3EC2" w:rsidRPr="005B56CF">
          <w:rPr>
            <w:rStyle w:val="Hyperlink"/>
            <w:rFonts w:ascii="Open Sans" w:hAnsi="Open Sans" w:cs="Open Sans"/>
          </w:rPr>
          <w:t>The short-term case for hydrogen blending</w:t>
        </w:r>
      </w:hyperlink>
    </w:p>
    <w:p w14:paraId="79D94F69" w14:textId="157E4B17" w:rsidR="002C3EC2" w:rsidRPr="002C3EC2" w:rsidRDefault="00264372" w:rsidP="005B56CF">
      <w:pPr>
        <w:pStyle w:val="ListParagraph"/>
        <w:numPr>
          <w:ilvl w:val="0"/>
          <w:numId w:val="18"/>
        </w:numPr>
        <w:jc w:val="both"/>
        <w:rPr>
          <w:rFonts w:ascii="Open Sans" w:hAnsi="Open Sans" w:cs="Open Sans"/>
        </w:rPr>
      </w:pPr>
      <w:hyperlink w:anchor="_The_longer-term_case" w:history="1">
        <w:r w:rsidR="002C3EC2" w:rsidRPr="005B56CF">
          <w:rPr>
            <w:rStyle w:val="Hyperlink"/>
            <w:rFonts w:ascii="Open Sans" w:hAnsi="Open Sans" w:cs="Open Sans"/>
          </w:rPr>
          <w:t>The long-term case for hydrogen blending</w:t>
        </w:r>
      </w:hyperlink>
      <w:r w:rsidR="002C3EC2" w:rsidRPr="002C3EC2">
        <w:rPr>
          <w:rFonts w:ascii="Open Sans" w:hAnsi="Open Sans" w:cs="Open Sans"/>
        </w:rPr>
        <w:t xml:space="preserve"> </w:t>
      </w:r>
    </w:p>
    <w:p w14:paraId="33628FA9" w14:textId="5B6F38F0" w:rsidR="002C3EC2" w:rsidRDefault="00264372" w:rsidP="005B56CF">
      <w:pPr>
        <w:pStyle w:val="ListParagraph"/>
        <w:numPr>
          <w:ilvl w:val="0"/>
          <w:numId w:val="18"/>
        </w:numPr>
        <w:jc w:val="both"/>
        <w:rPr>
          <w:rFonts w:ascii="Open Sans" w:hAnsi="Open Sans" w:cs="Open Sans"/>
        </w:rPr>
      </w:pPr>
      <w:hyperlink w:anchor="_Financial_support_for" w:history="1">
        <w:r w:rsidR="002C3EC2" w:rsidRPr="005B56CF">
          <w:rPr>
            <w:rStyle w:val="Hyperlink"/>
            <w:rFonts w:ascii="Open Sans" w:hAnsi="Open Sans" w:cs="Open Sans"/>
          </w:rPr>
          <w:t>Financial support for hydrogen blending</w:t>
        </w:r>
      </w:hyperlink>
      <w:r w:rsidR="002C3EC2" w:rsidRPr="002C3EC2">
        <w:rPr>
          <w:rFonts w:ascii="Open Sans" w:hAnsi="Open Sans" w:cs="Open Sans"/>
        </w:rPr>
        <w:t xml:space="preserve"> </w:t>
      </w:r>
    </w:p>
    <w:p w14:paraId="3FD9F6D8" w14:textId="1107D12C" w:rsidR="00D94C93" w:rsidRDefault="00264372" w:rsidP="005B56CF">
      <w:pPr>
        <w:pStyle w:val="ListParagraph"/>
        <w:numPr>
          <w:ilvl w:val="0"/>
          <w:numId w:val="18"/>
        </w:numPr>
        <w:jc w:val="both"/>
        <w:rPr>
          <w:rFonts w:ascii="Open Sans" w:hAnsi="Open Sans" w:cs="Open Sans"/>
        </w:rPr>
      </w:pPr>
      <w:hyperlink w:anchor="_Quick_actions_for" w:history="1">
        <w:r w:rsidR="00D94C93" w:rsidRPr="005B56CF">
          <w:rPr>
            <w:rStyle w:val="Hyperlink"/>
            <w:rFonts w:ascii="Open Sans" w:hAnsi="Open Sans" w:cs="Open Sans"/>
          </w:rPr>
          <w:t>Quick action for Government to unlock barriers to blending</w:t>
        </w:r>
      </w:hyperlink>
      <w:r w:rsidR="00D94C93">
        <w:rPr>
          <w:rFonts w:ascii="Open Sans" w:hAnsi="Open Sans" w:cs="Open Sans"/>
        </w:rPr>
        <w:t xml:space="preserve"> </w:t>
      </w:r>
    </w:p>
    <w:p w14:paraId="73F04A71" w14:textId="14D8BF35" w:rsidR="008E0406" w:rsidRDefault="00D86D39" w:rsidP="005B56CF">
      <w:pPr>
        <w:pStyle w:val="ListParagraph"/>
        <w:numPr>
          <w:ilvl w:val="0"/>
          <w:numId w:val="18"/>
        </w:numPr>
        <w:jc w:val="both"/>
        <w:rPr>
          <w:rFonts w:ascii="Open Sans" w:hAnsi="Open Sans" w:cs="Open Sans"/>
        </w:rPr>
      </w:pPr>
      <w:hyperlink w:anchor="_Future_Billing_regime" w:history="1">
        <w:r w:rsidR="008E0406" w:rsidRPr="00D86D39">
          <w:rPr>
            <w:rStyle w:val="Hyperlink"/>
            <w:rFonts w:ascii="Open Sans" w:hAnsi="Open Sans" w:cs="Open Sans"/>
          </w:rPr>
          <w:t xml:space="preserve">Future Billing </w:t>
        </w:r>
        <w:r w:rsidRPr="00D86D39">
          <w:rPr>
            <w:rStyle w:val="Hyperlink"/>
            <w:rFonts w:ascii="Open Sans" w:hAnsi="Open Sans" w:cs="Open Sans"/>
          </w:rPr>
          <w:t>regime</w:t>
        </w:r>
      </w:hyperlink>
      <w:r>
        <w:rPr>
          <w:rFonts w:ascii="Open Sans" w:hAnsi="Open Sans" w:cs="Open Sans"/>
        </w:rPr>
        <w:t xml:space="preserve"> </w:t>
      </w:r>
    </w:p>
    <w:p w14:paraId="679B331C" w14:textId="3439FFBF" w:rsidR="00D86D39" w:rsidRDefault="00D86D39" w:rsidP="005B56CF">
      <w:pPr>
        <w:pStyle w:val="ListParagraph"/>
        <w:numPr>
          <w:ilvl w:val="0"/>
          <w:numId w:val="18"/>
        </w:numPr>
        <w:jc w:val="both"/>
        <w:rPr>
          <w:rFonts w:ascii="Open Sans" w:hAnsi="Open Sans" w:cs="Open Sans"/>
        </w:rPr>
      </w:pPr>
      <w:hyperlink w:anchor="_Other_important_barriers" w:history="1">
        <w:r w:rsidRPr="00D86D39">
          <w:rPr>
            <w:rStyle w:val="Hyperlink"/>
            <w:rFonts w:ascii="Open Sans" w:hAnsi="Open Sans" w:cs="Open Sans"/>
          </w:rPr>
          <w:t>Oher important barriers to be addressed</w:t>
        </w:r>
      </w:hyperlink>
      <w:r>
        <w:rPr>
          <w:rFonts w:ascii="Open Sans" w:hAnsi="Open Sans" w:cs="Open Sans"/>
        </w:rPr>
        <w:t xml:space="preserve"> </w:t>
      </w:r>
    </w:p>
    <w:p w14:paraId="504F1828" w14:textId="1B6D25C0" w:rsidR="002C3EC2" w:rsidRDefault="002C3EC2" w:rsidP="002C3EC2">
      <w:pPr>
        <w:pStyle w:val="ListParagraph"/>
        <w:jc w:val="both"/>
        <w:rPr>
          <w:rFonts w:ascii="Open Sans" w:hAnsi="Open Sans" w:cs="Open Sans"/>
        </w:rPr>
      </w:pPr>
    </w:p>
    <w:p w14:paraId="4CA4549D" w14:textId="770B82C8" w:rsidR="00894A30" w:rsidRDefault="00894A30" w:rsidP="005B56CF">
      <w:pPr>
        <w:pStyle w:val="Heading1"/>
        <w:rPr>
          <w:rFonts w:ascii="Open Sans" w:hAnsi="Open Sans" w:cs="Open Sans"/>
        </w:rPr>
      </w:pPr>
      <w:bookmarkStart w:id="0" w:name="_The_short-term_case"/>
      <w:bookmarkEnd w:id="0"/>
      <w:r w:rsidRPr="005B56CF">
        <w:rPr>
          <w:rFonts w:ascii="Open Sans" w:hAnsi="Open Sans" w:cs="Open Sans"/>
        </w:rPr>
        <w:t>The short</w:t>
      </w:r>
      <w:r w:rsidR="00711933" w:rsidRPr="005B56CF">
        <w:rPr>
          <w:rFonts w:ascii="Open Sans" w:hAnsi="Open Sans" w:cs="Open Sans"/>
        </w:rPr>
        <w:t>-</w:t>
      </w:r>
      <w:r w:rsidRPr="005B56CF">
        <w:rPr>
          <w:rFonts w:ascii="Open Sans" w:hAnsi="Open Sans" w:cs="Open Sans"/>
        </w:rPr>
        <w:t>term case for hydrogen blending</w:t>
      </w:r>
    </w:p>
    <w:p w14:paraId="574EE10D" w14:textId="0647F0C2" w:rsidR="00894A30" w:rsidRPr="00711933" w:rsidRDefault="00894A30" w:rsidP="00894A30">
      <w:pPr>
        <w:jc w:val="both"/>
        <w:rPr>
          <w:rFonts w:ascii="Open Sans" w:hAnsi="Open Sans" w:cs="Open Sans"/>
        </w:rPr>
      </w:pPr>
      <w:r w:rsidRPr="00711933">
        <w:rPr>
          <w:rFonts w:ascii="Open Sans" w:hAnsi="Open Sans" w:cs="Open Sans"/>
        </w:rPr>
        <w:t xml:space="preserve">In order to achieve the UK’s ten-point plan of 5GW hydrogen production by 2030, Government and </w:t>
      </w:r>
      <w:r w:rsidR="00FD2CE5">
        <w:rPr>
          <w:rFonts w:ascii="Open Sans" w:hAnsi="Open Sans" w:cs="Open Sans"/>
        </w:rPr>
        <w:t>i</w:t>
      </w:r>
      <w:r w:rsidRPr="00711933">
        <w:rPr>
          <w:rFonts w:ascii="Open Sans" w:hAnsi="Open Sans" w:cs="Open Sans"/>
        </w:rPr>
        <w:t>ndustry have been working together on how to enable this. The two areas where Government is actively pursuing the development of a low carbon hydrogen production is through hydrogen mobility (</w:t>
      </w:r>
      <w:r w:rsidR="00C2731B">
        <w:rPr>
          <w:rFonts w:ascii="Open Sans" w:hAnsi="Open Sans" w:cs="Open Sans"/>
        </w:rPr>
        <w:t xml:space="preserve">e.g. </w:t>
      </w:r>
      <w:r w:rsidRPr="00711933">
        <w:rPr>
          <w:rFonts w:ascii="Open Sans" w:hAnsi="Open Sans" w:cs="Open Sans"/>
        </w:rPr>
        <w:t xml:space="preserve">development </w:t>
      </w:r>
      <w:r w:rsidR="00C2731B">
        <w:rPr>
          <w:rFonts w:ascii="Open Sans" w:hAnsi="Open Sans" w:cs="Open Sans"/>
        </w:rPr>
        <w:t>fuels sub-target and Renewable Transport Fuel Certificates under the Renewable Transport Fuel Obligation</w:t>
      </w:r>
      <w:r w:rsidRPr="00711933">
        <w:rPr>
          <w:rFonts w:ascii="Open Sans" w:hAnsi="Open Sans" w:cs="Open Sans"/>
        </w:rPr>
        <w:t xml:space="preserve">), the </w:t>
      </w:r>
      <w:r w:rsidR="00C2731B">
        <w:rPr>
          <w:rFonts w:ascii="Open Sans" w:hAnsi="Open Sans" w:cs="Open Sans"/>
        </w:rPr>
        <w:t xml:space="preserve">Hydrogen </w:t>
      </w:r>
      <w:r w:rsidRPr="00711933">
        <w:rPr>
          <w:rFonts w:ascii="Open Sans" w:hAnsi="Open Sans" w:cs="Open Sans"/>
        </w:rPr>
        <w:t xml:space="preserve">Business Model </w:t>
      </w:r>
      <w:r w:rsidR="00AE613B">
        <w:rPr>
          <w:rFonts w:ascii="Open Sans" w:hAnsi="Open Sans" w:cs="Open Sans"/>
        </w:rPr>
        <w:t xml:space="preserve">(HBM) </w:t>
      </w:r>
      <w:r w:rsidRPr="00711933">
        <w:rPr>
          <w:rFonts w:ascii="Open Sans" w:hAnsi="Open Sans" w:cs="Open Sans"/>
        </w:rPr>
        <w:t xml:space="preserve">for </w:t>
      </w:r>
      <w:r w:rsidR="00C2731B">
        <w:rPr>
          <w:rFonts w:ascii="Open Sans" w:hAnsi="Open Sans" w:cs="Open Sans"/>
        </w:rPr>
        <w:t xml:space="preserve">low-carbon </w:t>
      </w:r>
      <w:r w:rsidRPr="00711933">
        <w:rPr>
          <w:rFonts w:ascii="Open Sans" w:hAnsi="Open Sans" w:cs="Open Sans"/>
        </w:rPr>
        <w:t>hydrogen production (</w:t>
      </w:r>
      <w:r w:rsidR="00C2731B">
        <w:rPr>
          <w:rFonts w:ascii="Open Sans" w:hAnsi="Open Sans" w:cs="Open Sans"/>
        </w:rPr>
        <w:t>e.g. variable premium price mechanism</w:t>
      </w:r>
      <w:r w:rsidRPr="00711933">
        <w:rPr>
          <w:rFonts w:ascii="Open Sans" w:hAnsi="Open Sans" w:cs="Open Sans"/>
        </w:rPr>
        <w:t xml:space="preserve">) and the Net Zero Hydrogen Fund. </w:t>
      </w:r>
    </w:p>
    <w:p w14:paraId="081C9DA5" w14:textId="587D3109" w:rsidR="00894A30" w:rsidRPr="00711933" w:rsidRDefault="00894A30" w:rsidP="00894A30">
      <w:pPr>
        <w:jc w:val="both"/>
        <w:rPr>
          <w:rFonts w:ascii="Open Sans" w:hAnsi="Open Sans" w:cs="Open Sans"/>
        </w:rPr>
      </w:pPr>
      <w:r w:rsidRPr="00711933">
        <w:rPr>
          <w:rFonts w:ascii="Open Sans" w:hAnsi="Open Sans" w:cs="Open Sans"/>
        </w:rPr>
        <w:t xml:space="preserve">Hydrogen producers and project developers will look at these policy mechanisms to see how to create an investable project, in a similar way to </w:t>
      </w:r>
      <w:r w:rsidR="00C2731B">
        <w:rPr>
          <w:rFonts w:ascii="Open Sans" w:hAnsi="Open Sans" w:cs="Open Sans"/>
        </w:rPr>
        <w:t>how</w:t>
      </w:r>
      <w:r w:rsidR="00C2731B" w:rsidRPr="00711933">
        <w:rPr>
          <w:rFonts w:ascii="Open Sans" w:hAnsi="Open Sans" w:cs="Open Sans"/>
        </w:rPr>
        <w:t xml:space="preserve"> </w:t>
      </w:r>
      <w:r w:rsidRPr="00711933">
        <w:rPr>
          <w:rFonts w:ascii="Open Sans" w:hAnsi="Open Sans" w:cs="Open Sans"/>
        </w:rPr>
        <w:t xml:space="preserve">project developers used policy mechanisms such as </w:t>
      </w:r>
      <w:r w:rsidR="00C2731B">
        <w:rPr>
          <w:rFonts w:ascii="Open Sans" w:hAnsi="Open Sans" w:cs="Open Sans"/>
        </w:rPr>
        <w:t xml:space="preserve">the </w:t>
      </w:r>
      <w:r w:rsidRPr="00711933">
        <w:rPr>
          <w:rFonts w:ascii="Open Sans" w:hAnsi="Open Sans" w:cs="Open Sans"/>
        </w:rPr>
        <w:t>Feed-in Tariff</w:t>
      </w:r>
      <w:r w:rsidR="00C2731B">
        <w:rPr>
          <w:rFonts w:ascii="Open Sans" w:hAnsi="Open Sans" w:cs="Open Sans"/>
        </w:rPr>
        <w:t xml:space="preserve"> Scheme</w:t>
      </w:r>
      <w:r w:rsidRPr="00711933">
        <w:rPr>
          <w:rFonts w:ascii="Open Sans" w:hAnsi="Open Sans" w:cs="Open Sans"/>
        </w:rPr>
        <w:t xml:space="preserve">, </w:t>
      </w:r>
      <w:r w:rsidR="00C2731B">
        <w:rPr>
          <w:rFonts w:ascii="Open Sans" w:hAnsi="Open Sans" w:cs="Open Sans"/>
        </w:rPr>
        <w:t xml:space="preserve">the </w:t>
      </w:r>
      <w:r w:rsidRPr="00711933">
        <w:rPr>
          <w:rFonts w:ascii="Open Sans" w:hAnsi="Open Sans" w:cs="Open Sans"/>
        </w:rPr>
        <w:t xml:space="preserve">Renewable Obligation, </w:t>
      </w:r>
      <w:r w:rsidR="00C2731B">
        <w:rPr>
          <w:rFonts w:ascii="Open Sans" w:hAnsi="Open Sans" w:cs="Open Sans"/>
        </w:rPr>
        <w:t xml:space="preserve">the </w:t>
      </w:r>
      <w:r w:rsidRPr="00711933">
        <w:rPr>
          <w:rFonts w:ascii="Open Sans" w:hAnsi="Open Sans" w:cs="Open Sans"/>
        </w:rPr>
        <w:t>Renewable Transport Fuel Obligation</w:t>
      </w:r>
      <w:r w:rsidR="00C2731B">
        <w:rPr>
          <w:rFonts w:ascii="Open Sans" w:hAnsi="Open Sans" w:cs="Open Sans"/>
        </w:rPr>
        <w:t xml:space="preserve">, the </w:t>
      </w:r>
      <w:r w:rsidRPr="00711933">
        <w:rPr>
          <w:rFonts w:ascii="Open Sans" w:hAnsi="Open Sans" w:cs="Open Sans"/>
        </w:rPr>
        <w:t>Renewable Heat Incentive</w:t>
      </w:r>
      <w:r w:rsidR="00C2731B">
        <w:rPr>
          <w:rFonts w:ascii="Open Sans" w:hAnsi="Open Sans" w:cs="Open Sans"/>
        </w:rPr>
        <w:t xml:space="preserve"> and the Green Gas Support Scheme</w:t>
      </w:r>
      <w:r w:rsidRPr="00711933">
        <w:rPr>
          <w:rFonts w:ascii="Open Sans" w:hAnsi="Open Sans" w:cs="Open Sans"/>
        </w:rPr>
        <w:t xml:space="preserve">. History has shown that to facilitate production of a renewable energy (such as wind, biogas, solar) capital grant schemes have not </w:t>
      </w:r>
      <w:r w:rsidR="00FD2CE5">
        <w:rPr>
          <w:rFonts w:ascii="Open Sans" w:hAnsi="Open Sans" w:cs="Open Sans"/>
        </w:rPr>
        <w:t xml:space="preserve">always </w:t>
      </w:r>
      <w:r w:rsidRPr="00711933">
        <w:rPr>
          <w:rFonts w:ascii="Open Sans" w:hAnsi="Open Sans" w:cs="Open Sans"/>
        </w:rPr>
        <w:t xml:space="preserve">worked. Examples of this include the </w:t>
      </w:r>
      <w:hyperlink r:id="rId8" w:history="1">
        <w:r w:rsidR="0070483A" w:rsidRPr="0070483A">
          <w:rPr>
            <w:rStyle w:val="Hyperlink"/>
            <w:rFonts w:ascii="Open Sans" w:hAnsi="Open Sans" w:cs="Open Sans"/>
          </w:rPr>
          <w:t xml:space="preserve">Bioenergy </w:t>
        </w:r>
        <w:r w:rsidRPr="0070483A">
          <w:rPr>
            <w:rStyle w:val="Hyperlink"/>
            <w:rFonts w:ascii="Open Sans" w:hAnsi="Open Sans" w:cs="Open Sans"/>
          </w:rPr>
          <w:t>Capital Grant Scheme</w:t>
        </w:r>
      </w:hyperlink>
      <w:r w:rsidR="00FD2CE5">
        <w:rPr>
          <w:rFonts w:ascii="Open Sans" w:hAnsi="Open Sans" w:cs="Open Sans"/>
        </w:rPr>
        <w:t>, which has resulted in limited deployment.</w:t>
      </w:r>
      <w:r w:rsidRPr="00711933">
        <w:rPr>
          <w:rFonts w:ascii="Open Sans" w:hAnsi="Open Sans" w:cs="Open Sans"/>
        </w:rPr>
        <w:t xml:space="preserve"> Energy production developers look to de-risk the investment through having a regular payment for the energy produced. </w:t>
      </w:r>
    </w:p>
    <w:p w14:paraId="4CD88853" w14:textId="4BB4E854" w:rsidR="00894A30" w:rsidRPr="00711933" w:rsidRDefault="00894A30" w:rsidP="00894A30">
      <w:pPr>
        <w:jc w:val="both"/>
        <w:rPr>
          <w:rFonts w:ascii="Open Sans" w:hAnsi="Open Sans" w:cs="Open Sans"/>
        </w:rPr>
      </w:pPr>
      <w:r w:rsidRPr="00711933">
        <w:rPr>
          <w:rFonts w:ascii="Open Sans" w:hAnsi="Open Sans" w:cs="Open Sans"/>
        </w:rPr>
        <w:t xml:space="preserve">One of the critical risks to successful deployment and scaling up of low carbon hydrogen production in the UK is that currently the two sectors which will have ongoing policy support mechanisms in place </w:t>
      </w:r>
      <w:r w:rsidR="00AE613B">
        <w:rPr>
          <w:rFonts w:ascii="Open Sans" w:hAnsi="Open Sans" w:cs="Open Sans"/>
        </w:rPr>
        <w:t>are</w:t>
      </w:r>
      <w:r w:rsidRPr="00711933">
        <w:rPr>
          <w:rFonts w:ascii="Open Sans" w:hAnsi="Open Sans" w:cs="Open Sans"/>
        </w:rPr>
        <w:t xml:space="preserve"> the transport sector </w:t>
      </w:r>
      <w:r w:rsidR="00AE613B">
        <w:rPr>
          <w:rFonts w:ascii="Open Sans" w:hAnsi="Open Sans" w:cs="Open Sans"/>
        </w:rPr>
        <w:t xml:space="preserve">(under the RTFO) </w:t>
      </w:r>
      <w:r w:rsidRPr="00711933">
        <w:rPr>
          <w:rFonts w:ascii="Open Sans" w:hAnsi="Open Sans" w:cs="Open Sans"/>
        </w:rPr>
        <w:t xml:space="preserve">and the </w:t>
      </w:r>
      <w:r w:rsidR="00FD2CE5">
        <w:rPr>
          <w:rFonts w:ascii="Open Sans" w:hAnsi="Open Sans" w:cs="Open Sans"/>
        </w:rPr>
        <w:t>Commercial and Industrial (C&amp;I)</w:t>
      </w:r>
      <w:r w:rsidRPr="00711933">
        <w:rPr>
          <w:rFonts w:ascii="Open Sans" w:hAnsi="Open Sans" w:cs="Open Sans"/>
        </w:rPr>
        <w:t xml:space="preserve"> sector</w:t>
      </w:r>
      <w:r w:rsidR="00AE613B">
        <w:rPr>
          <w:rFonts w:ascii="Open Sans" w:hAnsi="Open Sans" w:cs="Open Sans"/>
        </w:rPr>
        <w:t xml:space="preserve"> (under the HBM</w:t>
      </w:r>
      <w:r w:rsidR="00C13587">
        <w:rPr>
          <w:rFonts w:ascii="Open Sans" w:hAnsi="Open Sans" w:cs="Open Sans"/>
        </w:rPr>
        <w:t xml:space="preserve">, </w:t>
      </w:r>
      <w:r w:rsidR="00AE613B">
        <w:rPr>
          <w:rFonts w:ascii="Open Sans" w:hAnsi="Open Sans" w:cs="Open Sans"/>
        </w:rPr>
        <w:t xml:space="preserve">which </w:t>
      </w:r>
      <w:r w:rsidR="00C13587">
        <w:rPr>
          <w:rFonts w:ascii="Open Sans" w:hAnsi="Open Sans" w:cs="Open Sans"/>
        </w:rPr>
        <w:t xml:space="preserve">appears to be </w:t>
      </w:r>
      <w:r w:rsidR="00AE613B">
        <w:rPr>
          <w:rFonts w:ascii="Open Sans" w:hAnsi="Open Sans" w:cs="Open Sans"/>
        </w:rPr>
        <w:t xml:space="preserve">particularly </w:t>
      </w:r>
      <w:r w:rsidR="00AE613B">
        <w:rPr>
          <w:rFonts w:ascii="Open Sans" w:hAnsi="Open Sans" w:cs="Open Sans"/>
        </w:rPr>
        <w:lastRenderedPageBreak/>
        <w:t>geared towards this end user type)</w:t>
      </w:r>
      <w:r w:rsidRPr="00711933">
        <w:rPr>
          <w:rFonts w:ascii="Open Sans" w:hAnsi="Open Sans" w:cs="Open Sans"/>
        </w:rPr>
        <w:t xml:space="preserve">. Both sectors require that project developers must align the production and demand of hydrogen to make a project viable. Furthermore, the creditworthiness of the demand has considerable importance as failure of demand or fluctuations in demand have a material impact on the financial performance of the investment. BEIS is looking to mitigate this in part with the </w:t>
      </w:r>
      <w:r w:rsidR="00AE613B">
        <w:rPr>
          <w:rFonts w:ascii="Open Sans" w:hAnsi="Open Sans" w:cs="Open Sans"/>
        </w:rPr>
        <w:t xml:space="preserve">proposed variable premium mechanism </w:t>
      </w:r>
      <w:r w:rsidRPr="00711933">
        <w:rPr>
          <w:rFonts w:ascii="Open Sans" w:hAnsi="Open Sans" w:cs="Open Sans"/>
        </w:rPr>
        <w:t>by having a ‘top-up’</w:t>
      </w:r>
      <w:r w:rsidR="00AE613B">
        <w:rPr>
          <w:rFonts w:ascii="Open Sans" w:hAnsi="Open Sans" w:cs="Open Sans"/>
        </w:rPr>
        <w:t>,</w:t>
      </w:r>
      <w:r w:rsidRPr="00711933">
        <w:rPr>
          <w:rFonts w:ascii="Open Sans" w:hAnsi="Open Sans" w:cs="Open Sans"/>
        </w:rPr>
        <w:t xml:space="preserve"> however the risk of being reliant on an end-use customer is still material and more complex to achieve. </w:t>
      </w:r>
    </w:p>
    <w:p w14:paraId="29F2B9A3" w14:textId="7641B8CD" w:rsidR="00894A30" w:rsidRPr="00711933" w:rsidRDefault="00894A30" w:rsidP="00894A30">
      <w:pPr>
        <w:jc w:val="both"/>
        <w:rPr>
          <w:rFonts w:ascii="Open Sans" w:hAnsi="Open Sans" w:cs="Open Sans"/>
        </w:rPr>
      </w:pPr>
      <w:r w:rsidRPr="00711933">
        <w:rPr>
          <w:rFonts w:ascii="Open Sans" w:hAnsi="Open Sans" w:cs="Open Sans"/>
        </w:rPr>
        <w:t xml:space="preserve">Comparing the early stage of the industry that is looking at hydrogen production against other sectors such as solar, wind and biogas generation, the key difference between hydrogen and the other sectors is that they did not rely on end-use customers but were able to connect their production facilities to the grid and dissipate the energy relatively easily through either a gas or </w:t>
      </w:r>
      <w:r w:rsidR="007E5F6A">
        <w:rPr>
          <w:rFonts w:ascii="Open Sans" w:hAnsi="Open Sans" w:cs="Open Sans"/>
        </w:rPr>
        <w:t>a</w:t>
      </w:r>
      <w:r w:rsidR="00FD2CE5">
        <w:rPr>
          <w:rFonts w:ascii="Open Sans" w:hAnsi="Open Sans" w:cs="Open Sans"/>
        </w:rPr>
        <w:t>n</w:t>
      </w:r>
      <w:r w:rsidR="007E5F6A">
        <w:rPr>
          <w:rFonts w:ascii="Open Sans" w:hAnsi="Open Sans" w:cs="Open Sans"/>
        </w:rPr>
        <w:t xml:space="preserve"> </w:t>
      </w:r>
      <w:r w:rsidRPr="00711933">
        <w:rPr>
          <w:rFonts w:ascii="Open Sans" w:hAnsi="Open Sans" w:cs="Open Sans"/>
        </w:rPr>
        <w:t xml:space="preserve">electricity supplier. The way in which Government is currently looking to create a low-carbon hydrogen production market is to rely solely on </w:t>
      </w:r>
      <w:r w:rsidR="007E5F6A">
        <w:rPr>
          <w:rFonts w:ascii="Open Sans" w:hAnsi="Open Sans" w:cs="Open Sans"/>
        </w:rPr>
        <w:t xml:space="preserve">the </w:t>
      </w:r>
      <w:r w:rsidRPr="00711933">
        <w:rPr>
          <w:rFonts w:ascii="Open Sans" w:hAnsi="Open Sans" w:cs="Open Sans"/>
        </w:rPr>
        <w:t xml:space="preserve">end-user demand rather than </w:t>
      </w:r>
      <w:r w:rsidR="007E5F6A">
        <w:rPr>
          <w:rFonts w:ascii="Open Sans" w:hAnsi="Open Sans" w:cs="Open Sans"/>
        </w:rPr>
        <w:t xml:space="preserve">the </w:t>
      </w:r>
      <w:r w:rsidRPr="00711933">
        <w:rPr>
          <w:rFonts w:ascii="Open Sans" w:hAnsi="Open Sans" w:cs="Open Sans"/>
        </w:rPr>
        <w:t xml:space="preserve">ability to inject </w:t>
      </w:r>
      <w:r w:rsidR="007E5F6A">
        <w:rPr>
          <w:rFonts w:ascii="Open Sans" w:hAnsi="Open Sans" w:cs="Open Sans"/>
        </w:rPr>
        <w:t xml:space="preserve">hydrogen </w:t>
      </w:r>
      <w:r w:rsidRPr="00711933">
        <w:rPr>
          <w:rFonts w:ascii="Open Sans" w:hAnsi="Open Sans" w:cs="Open Sans"/>
        </w:rPr>
        <w:t xml:space="preserve">into the grid. </w:t>
      </w:r>
    </w:p>
    <w:p w14:paraId="68D8B685" w14:textId="7650B4D6" w:rsidR="00266779" w:rsidRDefault="00894A30" w:rsidP="00894A30">
      <w:pPr>
        <w:jc w:val="both"/>
        <w:rPr>
          <w:rFonts w:ascii="Open Sans" w:hAnsi="Open Sans" w:cs="Open Sans"/>
        </w:rPr>
      </w:pPr>
      <w:r w:rsidRPr="00711933">
        <w:rPr>
          <w:rFonts w:ascii="Open Sans" w:hAnsi="Open Sans" w:cs="Open Sans"/>
        </w:rPr>
        <w:t xml:space="preserve">We can see in the past how impactful this has been when we look at the biogas sector, whereby developers have historically had an option to produce biogas for mobility (through </w:t>
      </w:r>
      <w:r w:rsidR="00060338">
        <w:rPr>
          <w:rFonts w:ascii="Open Sans" w:hAnsi="Open Sans" w:cs="Open Sans"/>
        </w:rPr>
        <w:t>the Renewable Transport Fuel Obligation/RTFO</w:t>
      </w:r>
      <w:r w:rsidRPr="00711933">
        <w:rPr>
          <w:rFonts w:ascii="Open Sans" w:hAnsi="Open Sans" w:cs="Open Sans"/>
        </w:rPr>
        <w:t>)</w:t>
      </w:r>
      <w:r w:rsidR="007E5F6A">
        <w:rPr>
          <w:rFonts w:ascii="Open Sans" w:hAnsi="Open Sans" w:cs="Open Sans"/>
        </w:rPr>
        <w:t xml:space="preserve">, </w:t>
      </w:r>
      <w:r w:rsidRPr="00711933">
        <w:rPr>
          <w:rFonts w:ascii="Open Sans" w:hAnsi="Open Sans" w:cs="Open Sans"/>
        </w:rPr>
        <w:t>and also for gas injection. One of the key barriers to developers having relied solely on mobility was that it created greater investment risk due to the uncertainty of demand</w:t>
      </w:r>
      <w:r w:rsidR="007E5F6A">
        <w:rPr>
          <w:rFonts w:ascii="Open Sans" w:hAnsi="Open Sans" w:cs="Open Sans"/>
        </w:rPr>
        <w:t xml:space="preserve">, combined with the volatility of the value of the RTFCs. </w:t>
      </w:r>
      <w:r w:rsidRPr="00711933">
        <w:rPr>
          <w:rFonts w:ascii="Open Sans" w:hAnsi="Open Sans" w:cs="Open Sans"/>
        </w:rPr>
        <w:t>Similarly</w:t>
      </w:r>
      <w:r w:rsidR="007E5F6A">
        <w:rPr>
          <w:rFonts w:ascii="Open Sans" w:hAnsi="Open Sans" w:cs="Open Sans"/>
        </w:rPr>
        <w:t>,</w:t>
      </w:r>
      <w:r w:rsidRPr="00711933">
        <w:rPr>
          <w:rFonts w:ascii="Open Sans" w:hAnsi="Open Sans" w:cs="Open Sans"/>
        </w:rPr>
        <w:t xml:space="preserve"> ‘private-wired’ wind and solar assets are more common today, but at the start of the sector nearly all projects were grid connected.  </w:t>
      </w:r>
      <w:r w:rsidR="00266779">
        <w:rPr>
          <w:rFonts w:ascii="Open Sans" w:hAnsi="Open Sans" w:cs="Open Sans"/>
        </w:rPr>
        <w:t xml:space="preserve">The RTFC mechanism now works well but this is </w:t>
      </w:r>
      <w:r w:rsidR="00060338">
        <w:rPr>
          <w:rFonts w:ascii="Open Sans" w:hAnsi="Open Sans" w:cs="Open Sans"/>
        </w:rPr>
        <w:t xml:space="preserve">normally </w:t>
      </w:r>
      <w:r w:rsidR="00266779">
        <w:rPr>
          <w:rFonts w:ascii="Open Sans" w:hAnsi="Open Sans" w:cs="Open Sans"/>
        </w:rPr>
        <w:t>achieved via mass balancing so the waste derived biomethane is injected into the gas grid at the AD plant and taken out at the truck depot. Less than 1% of RTFC</w:t>
      </w:r>
      <w:r w:rsidR="00060338">
        <w:rPr>
          <w:rFonts w:ascii="Open Sans" w:hAnsi="Open Sans" w:cs="Open Sans"/>
        </w:rPr>
        <w:t>s</w:t>
      </w:r>
      <w:r w:rsidR="00266779">
        <w:rPr>
          <w:rFonts w:ascii="Open Sans" w:hAnsi="Open Sans" w:cs="Open Sans"/>
        </w:rPr>
        <w:t xml:space="preserve"> </w:t>
      </w:r>
      <w:r w:rsidR="00060338">
        <w:rPr>
          <w:rFonts w:ascii="Open Sans" w:hAnsi="Open Sans" w:cs="Open Sans"/>
        </w:rPr>
        <w:t>are</w:t>
      </w:r>
      <w:r w:rsidR="00266779">
        <w:rPr>
          <w:rFonts w:ascii="Open Sans" w:hAnsi="Open Sans" w:cs="Open Sans"/>
        </w:rPr>
        <w:t xml:space="preserve"> directly generated biomethane going into trucks and no compressed or liquid biomethane is moved by road.</w:t>
      </w:r>
    </w:p>
    <w:p w14:paraId="5ADD292A" w14:textId="2D24DE51" w:rsidR="00266779" w:rsidRDefault="00266779" w:rsidP="00894A30">
      <w:pPr>
        <w:jc w:val="both"/>
        <w:rPr>
          <w:rFonts w:ascii="Open Sans" w:hAnsi="Open Sans" w:cs="Open Sans"/>
        </w:rPr>
      </w:pPr>
      <w:r>
        <w:rPr>
          <w:rFonts w:ascii="Open Sans" w:hAnsi="Open Sans" w:cs="Open Sans"/>
        </w:rPr>
        <w:t xml:space="preserve">Hydrogen is very expensive to move by road in compressed form with only around </w:t>
      </w:r>
      <w:r w:rsidR="00060338">
        <w:rPr>
          <w:rFonts w:ascii="Open Sans" w:hAnsi="Open Sans" w:cs="Open Sans"/>
        </w:rPr>
        <w:t>one third</w:t>
      </w:r>
      <w:r>
        <w:rPr>
          <w:rFonts w:ascii="Open Sans" w:hAnsi="Open Sans" w:cs="Open Sans"/>
        </w:rPr>
        <w:t xml:space="preserve"> of the energy moved compared to moving natural gas. Liquid </w:t>
      </w:r>
      <w:r w:rsidR="00060338">
        <w:rPr>
          <w:rFonts w:ascii="Open Sans" w:hAnsi="Open Sans" w:cs="Open Sans"/>
        </w:rPr>
        <w:t>hydrogen</w:t>
      </w:r>
      <w:r>
        <w:rPr>
          <w:rFonts w:ascii="Open Sans" w:hAnsi="Open Sans" w:cs="Open Sans"/>
        </w:rPr>
        <w:t xml:space="preserve"> is not produced in the UK but requires around 30% of the energy in the </w:t>
      </w:r>
      <w:r w:rsidR="00060338">
        <w:rPr>
          <w:rFonts w:ascii="Open Sans" w:hAnsi="Open Sans" w:cs="Open Sans"/>
        </w:rPr>
        <w:t>hydrogen</w:t>
      </w:r>
      <w:r>
        <w:rPr>
          <w:rFonts w:ascii="Open Sans" w:hAnsi="Open Sans" w:cs="Open Sans"/>
        </w:rPr>
        <w:t xml:space="preserve"> to make it. In addition to the difficulty of moving large volumes of hydrogen by road, UK safety legislation (in particular Hazardous Substances Consent and COMAH) restrict</w:t>
      </w:r>
      <w:r w:rsidR="00510027">
        <w:rPr>
          <w:rFonts w:ascii="Open Sans" w:hAnsi="Open Sans" w:cs="Open Sans"/>
        </w:rPr>
        <w:t>s</w:t>
      </w:r>
      <w:r>
        <w:rPr>
          <w:rFonts w:ascii="Open Sans" w:hAnsi="Open Sans" w:cs="Open Sans"/>
        </w:rPr>
        <w:t xml:space="preserve"> how much hydrogen can be stored above ground on a site which effective means hydrogen delivered by road is not</w:t>
      </w:r>
      <w:r w:rsidR="00510027">
        <w:rPr>
          <w:rFonts w:ascii="Open Sans" w:hAnsi="Open Sans" w:cs="Open Sans"/>
        </w:rPr>
        <w:t xml:space="preserve"> </w:t>
      </w:r>
      <w:r>
        <w:rPr>
          <w:rFonts w:ascii="Open Sans" w:hAnsi="Open Sans" w:cs="Open Sans"/>
        </w:rPr>
        <w:t>a viable option for most industry</w:t>
      </w:r>
      <w:r w:rsidR="00510027">
        <w:rPr>
          <w:rFonts w:ascii="Open Sans" w:hAnsi="Open Sans" w:cs="Open Sans"/>
        </w:rPr>
        <w:t xml:space="preserve">. </w:t>
      </w:r>
    </w:p>
    <w:p w14:paraId="255B0427" w14:textId="32C4FC4A" w:rsidR="00894A30" w:rsidRPr="00711933" w:rsidRDefault="00266779" w:rsidP="00894A30">
      <w:pPr>
        <w:jc w:val="both"/>
        <w:rPr>
          <w:rFonts w:ascii="Open Sans" w:hAnsi="Open Sans" w:cs="Open Sans"/>
        </w:rPr>
      </w:pPr>
      <w:r>
        <w:rPr>
          <w:rFonts w:ascii="Open Sans" w:hAnsi="Open Sans" w:cs="Open Sans"/>
        </w:rPr>
        <w:t>Given the experience of biomethane, the safety and low density of hydrogen, b</w:t>
      </w:r>
      <w:r w:rsidR="00894A30" w:rsidRPr="00711933">
        <w:rPr>
          <w:rFonts w:ascii="Open Sans" w:hAnsi="Open Sans" w:cs="Open Sans"/>
        </w:rPr>
        <w:t xml:space="preserve">lending of hydrogen is crucial </w:t>
      </w:r>
      <w:r>
        <w:rPr>
          <w:rFonts w:ascii="Open Sans" w:hAnsi="Open Sans" w:cs="Open Sans"/>
        </w:rPr>
        <w:t xml:space="preserve">in the first years of the electrolyser market </w:t>
      </w:r>
      <w:r w:rsidR="00894A30" w:rsidRPr="00711933">
        <w:rPr>
          <w:rFonts w:ascii="Open Sans" w:hAnsi="Open Sans" w:cs="Open Sans"/>
        </w:rPr>
        <w:t xml:space="preserve">as it allows a materially lower risk option for hydrogen production developers to be able to develop projects, fund and build them, with the ability to inject directly into the </w:t>
      </w:r>
      <w:r>
        <w:rPr>
          <w:rFonts w:ascii="Open Sans" w:hAnsi="Open Sans" w:cs="Open Sans"/>
        </w:rPr>
        <w:t xml:space="preserve">existing gas </w:t>
      </w:r>
      <w:r w:rsidR="00894A30" w:rsidRPr="00711933">
        <w:rPr>
          <w:rFonts w:ascii="Open Sans" w:hAnsi="Open Sans" w:cs="Open Sans"/>
        </w:rPr>
        <w:t>grid. This materially de-risks the project</w:t>
      </w:r>
      <w:r>
        <w:rPr>
          <w:rFonts w:ascii="Open Sans" w:hAnsi="Open Sans" w:cs="Open Sans"/>
        </w:rPr>
        <w:t xml:space="preserve"> and, </w:t>
      </w:r>
      <w:r w:rsidR="00894A30" w:rsidRPr="00711933">
        <w:rPr>
          <w:rFonts w:ascii="Open Sans" w:hAnsi="Open Sans" w:cs="Open Sans"/>
        </w:rPr>
        <w:t>crucially</w:t>
      </w:r>
      <w:r>
        <w:rPr>
          <w:rFonts w:ascii="Open Sans" w:hAnsi="Open Sans" w:cs="Open Sans"/>
        </w:rPr>
        <w:t>,</w:t>
      </w:r>
      <w:r w:rsidR="00894A30" w:rsidRPr="00711933">
        <w:rPr>
          <w:rFonts w:ascii="Open Sans" w:hAnsi="Open Sans" w:cs="Open Sans"/>
        </w:rPr>
        <w:t xml:space="preserve"> allows for a much larger </w:t>
      </w:r>
      <w:r w:rsidR="002E325B" w:rsidRPr="00711933">
        <w:rPr>
          <w:rFonts w:ascii="Open Sans" w:hAnsi="Open Sans" w:cs="Open Sans"/>
        </w:rPr>
        <w:t>up</w:t>
      </w:r>
      <w:r w:rsidR="002E325B">
        <w:rPr>
          <w:rFonts w:ascii="Open Sans" w:hAnsi="Open Sans" w:cs="Open Sans"/>
        </w:rPr>
        <w:t xml:space="preserve">take </w:t>
      </w:r>
      <w:r w:rsidR="00894A30" w:rsidRPr="00711933">
        <w:rPr>
          <w:rFonts w:ascii="Open Sans" w:hAnsi="Open Sans" w:cs="Open Sans"/>
        </w:rPr>
        <w:t xml:space="preserve">of hydrogen production. Once this production is in place, Government </w:t>
      </w:r>
      <w:r>
        <w:rPr>
          <w:rFonts w:ascii="Open Sans" w:hAnsi="Open Sans" w:cs="Open Sans"/>
        </w:rPr>
        <w:t xml:space="preserve">can see the benefits of new dedicated hydrogen pipelines that can take advantage of a certain amount of this hydrogen production, provide a link to the blue hydrogen CCUS clusters and provide hydrogen via pipeline to industrial customers and truck filling stations. This approach </w:t>
      </w:r>
      <w:r>
        <w:rPr>
          <w:rFonts w:ascii="Open Sans" w:hAnsi="Open Sans" w:cs="Open Sans"/>
        </w:rPr>
        <w:lastRenderedPageBreak/>
        <w:t>allows the hydrogen production market to develop without having to wait for new dedicated hydrogen pipelines which may take 10 years or more.</w:t>
      </w:r>
    </w:p>
    <w:p w14:paraId="2FBB1A3F" w14:textId="583FAD9E" w:rsidR="00894A30" w:rsidRPr="00711933" w:rsidRDefault="00894A30" w:rsidP="00894A30">
      <w:pPr>
        <w:jc w:val="both"/>
        <w:rPr>
          <w:rFonts w:ascii="Open Sans" w:hAnsi="Open Sans" w:cs="Open Sans"/>
        </w:rPr>
      </w:pPr>
      <w:r w:rsidRPr="00711933">
        <w:rPr>
          <w:rFonts w:ascii="Open Sans" w:hAnsi="Open Sans" w:cs="Open Sans"/>
        </w:rPr>
        <w:t xml:space="preserve">Even a relatively small blending acceptance will generate a significant demand for hydrogen on the network. With the current gas demand of 800TWh, 20% </w:t>
      </w:r>
      <w:r w:rsidR="00266779">
        <w:rPr>
          <w:rFonts w:ascii="Open Sans" w:hAnsi="Open Sans" w:cs="Open Sans"/>
        </w:rPr>
        <w:t xml:space="preserve">volume </w:t>
      </w:r>
      <w:r w:rsidRPr="00711933">
        <w:rPr>
          <w:rFonts w:ascii="Open Sans" w:hAnsi="Open Sans" w:cs="Open Sans"/>
        </w:rPr>
        <w:t xml:space="preserve">blend </w:t>
      </w:r>
      <w:r w:rsidR="00266779">
        <w:rPr>
          <w:rFonts w:ascii="Open Sans" w:hAnsi="Open Sans" w:cs="Open Sans"/>
        </w:rPr>
        <w:t xml:space="preserve">gives </w:t>
      </w:r>
      <w:r w:rsidRPr="00711933">
        <w:rPr>
          <w:rFonts w:ascii="Open Sans" w:hAnsi="Open Sans" w:cs="Open Sans"/>
        </w:rPr>
        <w:t xml:space="preserve">around 64TWh </w:t>
      </w:r>
      <w:r w:rsidR="00266779">
        <w:rPr>
          <w:rFonts w:ascii="Open Sans" w:hAnsi="Open Sans" w:cs="Open Sans"/>
        </w:rPr>
        <w:t xml:space="preserve">of hydrogen </w:t>
      </w:r>
      <w:r w:rsidR="00A0010C">
        <w:rPr>
          <w:rFonts w:ascii="Open Sans" w:hAnsi="Open Sans" w:cs="Open Sans"/>
        </w:rPr>
        <w:t xml:space="preserve">(to put this in context, the Government have </w:t>
      </w:r>
      <w:r w:rsidR="0036797F">
        <w:rPr>
          <w:rFonts w:ascii="Open Sans" w:hAnsi="Open Sans" w:cs="Open Sans"/>
        </w:rPr>
        <w:t>set an ambition</w:t>
      </w:r>
      <w:r w:rsidR="0036797F" w:rsidRPr="0036797F">
        <w:rPr>
          <w:rFonts w:ascii="Open Sans" w:hAnsi="Open Sans" w:cs="Open Sans"/>
        </w:rPr>
        <w:t xml:space="preserve"> to deliver 5 GW hydrogen production capacity by 2030, expected to provide up to 42 </w:t>
      </w:r>
      <w:proofErr w:type="spellStart"/>
      <w:r w:rsidR="0036797F" w:rsidRPr="0036797F">
        <w:rPr>
          <w:rFonts w:ascii="Open Sans" w:hAnsi="Open Sans" w:cs="Open Sans"/>
        </w:rPr>
        <w:t>TWh</w:t>
      </w:r>
      <w:proofErr w:type="spellEnd"/>
      <w:r w:rsidR="0036797F" w:rsidRPr="0036797F">
        <w:rPr>
          <w:rFonts w:ascii="Open Sans" w:hAnsi="Open Sans" w:cs="Open Sans"/>
        </w:rPr>
        <w:t xml:space="preserve"> of low carbon hydrogen</w:t>
      </w:r>
      <w:r w:rsidR="0036797F">
        <w:rPr>
          <w:rFonts w:ascii="Open Sans" w:hAnsi="Open Sans" w:cs="Open Sans"/>
        </w:rPr>
        <w:t>)</w:t>
      </w:r>
      <w:r w:rsidR="0036797F" w:rsidRPr="0036797F">
        <w:rPr>
          <w:rFonts w:ascii="Open Sans" w:hAnsi="Open Sans" w:cs="Open Sans"/>
        </w:rPr>
        <w:t>.</w:t>
      </w:r>
      <w:r w:rsidR="00266779">
        <w:rPr>
          <w:rFonts w:ascii="Open Sans" w:hAnsi="Open Sans" w:cs="Open Sans"/>
        </w:rPr>
        <w:t xml:space="preserve"> Realistically a target of 10% blend by 2030 is around 4% by energy and 32 </w:t>
      </w:r>
      <w:proofErr w:type="spellStart"/>
      <w:r w:rsidR="00266779">
        <w:rPr>
          <w:rFonts w:ascii="Open Sans" w:hAnsi="Open Sans" w:cs="Open Sans"/>
        </w:rPr>
        <w:t>TWh</w:t>
      </w:r>
      <w:proofErr w:type="spellEnd"/>
      <w:r w:rsidR="00266779">
        <w:rPr>
          <w:rFonts w:ascii="Open Sans" w:hAnsi="Open Sans" w:cs="Open Sans"/>
        </w:rPr>
        <w:t xml:space="preserve">/annum. Going alongside hydrogen made at industrial sites using renewable electricity delivered by wire, this gives a good chance of </w:t>
      </w:r>
      <w:r w:rsidR="002A0285">
        <w:rPr>
          <w:rFonts w:ascii="Open Sans" w:hAnsi="Open Sans" w:cs="Open Sans"/>
        </w:rPr>
        <w:t xml:space="preserve">meeting or even </w:t>
      </w:r>
      <w:r w:rsidR="00266779">
        <w:rPr>
          <w:rFonts w:ascii="Open Sans" w:hAnsi="Open Sans" w:cs="Open Sans"/>
        </w:rPr>
        <w:t>exceeding the Gov</w:t>
      </w:r>
      <w:r w:rsidR="00510027">
        <w:rPr>
          <w:rFonts w:ascii="Open Sans" w:hAnsi="Open Sans" w:cs="Open Sans"/>
        </w:rPr>
        <w:t>ernment</w:t>
      </w:r>
      <w:r w:rsidR="00266779">
        <w:rPr>
          <w:rFonts w:ascii="Open Sans" w:hAnsi="Open Sans" w:cs="Open Sans"/>
        </w:rPr>
        <w:t xml:space="preserve"> 2030 target.</w:t>
      </w:r>
    </w:p>
    <w:p w14:paraId="37EAA0B4" w14:textId="77777777" w:rsidR="00894A30" w:rsidRPr="00711933" w:rsidRDefault="00894A30" w:rsidP="00894A30">
      <w:pPr>
        <w:jc w:val="both"/>
        <w:rPr>
          <w:rFonts w:ascii="Open Sans" w:hAnsi="Open Sans" w:cs="Open Sans"/>
        </w:rPr>
      </w:pPr>
    </w:p>
    <w:p w14:paraId="3F23ED9C" w14:textId="6D8729EC" w:rsidR="00894A30" w:rsidRPr="005B56CF" w:rsidRDefault="00894A30" w:rsidP="005B56CF">
      <w:pPr>
        <w:pStyle w:val="Heading1"/>
        <w:rPr>
          <w:rFonts w:ascii="Open Sans" w:hAnsi="Open Sans" w:cs="Open Sans"/>
        </w:rPr>
      </w:pPr>
      <w:bookmarkStart w:id="1" w:name="_The_longer-term_case"/>
      <w:bookmarkEnd w:id="1"/>
      <w:r w:rsidRPr="005B56CF">
        <w:rPr>
          <w:rFonts w:ascii="Open Sans" w:hAnsi="Open Sans" w:cs="Open Sans"/>
        </w:rPr>
        <w:t>The longer-term case for hydrogen blending</w:t>
      </w:r>
    </w:p>
    <w:p w14:paraId="605F59CE" w14:textId="205F7A50" w:rsidR="00894A30" w:rsidRPr="00711933" w:rsidRDefault="00894A30" w:rsidP="00894A30">
      <w:pPr>
        <w:jc w:val="both"/>
        <w:rPr>
          <w:rFonts w:ascii="Open Sans" w:hAnsi="Open Sans" w:cs="Open Sans"/>
        </w:rPr>
      </w:pPr>
      <w:r w:rsidRPr="00711933">
        <w:rPr>
          <w:rFonts w:ascii="Open Sans" w:hAnsi="Open Sans" w:cs="Open Sans"/>
        </w:rPr>
        <w:t xml:space="preserve">The UK Government is committed to decarbonising electricity by 2035. This will require significantly more electrical generation to be installed in the UK. In 2020, curtailment costs were c. </w:t>
      </w:r>
      <w:r w:rsidR="0057478B">
        <w:rPr>
          <w:rFonts w:ascii="Open Sans" w:hAnsi="Open Sans" w:cs="Open Sans"/>
        </w:rPr>
        <w:t xml:space="preserve">£ </w:t>
      </w:r>
      <w:r w:rsidRPr="00711933">
        <w:rPr>
          <w:rFonts w:ascii="Open Sans" w:hAnsi="Open Sans" w:cs="Open Sans"/>
        </w:rPr>
        <w:t>250m</w:t>
      </w:r>
      <w:r w:rsidR="0057478B">
        <w:rPr>
          <w:rFonts w:ascii="Open Sans" w:hAnsi="Open Sans" w:cs="Open Sans"/>
        </w:rPr>
        <w:t>illion</w:t>
      </w:r>
      <w:r w:rsidRPr="00711933">
        <w:rPr>
          <w:rFonts w:ascii="Open Sans" w:hAnsi="Open Sans" w:cs="Open Sans"/>
        </w:rPr>
        <w:t xml:space="preserve"> according to Bloomberg. A paper released by Edinburgh University “Utility-scale subsurface hydrogen storage: UK perspectives and technology” estimates that wind production alone could result in 7.72TWh of curtailed generation by 2030. Reports from the </w:t>
      </w:r>
      <w:r w:rsidR="00C13587">
        <w:rPr>
          <w:rFonts w:ascii="Open Sans" w:hAnsi="Open Sans" w:cs="Open Sans"/>
        </w:rPr>
        <w:t>Climate Change Committee</w:t>
      </w:r>
      <w:r w:rsidR="00C13587" w:rsidRPr="00711933">
        <w:rPr>
          <w:rFonts w:ascii="Open Sans" w:hAnsi="Open Sans" w:cs="Open Sans"/>
        </w:rPr>
        <w:t xml:space="preserve"> </w:t>
      </w:r>
      <w:r w:rsidRPr="00711933">
        <w:rPr>
          <w:rFonts w:ascii="Open Sans" w:hAnsi="Open Sans" w:cs="Open Sans"/>
        </w:rPr>
        <w:t>also show significant curtailment of power as shown below:</w:t>
      </w:r>
    </w:p>
    <w:p w14:paraId="3B5C361D" w14:textId="7A38872C" w:rsidR="00C13587" w:rsidRDefault="00DF794E" w:rsidP="00C13587">
      <w:pPr>
        <w:jc w:val="center"/>
        <w:rPr>
          <w:rFonts w:ascii="Open Sans" w:hAnsi="Open Sans" w:cs="Open Sans"/>
        </w:rPr>
      </w:pPr>
      <w:r w:rsidRPr="00DF794E">
        <w:rPr>
          <w:rFonts w:ascii="Open Sans" w:hAnsi="Open Sans" w:cs="Open Sans"/>
          <w:noProof/>
        </w:rPr>
        <mc:AlternateContent>
          <mc:Choice Requires="wps">
            <w:drawing>
              <wp:anchor distT="45720" distB="45720" distL="114300" distR="114300" simplePos="0" relativeHeight="251659264" behindDoc="1" locked="0" layoutInCell="1" allowOverlap="1" wp14:anchorId="7A188AB1" wp14:editId="55987C8F">
                <wp:simplePos x="0" y="0"/>
                <wp:positionH relativeFrom="column">
                  <wp:posOffset>769620</wp:posOffset>
                </wp:positionH>
                <wp:positionV relativeFrom="paragraph">
                  <wp:posOffset>4010660</wp:posOffset>
                </wp:positionV>
                <wp:extent cx="4756150" cy="1404620"/>
                <wp:effectExtent l="0" t="0" r="6350" b="0"/>
                <wp:wrapThrough wrapText="bothSides">
                  <wp:wrapPolygon edited="0">
                    <wp:start x="0" y="0"/>
                    <wp:lineTo x="0" y="20250"/>
                    <wp:lineTo x="21542" y="20250"/>
                    <wp:lineTo x="2154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solidFill>
                          <a:srgbClr val="FFFFFF"/>
                        </a:solidFill>
                        <a:ln w="9525">
                          <a:noFill/>
                          <a:miter lim="800000"/>
                          <a:headEnd/>
                          <a:tailEnd/>
                        </a:ln>
                      </wps:spPr>
                      <wps:txbx>
                        <w:txbxContent>
                          <w:p w14:paraId="54D3801C" w14:textId="250ECB6D" w:rsidR="00DF794E" w:rsidRDefault="00DF794E">
                            <w:r>
                              <w:t xml:space="preserve">Source: CCC, Sixth Carbon Budget </w:t>
                            </w:r>
                            <w:hyperlink r:id="rId9" w:history="1">
                              <w:r w:rsidRPr="00DF794E">
                                <w:rPr>
                                  <w:rStyle w:val="Hyperlink"/>
                                </w:rPr>
                                <w:t>Report</w:t>
                              </w:r>
                            </w:hyperlink>
                            <w:r>
                              <w:t>, December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88AB1" id="_x0000_t202" coordsize="21600,21600" o:spt="202" path="m,l,21600r21600,l21600,xe">
                <v:stroke joinstyle="miter"/>
                <v:path gradientshapeok="t" o:connecttype="rect"/>
              </v:shapetype>
              <v:shape id="Text Box 2" o:spid="_x0000_s1026" type="#_x0000_t202" style="position:absolute;left:0;text-align:left;margin-left:60.6pt;margin-top:315.8pt;width:37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uxDQIAAPc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" stroked="f">
                <v:textbox style="mso-fit-shape-to-text:t">
                  <w:txbxContent>
                    <w:p w14:paraId="54D3801C" w14:textId="250ECB6D" w:rsidR="00DF794E" w:rsidRDefault="00DF794E">
                      <w:r>
                        <w:t xml:space="preserve">Source: CCC, Sixth Carbon Budget </w:t>
                      </w:r>
                      <w:hyperlink r:id="rId10" w:history="1">
                        <w:r w:rsidRPr="00DF794E">
                          <w:rPr>
                            <w:rStyle w:val="Hyperlink"/>
                          </w:rPr>
                          <w:t>Report</w:t>
                        </w:r>
                      </w:hyperlink>
                      <w:r>
                        <w:t>, December 2020</w:t>
                      </w:r>
                    </w:p>
                  </w:txbxContent>
                </v:textbox>
                <w10:wrap type="through"/>
              </v:shape>
            </w:pict>
          </mc:Fallback>
        </mc:AlternateContent>
      </w:r>
      <w:r w:rsidR="00894A30" w:rsidRPr="00711933">
        <w:rPr>
          <w:rFonts w:ascii="Open Sans" w:hAnsi="Open Sans" w:cs="Open Sans"/>
          <w:noProof/>
        </w:rPr>
        <w:drawing>
          <wp:inline distT="0" distB="0" distL="0" distR="0" wp14:anchorId="5E886D6C" wp14:editId="21365ACA">
            <wp:extent cx="4164330" cy="3813606"/>
            <wp:effectExtent l="19050" t="19050" r="26670" b="1587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r="2438"/>
                    <a:stretch/>
                  </pic:blipFill>
                  <pic:spPr bwMode="auto">
                    <a:xfrm>
                      <a:off x="0" y="0"/>
                      <a:ext cx="4296914" cy="3935024"/>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6E2C948B" w14:textId="165FF4A1" w:rsidR="00894A30" w:rsidRPr="00711933" w:rsidRDefault="00894A30" w:rsidP="0045164E">
      <w:pPr>
        <w:jc w:val="center"/>
        <w:rPr>
          <w:rFonts w:ascii="Open Sans" w:hAnsi="Open Sans" w:cs="Open Sans"/>
        </w:rPr>
      </w:pPr>
      <w:r w:rsidRPr="00711933">
        <w:rPr>
          <w:rFonts w:ascii="Open Sans" w:hAnsi="Open Sans" w:cs="Open Sans"/>
          <w:noProof/>
        </w:rPr>
        <w:lastRenderedPageBreak/>
        <w:drawing>
          <wp:inline distT="0" distB="0" distL="0" distR="0" wp14:anchorId="0A2C31B2" wp14:editId="2DE1B4EA">
            <wp:extent cx="4842207" cy="3316816"/>
            <wp:effectExtent l="19050" t="19050" r="15875" b="1714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2424" r="2101"/>
                    <a:stretch/>
                  </pic:blipFill>
                  <pic:spPr bwMode="auto">
                    <a:xfrm>
                      <a:off x="0" y="0"/>
                      <a:ext cx="4943039" cy="3385884"/>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473C0A96" w14:textId="3A1E3205" w:rsidR="00DF794E" w:rsidRDefault="00DF794E" w:rsidP="00894A30">
      <w:pPr>
        <w:jc w:val="both"/>
        <w:rPr>
          <w:rFonts w:ascii="Open Sans" w:hAnsi="Open Sans" w:cs="Open Sans"/>
        </w:rPr>
      </w:pPr>
      <w:r w:rsidRPr="00DF794E">
        <w:rPr>
          <w:rFonts w:ascii="Open Sans" w:hAnsi="Open Sans" w:cs="Open Sans"/>
          <w:noProof/>
        </w:rPr>
        <mc:AlternateContent>
          <mc:Choice Requires="wps">
            <w:drawing>
              <wp:anchor distT="45720" distB="45720" distL="114300" distR="114300" simplePos="0" relativeHeight="251661312" behindDoc="1" locked="0" layoutInCell="1" allowOverlap="1" wp14:anchorId="3371CC20" wp14:editId="67F837BE">
                <wp:simplePos x="0" y="0"/>
                <wp:positionH relativeFrom="column">
                  <wp:posOffset>502920</wp:posOffset>
                </wp:positionH>
                <wp:positionV relativeFrom="paragraph">
                  <wp:posOffset>6985</wp:posOffset>
                </wp:positionV>
                <wp:extent cx="4756150" cy="1404620"/>
                <wp:effectExtent l="0" t="0" r="6350" b="0"/>
                <wp:wrapThrough wrapText="bothSides">
                  <wp:wrapPolygon edited="0">
                    <wp:start x="0" y="0"/>
                    <wp:lineTo x="0" y="20250"/>
                    <wp:lineTo x="21542" y="20250"/>
                    <wp:lineTo x="21542"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solidFill>
                          <a:srgbClr val="FFFFFF"/>
                        </a:solidFill>
                        <a:ln w="9525">
                          <a:noFill/>
                          <a:miter lim="800000"/>
                          <a:headEnd/>
                          <a:tailEnd/>
                        </a:ln>
                      </wps:spPr>
                      <wps:txbx>
                        <w:txbxContent>
                          <w:p w14:paraId="5C074244" w14:textId="77777777" w:rsidR="00DF794E" w:rsidRDefault="00DF794E" w:rsidP="00DF794E">
                            <w:r>
                              <w:t xml:space="preserve">Source: CCC, Sixth Carbon Budget </w:t>
                            </w:r>
                            <w:hyperlink r:id="rId15" w:history="1">
                              <w:r w:rsidRPr="00DF794E">
                                <w:rPr>
                                  <w:rStyle w:val="Hyperlink"/>
                                </w:rPr>
                                <w:t>Report</w:t>
                              </w:r>
                            </w:hyperlink>
                            <w:r>
                              <w:t>, December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1CC20" id="_x0000_s1027" type="#_x0000_t202" style="position:absolute;left:0;text-align:left;margin-left:39.6pt;margin-top:.55pt;width:374.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OQEAIAAP4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" stroked="f">
                <v:textbox style="mso-fit-shape-to-text:t">
                  <w:txbxContent>
                    <w:p w14:paraId="5C074244" w14:textId="77777777" w:rsidR="00DF794E" w:rsidRDefault="00DF794E" w:rsidP="00DF794E">
                      <w:r>
                        <w:t xml:space="preserve">Source: CCC, Sixth Carbon Budget </w:t>
                      </w:r>
                      <w:hyperlink r:id="rId16" w:history="1">
                        <w:r w:rsidRPr="00DF794E">
                          <w:rPr>
                            <w:rStyle w:val="Hyperlink"/>
                          </w:rPr>
                          <w:t>Report</w:t>
                        </w:r>
                      </w:hyperlink>
                      <w:r>
                        <w:t>, December 2020</w:t>
                      </w:r>
                    </w:p>
                  </w:txbxContent>
                </v:textbox>
                <w10:wrap type="through"/>
              </v:shape>
            </w:pict>
          </mc:Fallback>
        </mc:AlternateContent>
      </w:r>
    </w:p>
    <w:p w14:paraId="7A6CADB7" w14:textId="77777777" w:rsidR="00DF794E" w:rsidRDefault="00DF794E" w:rsidP="00894A30">
      <w:pPr>
        <w:jc w:val="both"/>
        <w:rPr>
          <w:rFonts w:ascii="Open Sans" w:hAnsi="Open Sans" w:cs="Open Sans"/>
        </w:rPr>
      </w:pPr>
    </w:p>
    <w:p w14:paraId="3F4B8631" w14:textId="5F5C7E78" w:rsidR="00894A30" w:rsidRPr="00711933" w:rsidRDefault="00894A30" w:rsidP="00894A30">
      <w:pPr>
        <w:jc w:val="both"/>
        <w:rPr>
          <w:rFonts w:ascii="Open Sans" w:hAnsi="Open Sans" w:cs="Open Sans"/>
        </w:rPr>
      </w:pPr>
      <w:r w:rsidRPr="00711933">
        <w:rPr>
          <w:rFonts w:ascii="Open Sans" w:hAnsi="Open Sans" w:cs="Open Sans"/>
        </w:rPr>
        <w:t xml:space="preserve">There is a pressing need for long-duration, </w:t>
      </w:r>
      <w:r w:rsidR="00C13587">
        <w:rPr>
          <w:rFonts w:ascii="Open Sans" w:hAnsi="Open Sans" w:cs="Open Sans"/>
        </w:rPr>
        <w:t xml:space="preserve">large-scale </w:t>
      </w:r>
      <w:r w:rsidRPr="00711933">
        <w:rPr>
          <w:rFonts w:ascii="Open Sans" w:hAnsi="Open Sans" w:cs="Open Sans"/>
        </w:rPr>
        <w:t xml:space="preserve">seasonal renewable energy storage in order to help </w:t>
      </w:r>
      <w:r w:rsidR="00AF1734">
        <w:rPr>
          <w:rFonts w:ascii="Open Sans" w:hAnsi="Open Sans" w:cs="Open Sans"/>
        </w:rPr>
        <w:t xml:space="preserve">balance the increasing shares of renewables which will be required to </w:t>
      </w:r>
      <w:r w:rsidRPr="00711933">
        <w:rPr>
          <w:rFonts w:ascii="Open Sans" w:hAnsi="Open Sans" w:cs="Open Sans"/>
        </w:rPr>
        <w:t xml:space="preserve">meet the UK Government’s commitment to </w:t>
      </w:r>
      <w:r w:rsidR="00AF1734">
        <w:rPr>
          <w:rFonts w:ascii="Open Sans" w:hAnsi="Open Sans" w:cs="Open Sans"/>
        </w:rPr>
        <w:t>decarbonising the power grid.</w:t>
      </w:r>
      <w:r w:rsidRPr="00711933">
        <w:rPr>
          <w:rFonts w:ascii="Open Sans" w:hAnsi="Open Sans" w:cs="Open Sans"/>
        </w:rPr>
        <w:t xml:space="preserve"> Future wind and solar projects which will be faced with curtailment prospects, will cause investment risk and in turn either make the projects non bankable, or more expensive to fund (as the cost of capital will be higher as the risk premium is higher). Seasonal storage (different to battery, short term) such as hydrogen production and injecting into the gas network</w:t>
      </w:r>
      <w:r w:rsidR="00266779">
        <w:rPr>
          <w:rFonts w:ascii="Open Sans" w:hAnsi="Open Sans" w:cs="Open Sans"/>
        </w:rPr>
        <w:t xml:space="preserve"> to be stored as gas-hydrogen blend and then later dedicated hydrogen pipelines</w:t>
      </w:r>
      <w:r w:rsidRPr="00711933">
        <w:rPr>
          <w:rFonts w:ascii="Open Sans" w:hAnsi="Open Sans" w:cs="Open Sans"/>
        </w:rPr>
        <w:t xml:space="preserve"> will be the foundation blocks of enabling large scale balancing of the network between the peaks of generation and demand. It means that the green electrons that may have been curtailed can be </w:t>
      </w:r>
      <w:r w:rsidR="00AF1734">
        <w:rPr>
          <w:rFonts w:ascii="Open Sans" w:hAnsi="Open Sans" w:cs="Open Sans"/>
        </w:rPr>
        <w:t>instead converted in</w:t>
      </w:r>
      <w:r w:rsidRPr="00711933">
        <w:rPr>
          <w:rFonts w:ascii="Open Sans" w:hAnsi="Open Sans" w:cs="Open Sans"/>
        </w:rPr>
        <w:t>to green molecules and used to decarbonise the gas network.</w:t>
      </w:r>
      <w:r w:rsidR="00901FC1">
        <w:rPr>
          <w:rFonts w:ascii="Open Sans" w:hAnsi="Open Sans" w:cs="Open Sans"/>
        </w:rPr>
        <w:t xml:space="preserve"> </w:t>
      </w:r>
      <w:r w:rsidRPr="00711933">
        <w:rPr>
          <w:rFonts w:ascii="Open Sans" w:hAnsi="Open Sans" w:cs="Open Sans"/>
        </w:rPr>
        <w:t xml:space="preserve">Taking this further as hydrogen concentrations increase within the network it can be linked to large storage facilities such as salt caverns and </w:t>
      </w:r>
      <w:r w:rsidR="00266779">
        <w:rPr>
          <w:rFonts w:ascii="Open Sans" w:hAnsi="Open Sans" w:cs="Open Sans"/>
        </w:rPr>
        <w:t xml:space="preserve">depleted gas </w:t>
      </w:r>
      <w:r w:rsidRPr="00711933">
        <w:rPr>
          <w:rFonts w:ascii="Open Sans" w:hAnsi="Open Sans" w:cs="Open Sans"/>
        </w:rPr>
        <w:t xml:space="preserve"> storage facilities such as Rough to balance the profile between production and demand</w:t>
      </w:r>
      <w:r w:rsidR="00266779">
        <w:rPr>
          <w:rFonts w:ascii="Open Sans" w:hAnsi="Open Sans" w:cs="Open Sans"/>
        </w:rPr>
        <w:t xml:space="preserve"> and cope with the </w:t>
      </w:r>
      <w:r w:rsidR="00DF794E">
        <w:rPr>
          <w:rFonts w:ascii="Open Sans" w:hAnsi="Open Sans" w:cs="Open Sans"/>
        </w:rPr>
        <w:t>‘</w:t>
      </w:r>
      <w:r w:rsidR="00266779" w:rsidRPr="004F6A20">
        <w:rPr>
          <w:rFonts w:ascii="Open Sans" w:hAnsi="Open Sans" w:cs="Open Sans"/>
          <w:i/>
          <w:iCs/>
        </w:rPr>
        <w:t>Dunmkelflaute</w:t>
      </w:r>
      <w:r w:rsidR="00DF794E">
        <w:rPr>
          <w:rFonts w:ascii="Open Sans" w:hAnsi="Open Sans" w:cs="Open Sans"/>
        </w:rPr>
        <w:t xml:space="preserve">’ </w:t>
      </w:r>
      <w:r w:rsidR="00266779">
        <w:rPr>
          <w:rFonts w:ascii="Open Sans" w:hAnsi="Open Sans" w:cs="Open Sans"/>
        </w:rPr>
        <w:t>(periods of low wind in winter in NW Europe).</w:t>
      </w:r>
    </w:p>
    <w:p w14:paraId="4F67DCA4" w14:textId="182ECD0F" w:rsidR="00894A30" w:rsidRDefault="00894A30" w:rsidP="00894A30">
      <w:pPr>
        <w:jc w:val="both"/>
        <w:rPr>
          <w:rFonts w:ascii="Open Sans" w:hAnsi="Open Sans" w:cs="Open Sans"/>
        </w:rPr>
      </w:pPr>
      <w:r w:rsidRPr="00711933">
        <w:rPr>
          <w:rFonts w:ascii="Open Sans" w:hAnsi="Open Sans" w:cs="Open Sans"/>
        </w:rPr>
        <w:t xml:space="preserve">Blending hydrogen into the grid will be strong facilitator to avoid curtailment as the gas network can absorb variable production rates of hydrogen from electricity. </w:t>
      </w:r>
      <w:r w:rsidR="00901FC1">
        <w:rPr>
          <w:rFonts w:ascii="Open Sans" w:hAnsi="Open Sans" w:cs="Open Sans"/>
        </w:rPr>
        <w:t xml:space="preserve">Support </w:t>
      </w:r>
      <w:r w:rsidR="00266779">
        <w:rPr>
          <w:rFonts w:ascii="Open Sans" w:hAnsi="Open Sans" w:cs="Open Sans"/>
        </w:rPr>
        <w:t xml:space="preserve">to </w:t>
      </w:r>
      <w:r w:rsidR="00901FC1">
        <w:rPr>
          <w:rFonts w:ascii="Open Sans" w:hAnsi="Open Sans" w:cs="Open Sans"/>
        </w:rPr>
        <w:t xml:space="preserve">blending of hydrogen in the network will help deliver </w:t>
      </w:r>
      <w:r w:rsidRPr="00711933">
        <w:rPr>
          <w:rFonts w:ascii="Open Sans" w:hAnsi="Open Sans" w:cs="Open Sans"/>
        </w:rPr>
        <w:t xml:space="preserve">one of the huge potential benefits of hydrogen – i.e. that you can store and dispatch renewable energy at demand times, whilst reducing the cost of curtailment. </w:t>
      </w:r>
    </w:p>
    <w:p w14:paraId="2486C917" w14:textId="77777777" w:rsidR="00F52C97" w:rsidRPr="00711933" w:rsidRDefault="00F52C97" w:rsidP="00894A30">
      <w:pPr>
        <w:jc w:val="both"/>
        <w:rPr>
          <w:rFonts w:ascii="Open Sans" w:hAnsi="Open Sans" w:cs="Open Sans"/>
        </w:rPr>
      </w:pPr>
    </w:p>
    <w:p w14:paraId="603928F1" w14:textId="77777777" w:rsidR="00F52C97" w:rsidRPr="005B56CF" w:rsidRDefault="00F52C97" w:rsidP="005B56CF">
      <w:pPr>
        <w:pStyle w:val="Heading1"/>
        <w:rPr>
          <w:rFonts w:ascii="Open Sans" w:hAnsi="Open Sans" w:cs="Open Sans"/>
        </w:rPr>
      </w:pPr>
      <w:bookmarkStart w:id="2" w:name="_Financial_support_for"/>
      <w:bookmarkEnd w:id="2"/>
      <w:r w:rsidRPr="005B56CF">
        <w:rPr>
          <w:rFonts w:ascii="Open Sans" w:hAnsi="Open Sans" w:cs="Open Sans"/>
        </w:rPr>
        <w:lastRenderedPageBreak/>
        <w:t xml:space="preserve">Financial support for hydrogen blending </w:t>
      </w:r>
    </w:p>
    <w:p w14:paraId="469A3B9D" w14:textId="082CB8D1" w:rsidR="00B64484" w:rsidRDefault="00611659" w:rsidP="00B64484">
      <w:pPr>
        <w:spacing w:before="120" w:after="120" w:line="240" w:lineRule="auto"/>
        <w:rPr>
          <w:rFonts w:ascii="Open Sans" w:hAnsi="Open Sans" w:cs="Open Sans"/>
        </w:rPr>
      </w:pPr>
      <w:r>
        <w:rPr>
          <w:rFonts w:ascii="Open Sans" w:hAnsi="Open Sans" w:cs="Open Sans"/>
        </w:rPr>
        <w:t xml:space="preserve">In the context of the Hydrogen Business Model that </w:t>
      </w:r>
      <w:r w:rsidR="00B64484">
        <w:rPr>
          <w:rFonts w:ascii="Open Sans" w:hAnsi="Open Sans" w:cs="Open Sans"/>
        </w:rPr>
        <w:t xml:space="preserve">BEIS </w:t>
      </w:r>
      <w:r>
        <w:rPr>
          <w:rFonts w:ascii="Open Sans" w:hAnsi="Open Sans" w:cs="Open Sans"/>
        </w:rPr>
        <w:t xml:space="preserve">is developing, </w:t>
      </w:r>
      <w:r w:rsidR="001841C9">
        <w:rPr>
          <w:rFonts w:ascii="Open Sans" w:hAnsi="Open Sans" w:cs="Open Sans"/>
        </w:rPr>
        <w:t xml:space="preserve">the department </w:t>
      </w:r>
      <w:r w:rsidR="00B64484">
        <w:rPr>
          <w:rFonts w:ascii="Open Sans" w:hAnsi="Open Sans" w:cs="Open Sans"/>
        </w:rPr>
        <w:t>ha</w:t>
      </w:r>
      <w:r w:rsidR="001841C9">
        <w:rPr>
          <w:rFonts w:ascii="Open Sans" w:hAnsi="Open Sans" w:cs="Open Sans"/>
        </w:rPr>
        <w:t>s</w:t>
      </w:r>
      <w:r w:rsidR="00B64484">
        <w:rPr>
          <w:rFonts w:ascii="Open Sans" w:hAnsi="Open Sans" w:cs="Open Sans"/>
        </w:rPr>
        <w:t xml:space="preserve"> recently </w:t>
      </w:r>
      <w:r w:rsidR="00F45095">
        <w:rPr>
          <w:rFonts w:ascii="Open Sans" w:hAnsi="Open Sans" w:cs="Open Sans"/>
        </w:rPr>
        <w:t>sought stakeholders’ views on whether</w:t>
      </w:r>
      <w:r w:rsidR="00B64484">
        <w:rPr>
          <w:rFonts w:ascii="Open Sans" w:hAnsi="Open Sans" w:cs="Open Sans"/>
        </w:rPr>
        <w:t xml:space="preserve"> the role of blending in the hydrogen economy should be primarily as a ‘demand backstop’ for hydrogen producers facing volatile, or temporarily unavailable demand, rather than financially supported by the government as a long-term, majority offtaker. </w:t>
      </w:r>
      <w:r>
        <w:rPr>
          <w:rFonts w:ascii="Open Sans" w:hAnsi="Open Sans" w:cs="Open Sans"/>
        </w:rPr>
        <w:t>They</w:t>
      </w:r>
      <w:r w:rsidR="00F45095">
        <w:rPr>
          <w:rFonts w:ascii="Open Sans" w:hAnsi="Open Sans" w:cs="Open Sans"/>
        </w:rPr>
        <w:t xml:space="preserve"> also</w:t>
      </w:r>
      <w:r>
        <w:rPr>
          <w:rFonts w:ascii="Open Sans" w:hAnsi="Open Sans" w:cs="Open Sans"/>
        </w:rPr>
        <w:t xml:space="preserve"> sought views on </w:t>
      </w:r>
      <w:r w:rsidR="00F45095">
        <w:rPr>
          <w:rFonts w:ascii="Open Sans" w:hAnsi="Open Sans" w:cs="Open Sans"/>
        </w:rPr>
        <w:t xml:space="preserve">potential commercial options to deliver the backstop strategic role of blending and how they could ensure </w:t>
      </w:r>
      <w:r w:rsidR="00A56A9D">
        <w:rPr>
          <w:rFonts w:ascii="Open Sans" w:hAnsi="Open Sans" w:cs="Open Sans"/>
        </w:rPr>
        <w:t xml:space="preserve">that, if supported commercially, </w:t>
      </w:r>
      <w:r w:rsidR="00F45095">
        <w:rPr>
          <w:rFonts w:ascii="Open Sans" w:hAnsi="Open Sans" w:cs="Open Sans"/>
        </w:rPr>
        <w:t xml:space="preserve">blending </w:t>
      </w:r>
      <w:r w:rsidR="00A56A9D">
        <w:rPr>
          <w:rFonts w:ascii="Open Sans" w:hAnsi="Open Sans" w:cs="Open Sans"/>
        </w:rPr>
        <w:t>would</w:t>
      </w:r>
      <w:r w:rsidR="00F45095">
        <w:rPr>
          <w:rFonts w:ascii="Open Sans" w:hAnsi="Open Sans" w:cs="Open Sans"/>
        </w:rPr>
        <w:t xml:space="preserve"> not displace supply of hyd</w:t>
      </w:r>
      <w:r w:rsidR="001841C9">
        <w:rPr>
          <w:rFonts w:ascii="Open Sans" w:hAnsi="Open Sans" w:cs="Open Sans"/>
        </w:rPr>
        <w:t>rogen</w:t>
      </w:r>
      <w:r w:rsidR="00F45095">
        <w:rPr>
          <w:rFonts w:ascii="Open Sans" w:hAnsi="Open Sans" w:cs="Open Sans"/>
        </w:rPr>
        <w:t xml:space="preserve"> to higher-va</w:t>
      </w:r>
      <w:r w:rsidR="001841C9">
        <w:rPr>
          <w:rFonts w:ascii="Open Sans" w:hAnsi="Open Sans" w:cs="Open Sans"/>
        </w:rPr>
        <w:t>l</w:t>
      </w:r>
      <w:r w:rsidR="00F45095">
        <w:rPr>
          <w:rFonts w:ascii="Open Sans" w:hAnsi="Open Sans" w:cs="Open Sans"/>
        </w:rPr>
        <w:t xml:space="preserve">ue end-users such as industry or power. </w:t>
      </w:r>
    </w:p>
    <w:p w14:paraId="4C9347F6" w14:textId="5F398167" w:rsidR="00C56862" w:rsidRDefault="00E57179" w:rsidP="006D0494">
      <w:pPr>
        <w:spacing w:before="120" w:after="120" w:line="240" w:lineRule="auto"/>
        <w:rPr>
          <w:rFonts w:ascii="Open Sans" w:hAnsi="Open Sans" w:cs="Open Sans"/>
        </w:rPr>
      </w:pPr>
      <w:r>
        <w:rPr>
          <w:rFonts w:ascii="Open Sans" w:hAnsi="Open Sans" w:cs="Open Sans"/>
        </w:rPr>
        <w:t xml:space="preserve">For the reasons highlighted above, we believe blending should be </w:t>
      </w:r>
      <w:r w:rsidR="007B6D20">
        <w:rPr>
          <w:rFonts w:ascii="Open Sans" w:hAnsi="Open Sans" w:cs="Open Sans"/>
        </w:rPr>
        <w:t xml:space="preserve">commercially </w:t>
      </w:r>
      <w:r>
        <w:rPr>
          <w:rFonts w:ascii="Open Sans" w:hAnsi="Open Sans" w:cs="Open Sans"/>
        </w:rPr>
        <w:t>supported</w:t>
      </w:r>
      <w:r w:rsidR="00C56862">
        <w:rPr>
          <w:rFonts w:ascii="Open Sans" w:hAnsi="Open Sans" w:cs="Open Sans"/>
        </w:rPr>
        <w:t xml:space="preserve"> </w:t>
      </w:r>
      <w:r>
        <w:rPr>
          <w:rFonts w:ascii="Open Sans" w:hAnsi="Open Sans" w:cs="Open Sans"/>
        </w:rPr>
        <w:t>under the Hydrogen Business Model Support</w:t>
      </w:r>
      <w:r w:rsidR="00AA0BE8">
        <w:rPr>
          <w:rFonts w:ascii="Open Sans" w:hAnsi="Open Sans" w:cs="Open Sans"/>
        </w:rPr>
        <w:t xml:space="preserve">. </w:t>
      </w:r>
      <w:r w:rsidR="00AA0BE8" w:rsidRPr="0045164E">
        <w:rPr>
          <w:rFonts w:ascii="Open Sans" w:hAnsi="Open Sans" w:cs="Open Sans"/>
        </w:rPr>
        <w:t xml:space="preserve">BEIS </w:t>
      </w:r>
      <w:r w:rsidR="00AA0BE8">
        <w:rPr>
          <w:rFonts w:ascii="Open Sans" w:hAnsi="Open Sans" w:cs="Open Sans"/>
        </w:rPr>
        <w:t>concerns</w:t>
      </w:r>
      <w:r w:rsidR="00AA0BE8" w:rsidRPr="0045164E">
        <w:rPr>
          <w:rFonts w:ascii="Open Sans" w:hAnsi="Open Sans" w:cs="Open Sans"/>
        </w:rPr>
        <w:t xml:space="preserve"> that</w:t>
      </w:r>
      <w:r w:rsidR="00AA0BE8">
        <w:rPr>
          <w:rFonts w:ascii="Open Sans" w:hAnsi="Open Sans" w:cs="Open Sans"/>
        </w:rPr>
        <w:t xml:space="preserve"> blending </w:t>
      </w:r>
      <w:r w:rsidR="00AA0BE8" w:rsidRPr="0045164E">
        <w:rPr>
          <w:rFonts w:ascii="Open Sans" w:hAnsi="Open Sans" w:cs="Open Sans"/>
        </w:rPr>
        <w:t>may come ahead of preferred offtakers such as in industry, transport and powe</w:t>
      </w:r>
      <w:r w:rsidR="00AA0BE8">
        <w:rPr>
          <w:rFonts w:ascii="Open Sans" w:hAnsi="Open Sans" w:cs="Open Sans"/>
        </w:rPr>
        <w:t xml:space="preserve">r, if commercially supported, </w:t>
      </w:r>
      <w:r w:rsidR="00C56862">
        <w:rPr>
          <w:rFonts w:ascii="Open Sans" w:hAnsi="Open Sans" w:cs="Open Sans"/>
        </w:rPr>
        <w:t xml:space="preserve">could be addressed by setting a discounted strike price for blending. </w:t>
      </w:r>
      <w:r w:rsidR="00112B21">
        <w:rPr>
          <w:rFonts w:ascii="Open Sans" w:hAnsi="Open Sans" w:cs="Open Sans"/>
        </w:rPr>
        <w:t>In addition, as explained above, BEIS should consider the technical issue</w:t>
      </w:r>
      <w:r w:rsidR="00266779">
        <w:rPr>
          <w:rFonts w:ascii="Open Sans" w:hAnsi="Open Sans" w:cs="Open Sans"/>
        </w:rPr>
        <w:t xml:space="preserve"> of physically getting the hydrogen to industry in the absence of a new national hydrogen pipeline network</w:t>
      </w:r>
      <w:r w:rsidR="00112B21">
        <w:rPr>
          <w:rFonts w:ascii="Open Sans" w:hAnsi="Open Sans" w:cs="Open Sans"/>
        </w:rPr>
        <w:t xml:space="preserve">. </w:t>
      </w:r>
    </w:p>
    <w:p w14:paraId="6EB1C625" w14:textId="6EDBBB2C" w:rsidR="00AA0BE8" w:rsidRPr="00AA0BE8" w:rsidRDefault="006D0494" w:rsidP="006D0494">
      <w:pPr>
        <w:spacing w:before="120" w:after="120" w:line="240" w:lineRule="auto"/>
        <w:rPr>
          <w:rFonts w:ascii="Open Sans" w:hAnsi="Open Sans" w:cs="Open Sans"/>
        </w:rPr>
      </w:pPr>
      <w:r>
        <w:rPr>
          <w:rFonts w:ascii="Open Sans" w:hAnsi="Open Sans" w:cs="Open Sans"/>
        </w:rPr>
        <w:t xml:space="preserve">We also believe that clean </w:t>
      </w:r>
      <w:r w:rsidR="00F52C97" w:rsidRPr="0045164E">
        <w:rPr>
          <w:rFonts w:ascii="Open Sans" w:hAnsi="Open Sans" w:cs="Open Sans"/>
          <w:lang w:val="en-US"/>
          <w14:textOutline w14:w="12700" w14:cap="flat" w14:cmpd="sng" w14:algn="ctr">
            <w14:noFill/>
            <w14:prstDash w14:val="solid"/>
            <w14:miter w14:lim="100000"/>
          </w14:textOutline>
        </w:rPr>
        <w:t xml:space="preserve">hydrogen should be supported </w:t>
      </w:r>
      <w:r>
        <w:rPr>
          <w:rFonts w:ascii="Open Sans" w:hAnsi="Open Sans" w:cs="Open Sans"/>
          <w:lang w:val="en-US"/>
          <w14:textOutline w14:w="12700" w14:cap="flat" w14:cmpd="sng" w14:algn="ctr">
            <w14:noFill/>
            <w14:prstDash w14:val="solid"/>
            <w14:miter w14:lim="100000"/>
          </w14:textOutline>
        </w:rPr>
        <w:t>under</w:t>
      </w:r>
      <w:r w:rsidR="00F52C97" w:rsidRPr="0045164E">
        <w:rPr>
          <w:rFonts w:ascii="Open Sans" w:hAnsi="Open Sans" w:cs="Open Sans"/>
          <w:lang w:val="en-US"/>
          <w14:textOutline w14:w="12700" w14:cap="flat" w14:cmpd="sng" w14:algn="ctr">
            <w14:noFill/>
            <w14:prstDash w14:val="solid"/>
            <w14:miter w14:lim="100000"/>
          </w14:textOutline>
        </w:rPr>
        <w:t xml:space="preserve"> </w:t>
      </w:r>
      <w:r w:rsidR="00266779">
        <w:rPr>
          <w:rFonts w:ascii="Open Sans" w:hAnsi="Open Sans" w:cs="Open Sans"/>
          <w:lang w:val="en-US"/>
          <w14:textOutline w14:w="12700" w14:cap="flat" w14:cmpd="sng" w14:algn="ctr">
            <w14:noFill/>
            <w14:prstDash w14:val="solid"/>
            <w14:miter w14:lim="100000"/>
          </w14:textOutline>
        </w:rPr>
        <w:t xml:space="preserve">a variant or </w:t>
      </w:r>
      <w:r w:rsidR="00112B21">
        <w:rPr>
          <w:rFonts w:ascii="Open Sans" w:hAnsi="Open Sans" w:cs="Open Sans"/>
          <w:lang w:val="en-US"/>
          <w14:textOutline w14:w="12700" w14:cap="flat" w14:cmpd="sng" w14:algn="ctr">
            <w14:noFill/>
            <w14:prstDash w14:val="solid"/>
            <w14:miter w14:lim="100000"/>
          </w14:textOutline>
        </w:rPr>
        <w:t>revision</w:t>
      </w:r>
      <w:r w:rsidR="00266779">
        <w:rPr>
          <w:rFonts w:ascii="Open Sans" w:hAnsi="Open Sans" w:cs="Open Sans"/>
          <w:lang w:val="en-US"/>
          <w14:textOutline w14:w="12700" w14:cap="flat" w14:cmpd="sng" w14:algn="ctr">
            <w14:noFill/>
            <w14:prstDash w14:val="solid"/>
            <w14:miter w14:lim="100000"/>
          </w14:textOutline>
        </w:rPr>
        <w:t xml:space="preserve"> of </w:t>
      </w:r>
      <w:r w:rsidR="00F52C97" w:rsidRPr="0045164E">
        <w:rPr>
          <w:rFonts w:ascii="Open Sans" w:hAnsi="Open Sans" w:cs="Open Sans"/>
          <w:lang w:val="en-US"/>
          <w14:textOutline w14:w="12700" w14:cap="flat" w14:cmpd="sng" w14:algn="ctr">
            <w14:noFill/>
            <w14:prstDash w14:val="solid"/>
            <w14:miter w14:lim="100000"/>
          </w14:textOutline>
        </w:rPr>
        <w:t xml:space="preserve">the </w:t>
      </w:r>
      <w:r w:rsidR="00F52C97" w:rsidRPr="0045164E">
        <w:rPr>
          <w:rFonts w:ascii="Open Sans" w:hAnsi="Open Sans" w:cs="Open Sans"/>
          <w:lang w:val="en-US"/>
        </w:rPr>
        <w:t>Green Gas Support Scheme (</w:t>
      </w:r>
      <w:r w:rsidR="00F52C97" w:rsidRPr="0045164E">
        <w:rPr>
          <w:rFonts w:ascii="Open Sans" w:hAnsi="Open Sans" w:cs="Open Sans"/>
          <w:lang w:val="en-US"/>
          <w14:textOutline w14:w="12700" w14:cap="flat" w14:cmpd="sng" w14:algn="ctr">
            <w14:noFill/>
            <w14:prstDash w14:val="solid"/>
            <w14:miter w14:lim="100000"/>
          </w14:textOutline>
        </w:rPr>
        <w:t xml:space="preserve">GGSS) and under any policy for greening the gas grid that will come after it. </w:t>
      </w:r>
      <w:r>
        <w:rPr>
          <w:rFonts w:ascii="Open Sans" w:hAnsi="Open Sans" w:cs="Open Sans"/>
        </w:rPr>
        <w:t xml:space="preserve">BEIS are planning to engage with stakeholders in 2022 on a market-based mechanism to follow the Green Gas Support Scheme and the REA believe hydrogen injection should be incentivised under such mechanism, along with other green gases. The mid-scheme review of the GGSS will also take place in 2023 and so there is a window to amend the current support scheme if this timeframe is possible. </w:t>
      </w:r>
    </w:p>
    <w:p w14:paraId="0E1BE265" w14:textId="1C83603D" w:rsidR="00F52C97" w:rsidRPr="0045164E" w:rsidRDefault="00F52C97" w:rsidP="006D0494">
      <w:pPr>
        <w:spacing w:before="120" w:after="120" w:line="240" w:lineRule="auto"/>
      </w:pPr>
      <w:r w:rsidRPr="0045164E">
        <w:rPr>
          <w:rFonts w:ascii="Open Sans" w:hAnsi="Open Sans" w:cs="Open Sans"/>
          <w:lang w:val="en-US"/>
          <w14:textOutline w14:w="12700" w14:cap="flat" w14:cmpd="sng" w14:algn="ctr">
            <w14:noFill/>
            <w14:prstDash w14:val="solid"/>
            <w14:miter w14:lim="100000"/>
          </w14:textOutline>
        </w:rPr>
        <w:t xml:space="preserve">This could provide an important route to market for smaller scale projects </w:t>
      </w:r>
      <w:r w:rsidR="00266779">
        <w:rPr>
          <w:rFonts w:ascii="Open Sans" w:hAnsi="Open Sans" w:cs="Open Sans"/>
          <w:lang w:val="en-US"/>
          <w14:textOutline w14:w="12700" w14:cap="flat" w14:cmpd="sng" w14:algn="ctr">
            <w14:noFill/>
            <w14:prstDash w14:val="solid"/>
            <w14:miter w14:lim="100000"/>
          </w14:textOutline>
        </w:rPr>
        <w:t>(</w:t>
      </w:r>
      <w:r w:rsidR="00112B21">
        <w:rPr>
          <w:rFonts w:ascii="Open Sans" w:hAnsi="Open Sans" w:cs="Open Sans"/>
          <w:lang w:val="en-US"/>
          <w14:textOutline w14:w="12700" w14:cap="flat" w14:cmpd="sng" w14:algn="ctr">
            <w14:noFill/>
            <w14:prstDash w14:val="solid"/>
            <w14:miter w14:lim="100000"/>
          </w14:textOutline>
        </w:rPr>
        <w:t>e.g.</w:t>
      </w:r>
      <w:r w:rsidR="00266779">
        <w:rPr>
          <w:rFonts w:ascii="Open Sans" w:hAnsi="Open Sans" w:cs="Open Sans"/>
          <w:lang w:val="en-US"/>
          <w14:textOutline w14:w="12700" w14:cap="flat" w14:cmpd="sng" w14:algn="ctr">
            <w14:noFill/>
            <w14:prstDash w14:val="solid"/>
            <w14:miter w14:lim="100000"/>
          </w14:textOutline>
        </w:rPr>
        <w:t xml:space="preserve"> &lt;20 MW of electrolyser capacity, which is &lt;2,000 </w:t>
      </w:r>
      <w:proofErr w:type="spellStart"/>
      <w:r w:rsidR="00266779">
        <w:rPr>
          <w:rFonts w:ascii="Open Sans" w:hAnsi="Open Sans" w:cs="Open Sans"/>
          <w:lang w:val="en-US"/>
          <w14:textOutline w14:w="12700" w14:cap="flat" w14:cmpd="sng" w14:algn="ctr">
            <w14:noFill/>
            <w14:prstDash w14:val="solid"/>
            <w14:miter w14:lim="100000"/>
          </w14:textOutline>
        </w:rPr>
        <w:t>scmh</w:t>
      </w:r>
      <w:proofErr w:type="spellEnd"/>
      <w:r w:rsidR="00266779">
        <w:rPr>
          <w:rFonts w:ascii="Open Sans" w:hAnsi="Open Sans" w:cs="Open Sans"/>
          <w:lang w:val="en-US"/>
          <w14:textOutline w14:w="12700" w14:cap="flat" w14:cmpd="sng" w14:algn="ctr">
            <w14:noFill/>
            <w14:prstDash w14:val="solid"/>
            <w14:miter w14:lim="100000"/>
          </w14:textOutline>
        </w:rPr>
        <w:t xml:space="preserve"> of hydrogen) </w:t>
      </w:r>
      <w:r w:rsidRPr="0045164E">
        <w:rPr>
          <w:rFonts w:ascii="Open Sans" w:hAnsi="Open Sans" w:cs="Open Sans"/>
          <w:lang w:val="en-US"/>
          <w14:textOutline w14:w="12700" w14:cap="flat" w14:cmpd="sng" w14:algn="ctr">
            <w14:noFill/>
            <w14:prstDash w14:val="solid"/>
            <w14:miter w14:lim="100000"/>
          </w14:textOutline>
        </w:rPr>
        <w:t xml:space="preserve">if BEIS decides to introduce a variable price support mechanism that is more geared towards large scale production. </w:t>
      </w:r>
    </w:p>
    <w:p w14:paraId="5EC9067F" w14:textId="77777777" w:rsidR="00F52C97" w:rsidRPr="0045164E" w:rsidRDefault="00F52C97" w:rsidP="00F52C97">
      <w:pPr>
        <w:pStyle w:val="BodyA"/>
        <w:spacing w:before="120" w:after="120"/>
        <w:rPr>
          <w:color w:val="auto"/>
        </w:rPr>
      </w:pPr>
      <w:r w:rsidRPr="0045164E">
        <w:rPr>
          <w:rFonts w:ascii="Open Sans" w:hAnsi="Open Sans" w:cs="Open Sans"/>
          <w:color w:val="auto"/>
        </w:rPr>
        <w:t>Injecting low-carbon hydrogen into the gas grid to displace natural gas and selling it at the wholesale price [p/kWh] of natural gas will not provide a viable business case on its own. Power to gas and low carbon hydrogen injection into the gas grid will require a financial support mechanism, similar to the GGSS. This scheme could be adapted to include support for injection of clean hydrogen based on the equivalent CO</w:t>
      </w:r>
      <w:r w:rsidRPr="0045164E">
        <w:rPr>
          <w:rFonts w:ascii="Open Sans" w:hAnsi="Open Sans" w:cs="Open Sans"/>
          <w:color w:val="auto"/>
          <w:vertAlign w:val="subscript"/>
        </w:rPr>
        <w:t>2</w:t>
      </w:r>
      <w:r w:rsidRPr="0045164E">
        <w:rPr>
          <w:rFonts w:ascii="Open Sans" w:hAnsi="Open Sans" w:cs="Open Sans"/>
          <w:color w:val="auto"/>
        </w:rPr>
        <w:t xml:space="preserve"> savings compared to biomethane. </w:t>
      </w:r>
    </w:p>
    <w:p w14:paraId="610B0CC1" w14:textId="77777777" w:rsidR="00F52C97" w:rsidRPr="0045164E" w:rsidRDefault="00F52C97" w:rsidP="00F52C97">
      <w:pPr>
        <w:spacing w:before="120" w:after="120" w:line="240" w:lineRule="auto"/>
      </w:pPr>
      <w:r w:rsidRPr="0045164E">
        <w:rPr>
          <w:rFonts w:ascii="Open Sans" w:hAnsi="Open Sans" w:cs="Open Sans"/>
          <w:lang w:val="en-US"/>
        </w:rPr>
        <w:t xml:space="preserve">In practice the hydrogen molecules would be blended in the gas grid, but green gas certificates associated with each kWh of hydrogen injected could be linked to I&amp;C customers, who are aiming to reduce their natural gas use. </w:t>
      </w:r>
      <w:r w:rsidRPr="0045164E">
        <w:rPr>
          <w:rFonts w:ascii="Open Sans" w:hAnsi="Open Sans" w:cs="Open Sans"/>
        </w:rPr>
        <w:t xml:space="preserve">Guarantees of Origin for clean hydrogen awarded under the GGCS or other equivalent schemes </w:t>
      </w:r>
      <w:r w:rsidRPr="0045164E">
        <w:rPr>
          <w:rFonts w:ascii="Open Sans" w:hAnsi="Open Sans" w:cs="Open Sans"/>
          <w:lang w:val="en-US"/>
        </w:rPr>
        <w:t>will create opportunities to drive a market value for this gas, thereby reducing the direct subsidy required over time.</w:t>
      </w:r>
    </w:p>
    <w:p w14:paraId="7FF5210D" w14:textId="317E9B6D" w:rsidR="00F52C97" w:rsidRPr="0045164E" w:rsidRDefault="00F52C97" w:rsidP="00F52C97">
      <w:pPr>
        <w:pStyle w:val="BodyA"/>
        <w:spacing w:before="120" w:after="120"/>
        <w:rPr>
          <w:color w:val="auto"/>
        </w:rPr>
      </w:pPr>
      <w:r w:rsidRPr="0045164E">
        <w:rPr>
          <w:rFonts w:ascii="Open Sans" w:hAnsi="Open Sans" w:cs="Open Sans"/>
          <w:color w:val="auto"/>
        </w:rPr>
        <w:t xml:space="preserve">The combination of commodity value, GGSS type support and certificate value </w:t>
      </w:r>
      <w:r w:rsidR="006D0494">
        <w:rPr>
          <w:rFonts w:ascii="Open Sans" w:hAnsi="Open Sans" w:cs="Open Sans"/>
          <w:color w:val="auto"/>
        </w:rPr>
        <w:t>(</w:t>
      </w:r>
      <w:proofErr w:type="spellStart"/>
      <w:r w:rsidR="006D0494">
        <w:rPr>
          <w:rFonts w:ascii="Open Sans" w:hAnsi="Open Sans" w:cs="Open Sans"/>
          <w:color w:val="auto"/>
        </w:rPr>
        <w:t>GoO</w:t>
      </w:r>
      <w:proofErr w:type="spellEnd"/>
      <w:r w:rsidR="006D0494">
        <w:rPr>
          <w:rFonts w:ascii="Open Sans" w:hAnsi="Open Sans" w:cs="Open Sans"/>
          <w:color w:val="auto"/>
        </w:rPr>
        <w:t xml:space="preserve">) </w:t>
      </w:r>
      <w:r w:rsidRPr="0045164E">
        <w:rPr>
          <w:rFonts w:ascii="Open Sans" w:hAnsi="Open Sans" w:cs="Open Sans"/>
          <w:color w:val="auto"/>
        </w:rPr>
        <w:t>could make injection of hydrogen into an economic option which would help to develop the supply chain in 202</w:t>
      </w:r>
      <w:r w:rsidR="00266779">
        <w:rPr>
          <w:rFonts w:ascii="Open Sans" w:hAnsi="Open Sans" w:cs="Open Sans"/>
          <w:color w:val="auto"/>
        </w:rPr>
        <w:t>3</w:t>
      </w:r>
      <w:r w:rsidRPr="0045164E">
        <w:rPr>
          <w:rFonts w:ascii="Open Sans" w:hAnsi="Open Sans" w:cs="Open Sans"/>
          <w:color w:val="auto"/>
        </w:rPr>
        <w:t xml:space="preserve">-25, in the same way the original Renewable Heat Incentive did in successfully creating the biomethane supply chain in 2012-16. The low carbon hydrogen injected into the gas grid and used to displace natural gas could also be </w:t>
      </w:r>
      <w:r w:rsidRPr="0045164E">
        <w:rPr>
          <w:rFonts w:ascii="Open Sans" w:hAnsi="Open Sans" w:cs="Open Sans"/>
          <w:color w:val="auto"/>
        </w:rPr>
        <w:lastRenderedPageBreak/>
        <w:t xml:space="preserve">considered a hydrogen storage project (the </w:t>
      </w:r>
      <w:proofErr w:type="spellStart"/>
      <w:r w:rsidRPr="0045164E">
        <w:rPr>
          <w:rFonts w:ascii="Open Sans" w:hAnsi="Open Sans" w:cs="Open Sans"/>
          <w:color w:val="auto"/>
        </w:rPr>
        <w:t>kWhs</w:t>
      </w:r>
      <w:proofErr w:type="spellEnd"/>
      <w:r w:rsidRPr="0045164E">
        <w:rPr>
          <w:rFonts w:ascii="Open Sans" w:hAnsi="Open Sans" w:cs="Open Sans"/>
          <w:color w:val="auto"/>
        </w:rPr>
        <w:t xml:space="preserve"> of hydrogen are stored in the same way as natural gas). </w:t>
      </w:r>
    </w:p>
    <w:p w14:paraId="7A01E0DC" w14:textId="611D773E" w:rsidR="00F52C97" w:rsidRPr="0045164E" w:rsidRDefault="00F52C97" w:rsidP="00F52C97">
      <w:pPr>
        <w:pStyle w:val="BodyA"/>
        <w:spacing w:before="120" w:after="120"/>
        <w:rPr>
          <w:color w:val="auto"/>
        </w:rPr>
      </w:pPr>
      <w:r w:rsidRPr="0045164E">
        <w:rPr>
          <w:rFonts w:ascii="Open Sans" w:hAnsi="Open Sans" w:cs="Open Sans"/>
          <w:color w:val="auto"/>
        </w:rPr>
        <w:t xml:space="preserve">The advantage of injecting low carbon hydrogen into the gas grid is that on day one all the hydrogen can find a market (e.g. the </w:t>
      </w:r>
      <w:r w:rsidR="00266779">
        <w:rPr>
          <w:rFonts w:ascii="Open Sans" w:hAnsi="Open Sans" w:cs="Open Sans"/>
          <w:color w:val="auto"/>
        </w:rPr>
        <w:t>I&amp;C</w:t>
      </w:r>
      <w:r w:rsidRPr="0045164E">
        <w:rPr>
          <w:rFonts w:ascii="Open Sans" w:hAnsi="Open Sans" w:cs="Open Sans"/>
          <w:color w:val="auto"/>
        </w:rPr>
        <w:t xml:space="preserve"> customer). For example, making green hydrogen to use as a bus fuel requires the buses to be available on day one and this does not happen in practice as it is more likely to need a three year build up. Having a low carbon hydrogen ‘sink’ of the gas grid can also facilitate the use of low carbon hydrogen into trucks and buses. </w:t>
      </w:r>
    </w:p>
    <w:p w14:paraId="351C62EA" w14:textId="3064E79F" w:rsidR="00F52C97" w:rsidRPr="0045164E" w:rsidRDefault="00F52C97" w:rsidP="00F52C97">
      <w:pPr>
        <w:pStyle w:val="BodyA"/>
        <w:spacing w:before="120" w:after="120"/>
        <w:rPr>
          <w:color w:val="auto"/>
        </w:rPr>
      </w:pPr>
      <w:r w:rsidRPr="0045164E">
        <w:rPr>
          <w:rFonts w:ascii="Open Sans" w:hAnsi="Open Sans" w:cs="Open Sans"/>
          <w:i/>
          <w:iCs/>
          <w:color w:val="auto"/>
          <w:sz w:val="20"/>
          <w:szCs w:val="20"/>
          <w:u w:val="single"/>
        </w:rPr>
        <w:t>Note on Implementation</w:t>
      </w:r>
      <w:r w:rsidR="00542750">
        <w:rPr>
          <w:rFonts w:ascii="Open Sans" w:hAnsi="Open Sans" w:cs="Open Sans"/>
          <w:i/>
          <w:iCs/>
          <w:color w:val="auto"/>
          <w:sz w:val="20"/>
          <w:szCs w:val="20"/>
          <w:u w:val="single"/>
        </w:rPr>
        <w:t xml:space="preserve"> for the mid-review of the GGSS</w:t>
      </w:r>
    </w:p>
    <w:p w14:paraId="1D0B82C0" w14:textId="77777777" w:rsidR="00F52C97" w:rsidRPr="0045164E" w:rsidRDefault="00F52C97" w:rsidP="00F52C97">
      <w:pPr>
        <w:pStyle w:val="BodyA"/>
        <w:spacing w:before="120" w:after="120"/>
        <w:rPr>
          <w:color w:val="auto"/>
        </w:rPr>
      </w:pPr>
      <w:r w:rsidRPr="0045164E">
        <w:rPr>
          <w:rFonts w:ascii="Open Sans" w:hAnsi="Open Sans" w:cs="Open Sans"/>
          <w:i/>
          <w:iCs/>
          <w:color w:val="auto"/>
          <w:sz w:val="20"/>
          <w:szCs w:val="20"/>
        </w:rPr>
        <w:t>The GGSS uses the same primary legislation as the RHI, which allows support to producers of biomethane, which must be made from biogas – where biogas is defined in section 100(3) of the 2008 Act as gas produced by the ‘anaerobic or thermal conversion of biomass’. Although the GGSS has chosen to limit eligibility within the scheme to gas produced from anaerobic conversion, this was a policy choice to keep the scheme relatively simple – it remains within the scope of the primary legislation to include biomethane produced from thermal conversion as well.</w:t>
      </w:r>
    </w:p>
    <w:p w14:paraId="5DA3CE20" w14:textId="77777777" w:rsidR="00F52C97" w:rsidRPr="0045164E" w:rsidRDefault="00F52C97" w:rsidP="00F52C97">
      <w:pPr>
        <w:pStyle w:val="BodyA"/>
        <w:spacing w:before="120" w:after="120"/>
        <w:rPr>
          <w:color w:val="auto"/>
        </w:rPr>
      </w:pPr>
      <w:r w:rsidRPr="0045164E">
        <w:rPr>
          <w:rFonts w:ascii="Open Sans" w:hAnsi="Open Sans" w:cs="Open Sans"/>
          <w:i/>
          <w:iCs/>
          <w:color w:val="auto"/>
          <w:sz w:val="20"/>
          <w:szCs w:val="20"/>
        </w:rPr>
        <w:t>Arguably, hydrogen made from gasification of biomass already falls within this definition – or would be if otherwise met requirements for injection to the gas grid. The legislation also allows the biogas definition to be ‘modified’.</w:t>
      </w:r>
      <w:r w:rsidRPr="0045164E">
        <w:rPr>
          <w:rStyle w:val="FootnoteReference"/>
          <w:rFonts w:ascii="Open Sans" w:hAnsi="Open Sans" w:cs="Open Sans"/>
          <w:i/>
          <w:iCs/>
          <w:color w:val="auto"/>
          <w:sz w:val="20"/>
          <w:szCs w:val="20"/>
        </w:rPr>
        <w:footnoteReference w:customMarkFollows="1" w:id="1"/>
        <w:t>[1]</w:t>
      </w:r>
      <w:r w:rsidRPr="0045164E">
        <w:rPr>
          <w:rFonts w:ascii="Open Sans" w:hAnsi="Open Sans" w:cs="Open Sans"/>
          <w:i/>
          <w:iCs/>
          <w:color w:val="auto"/>
          <w:sz w:val="20"/>
          <w:szCs w:val="20"/>
        </w:rPr>
        <w:t xml:space="preserve"> It should be possible to modify the definition to include hydrogen made from electrolysis – and a similar approach has been taken to the RTFO, where such fuels are known as Renewable Fuels of Non-Biological Origin.</w:t>
      </w:r>
    </w:p>
    <w:p w14:paraId="2A0750C2" w14:textId="3FEBAB99" w:rsidR="007D4F2B" w:rsidRDefault="007D4F2B" w:rsidP="000B0129">
      <w:pPr>
        <w:rPr>
          <w:rFonts w:ascii="Open Sans" w:hAnsi="Open Sans" w:cs="Open Sans"/>
        </w:rPr>
      </w:pPr>
    </w:p>
    <w:p w14:paraId="40171B8C" w14:textId="690057D4" w:rsidR="00542750" w:rsidRPr="005B56CF" w:rsidRDefault="00542750" w:rsidP="005B56CF">
      <w:pPr>
        <w:pStyle w:val="Heading1"/>
        <w:rPr>
          <w:rFonts w:ascii="Open Sans" w:hAnsi="Open Sans" w:cs="Open Sans"/>
        </w:rPr>
      </w:pPr>
      <w:bookmarkStart w:id="3" w:name="_Quick_actions_for"/>
      <w:bookmarkStart w:id="4" w:name="_Hlk99623714"/>
      <w:bookmarkEnd w:id="3"/>
      <w:r w:rsidRPr="005B56CF">
        <w:rPr>
          <w:rFonts w:ascii="Open Sans" w:hAnsi="Open Sans" w:cs="Open Sans"/>
        </w:rPr>
        <w:t xml:space="preserve">Quick action for Government to unlock barriers to blending </w:t>
      </w:r>
    </w:p>
    <w:p w14:paraId="381E0B7C" w14:textId="564D293E" w:rsidR="00FD2CE5" w:rsidRPr="00335B20" w:rsidRDefault="00335B20" w:rsidP="00FD2CE5">
      <w:pPr>
        <w:pStyle w:val="Body"/>
        <w:spacing w:before="120" w:after="120" w:line="240" w:lineRule="auto"/>
        <w:rPr>
          <w:rFonts w:ascii="Open Sans" w:hAnsi="Open Sans" w:cs="Open Sans"/>
          <w:color w:val="auto"/>
          <w:lang w:val="en-US"/>
          <w14:textOutline w14:w="12700" w14:cap="flat" w14:cmpd="sng" w14:algn="ctr">
            <w14:noFill/>
            <w14:prstDash w14:val="solid"/>
            <w14:miter w14:lim="400000"/>
          </w14:textOutline>
        </w:rPr>
      </w:pPr>
      <w:r>
        <w:rPr>
          <w:rFonts w:ascii="Open Sans" w:hAnsi="Open Sans" w:cs="Open Sans"/>
          <w:color w:val="auto"/>
          <w:lang w:val="en-US"/>
          <w14:textOutline w14:w="12700" w14:cap="flat" w14:cmpd="sng" w14:algn="ctr">
            <w14:noFill/>
            <w14:prstDash w14:val="solid"/>
            <w14:miter w14:lim="400000"/>
          </w14:textOutline>
        </w:rPr>
        <w:t>There are some</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quick wins that could greatly assist the sector </w:t>
      </w:r>
      <w:r w:rsidR="00F937D2">
        <w:rPr>
          <w:rFonts w:ascii="Open Sans" w:hAnsi="Open Sans" w:cs="Open Sans"/>
          <w:color w:val="auto"/>
          <w:lang w:val="en-US"/>
          <w14:textOutline w14:w="12700" w14:cap="flat" w14:cmpd="sng" w14:algn="ctr">
            <w14:noFill/>
            <w14:prstDash w14:val="solid"/>
            <w14:miter w14:lim="400000"/>
          </w14:textOutline>
        </w:rPr>
        <w:t xml:space="preserve">and </w:t>
      </w:r>
      <w:r w:rsidR="00F937D2" w:rsidRPr="00335B20">
        <w:rPr>
          <w:rFonts w:ascii="Open Sans" w:hAnsi="Open Sans" w:cs="Open Sans"/>
          <w:color w:val="auto"/>
          <w:lang w:val="en-US"/>
          <w14:textOutline w14:w="12700" w14:cap="flat" w14:cmpd="sng" w14:algn="ctr">
            <w14:noFill/>
            <w14:prstDash w14:val="solid"/>
            <w14:miter w14:lim="400000"/>
          </w14:textOutline>
        </w:rPr>
        <w:t>unlock barriers to deployment of clean hydrogen</w:t>
      </w:r>
      <w:r w:rsidR="00F937D2">
        <w:rPr>
          <w:rFonts w:ascii="Open Sans" w:hAnsi="Open Sans" w:cs="Open Sans"/>
          <w:color w:val="auto"/>
          <w:lang w:val="en-US"/>
          <w14:textOutline w14:w="12700" w14:cap="flat" w14:cmpd="sng" w14:algn="ctr">
            <w14:noFill/>
            <w14:prstDash w14:val="solid"/>
            <w14:miter w14:lim="400000"/>
          </w14:textOutline>
        </w:rPr>
        <w:t xml:space="preserve"> </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for example members believe that a low-level blending of hydrogen into the </w:t>
      </w:r>
      <w:r>
        <w:rPr>
          <w:rFonts w:ascii="Open Sans" w:hAnsi="Open Sans" w:cs="Open Sans"/>
          <w:color w:val="auto"/>
          <w:lang w:val="en-US"/>
          <w14:textOutline w14:w="12700" w14:cap="flat" w14:cmpd="sng" w14:algn="ctr">
            <w14:noFill/>
            <w14:prstDash w14:val="solid"/>
            <w14:miter w14:lim="400000"/>
          </w14:textOutline>
        </w:rPr>
        <w:t>National Transmission System</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w:t>
      </w:r>
      <w:r>
        <w:rPr>
          <w:rFonts w:ascii="Open Sans" w:hAnsi="Open Sans" w:cs="Open Sans"/>
          <w:color w:val="auto"/>
          <w:lang w:val="en-US"/>
          <w14:textOutline w14:w="12700" w14:cap="flat" w14:cmpd="sng" w14:algn="ctr">
            <w14:noFill/>
            <w14:prstDash w14:val="solid"/>
            <w14:miter w14:lim="400000"/>
          </w14:textOutline>
        </w:rPr>
        <w:t>~</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5%) could and should be greatly speeded up </w:t>
      </w:r>
      <w:r>
        <w:rPr>
          <w:rFonts w:ascii="Open Sans" w:hAnsi="Open Sans" w:cs="Open Sans"/>
          <w:color w:val="auto"/>
          <w:lang w:val="en-US"/>
          <w14:textOutline w14:w="12700" w14:cap="flat" w14:cmpd="sng" w14:algn="ctr">
            <w14:noFill/>
            <w14:prstDash w14:val="solid"/>
            <w14:miter w14:lim="400000"/>
          </w14:textOutline>
        </w:rPr>
        <w:t>given the current energy security crisis</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w:t>
      </w:r>
    </w:p>
    <w:bookmarkEnd w:id="4"/>
    <w:p w14:paraId="73AB5861" w14:textId="387F5FEC" w:rsidR="00FD2CE5" w:rsidRDefault="00FD2CE5" w:rsidP="00FD2CE5"/>
    <w:p w14:paraId="098FA9CB" w14:textId="3CA0343A" w:rsidR="004F6A20" w:rsidRDefault="004F6A20" w:rsidP="004F6A20">
      <w:pPr>
        <w:pStyle w:val="Heading1"/>
        <w:rPr>
          <w:rFonts w:ascii="Open Sans" w:hAnsi="Open Sans" w:cs="Open Sans"/>
        </w:rPr>
      </w:pPr>
      <w:bookmarkStart w:id="5" w:name="_Future_Billing_regime"/>
      <w:bookmarkEnd w:id="5"/>
      <w:r w:rsidRPr="004F6A20">
        <w:rPr>
          <w:rFonts w:ascii="Open Sans" w:hAnsi="Open Sans" w:cs="Open Sans"/>
        </w:rPr>
        <w:t xml:space="preserve">Future Billing </w:t>
      </w:r>
      <w:r>
        <w:rPr>
          <w:rFonts w:ascii="Open Sans" w:hAnsi="Open Sans" w:cs="Open Sans"/>
        </w:rPr>
        <w:t xml:space="preserve">regime </w:t>
      </w:r>
    </w:p>
    <w:p w14:paraId="1E8A08B1" w14:textId="4DB105F3" w:rsidR="004D4EC8" w:rsidRPr="000D610A" w:rsidRDefault="00BC13D3" w:rsidP="004D4EC8">
      <w:pPr>
        <w:spacing w:before="120" w:after="120" w:line="240" w:lineRule="auto"/>
        <w:rPr>
          <w:rFonts w:ascii="Open Sans" w:eastAsia="Times New Roman" w:hAnsi="Open Sans" w:cs="Open Sans"/>
          <w:lang w:eastAsia="en-GB"/>
        </w:rPr>
      </w:pPr>
      <w:r w:rsidRPr="00BC13D3">
        <w:rPr>
          <w:rFonts w:ascii="Open Sans" w:eastAsia="Times New Roman" w:hAnsi="Open Sans" w:cs="Open Sans"/>
          <w:lang w:eastAsia="en-GB"/>
        </w:rPr>
        <w:t>Cadent and Xo</w:t>
      </w:r>
      <w:r>
        <w:rPr>
          <w:rFonts w:ascii="Open Sans" w:eastAsia="Times New Roman" w:hAnsi="Open Sans" w:cs="Open Sans"/>
          <w:lang w:eastAsia="en-GB"/>
        </w:rPr>
        <w:t>serve</w:t>
      </w:r>
      <w:r w:rsidRPr="00BC13D3">
        <w:rPr>
          <w:rFonts w:ascii="Open Sans" w:eastAsia="Times New Roman" w:hAnsi="Open Sans" w:cs="Open Sans"/>
          <w:lang w:eastAsia="en-GB"/>
        </w:rPr>
        <w:t xml:space="preserve"> have recently consulted industry on the </w:t>
      </w:r>
      <w:hyperlink r:id="rId17" w:history="1">
        <w:r w:rsidR="004F6A20" w:rsidRPr="00BC13D3">
          <w:rPr>
            <w:rStyle w:val="Hyperlink"/>
            <w:rFonts w:ascii="Open Sans" w:hAnsi="Open Sans" w:cs="Open Sans"/>
          </w:rPr>
          <w:t>Future Billing methodology</w:t>
        </w:r>
      </w:hyperlink>
      <w:r w:rsidR="004F6A20" w:rsidRPr="004F6A20">
        <w:rPr>
          <w:rFonts w:ascii="Open Sans" w:hAnsi="Open Sans" w:cs="Open Sans"/>
        </w:rPr>
        <w:t xml:space="preserve"> </w:t>
      </w:r>
      <w:r>
        <w:rPr>
          <w:rFonts w:ascii="Open Sans" w:hAnsi="Open Sans" w:cs="Open Sans"/>
        </w:rPr>
        <w:t xml:space="preserve">and sought industry’s feedback on what solutions should be progressed to </w:t>
      </w:r>
      <w:r w:rsidRPr="004F6A20">
        <w:rPr>
          <w:rFonts w:ascii="Open Sans" w:hAnsi="Open Sans" w:cs="Open Sans"/>
        </w:rPr>
        <w:t xml:space="preserve">maximise the amount of renewable or “Green Gases” which can be carried in the </w:t>
      </w:r>
      <w:r>
        <w:rPr>
          <w:rFonts w:ascii="Open Sans" w:hAnsi="Open Sans" w:cs="Open Sans"/>
        </w:rPr>
        <w:t>g</w:t>
      </w:r>
      <w:r w:rsidRPr="004F6A20">
        <w:rPr>
          <w:rFonts w:ascii="Open Sans" w:hAnsi="Open Sans" w:cs="Open Sans"/>
        </w:rPr>
        <w:t>as network</w:t>
      </w:r>
      <w:r>
        <w:rPr>
          <w:rFonts w:ascii="Open Sans" w:hAnsi="Open Sans" w:cs="Open Sans"/>
        </w:rPr>
        <w:t xml:space="preserve"> </w:t>
      </w:r>
      <w:r w:rsidRPr="00E34D54">
        <w:rPr>
          <w:rFonts w:ascii="Open Sans" w:eastAsia="Times New Roman" w:hAnsi="Open Sans" w:cs="Open Sans"/>
          <w:lang w:eastAsia="en-GB"/>
        </w:rPr>
        <w:t xml:space="preserve">without negatively impacting consumers and ensuring fair billing. </w:t>
      </w:r>
      <w:r w:rsidR="004D4EC8" w:rsidRPr="000D610A">
        <w:rPr>
          <w:rFonts w:ascii="Open Sans" w:eastAsia="Times New Roman" w:hAnsi="Open Sans" w:cs="Open Sans"/>
          <w:lang w:eastAsia="en-GB"/>
        </w:rPr>
        <w:t xml:space="preserve">Our full response </w:t>
      </w:r>
      <w:r w:rsidR="004D4EC8">
        <w:rPr>
          <w:rFonts w:ascii="Open Sans" w:eastAsia="Times New Roman" w:hAnsi="Open Sans" w:cs="Open Sans"/>
          <w:lang w:eastAsia="en-GB"/>
        </w:rPr>
        <w:t xml:space="preserve">to this consultation </w:t>
      </w:r>
      <w:r w:rsidR="004D4EC8" w:rsidRPr="000D610A">
        <w:rPr>
          <w:rFonts w:ascii="Open Sans" w:eastAsia="Times New Roman" w:hAnsi="Open Sans" w:cs="Open Sans"/>
          <w:lang w:eastAsia="en-GB"/>
        </w:rPr>
        <w:t xml:space="preserve">can be read </w:t>
      </w:r>
      <w:hyperlink r:id="rId18" w:history="1">
        <w:r w:rsidR="004D4EC8" w:rsidRPr="004D4EC8">
          <w:rPr>
            <w:rFonts w:ascii="Open Sans" w:eastAsia="Times New Roman" w:hAnsi="Open Sans" w:cs="Open Sans"/>
            <w:u w:val="single"/>
            <w:lang w:eastAsia="en-GB"/>
          </w:rPr>
          <w:t>here</w:t>
        </w:r>
      </w:hyperlink>
      <w:r w:rsidR="004D4EC8" w:rsidRPr="000D610A">
        <w:rPr>
          <w:rFonts w:ascii="Open Sans" w:eastAsia="Times New Roman" w:hAnsi="Open Sans" w:cs="Open Sans"/>
          <w:lang w:eastAsia="en-GB"/>
        </w:rPr>
        <w:t xml:space="preserve">. </w:t>
      </w:r>
    </w:p>
    <w:p w14:paraId="15490991" w14:textId="77777777" w:rsidR="004D4EC8" w:rsidRDefault="000D610A" w:rsidP="004D4EC8">
      <w:pPr>
        <w:spacing w:before="120" w:after="120" w:line="240" w:lineRule="auto"/>
        <w:rPr>
          <w:rFonts w:ascii="Open Sans" w:eastAsia="Times New Roman" w:hAnsi="Open Sans" w:cs="Open Sans"/>
          <w:lang w:eastAsia="en-GB"/>
        </w:rPr>
      </w:pPr>
      <w:r>
        <w:rPr>
          <w:rFonts w:ascii="Open Sans" w:eastAsia="Times New Roman" w:hAnsi="Open Sans" w:cs="Open Sans"/>
          <w:lang w:eastAsia="en-GB"/>
        </w:rPr>
        <w:t xml:space="preserve">For the reasons set out </w:t>
      </w:r>
      <w:r w:rsidR="004D4EC8">
        <w:rPr>
          <w:rFonts w:ascii="Open Sans" w:eastAsia="Times New Roman" w:hAnsi="Open Sans" w:cs="Open Sans"/>
          <w:lang w:eastAsia="en-GB"/>
        </w:rPr>
        <w:t>in this paper</w:t>
      </w:r>
      <w:r>
        <w:rPr>
          <w:rFonts w:ascii="Open Sans" w:eastAsia="Times New Roman" w:hAnsi="Open Sans" w:cs="Open Sans"/>
          <w:lang w:eastAsia="en-GB"/>
        </w:rPr>
        <w:t>, we support a Future Billing regime that accommodates</w:t>
      </w:r>
      <w:r w:rsidR="004D4EC8">
        <w:rPr>
          <w:rFonts w:ascii="Open Sans" w:eastAsia="Times New Roman" w:hAnsi="Open Sans" w:cs="Open Sans"/>
          <w:lang w:eastAsia="en-GB"/>
        </w:rPr>
        <w:t xml:space="preserve"> </w:t>
      </w:r>
      <w:r>
        <w:rPr>
          <w:rFonts w:ascii="Open Sans" w:eastAsia="Times New Roman" w:hAnsi="Open Sans" w:cs="Open Sans"/>
          <w:lang w:eastAsia="en-GB"/>
        </w:rPr>
        <w:t xml:space="preserve">blending </w:t>
      </w:r>
      <w:r w:rsidR="004D4EC8">
        <w:rPr>
          <w:rFonts w:ascii="Open Sans" w:eastAsia="Times New Roman" w:hAnsi="Open Sans" w:cs="Open Sans"/>
          <w:lang w:eastAsia="en-GB"/>
        </w:rPr>
        <w:t xml:space="preserve">of green gases </w:t>
      </w:r>
      <w:r>
        <w:rPr>
          <w:rFonts w:ascii="Open Sans" w:eastAsia="Times New Roman" w:hAnsi="Open Sans" w:cs="Open Sans"/>
          <w:lang w:eastAsia="en-GB"/>
        </w:rPr>
        <w:t xml:space="preserve">into the network. </w:t>
      </w:r>
      <w:r w:rsidR="000925FA">
        <w:rPr>
          <w:rFonts w:ascii="Open Sans" w:eastAsia="Times New Roman" w:hAnsi="Open Sans" w:cs="Open Sans"/>
          <w:lang w:eastAsia="en-GB"/>
        </w:rPr>
        <w:t>I</w:t>
      </w:r>
      <w:r w:rsidR="000925FA" w:rsidRPr="000D610A">
        <w:rPr>
          <w:rFonts w:ascii="Open Sans" w:eastAsia="Times New Roman" w:hAnsi="Open Sans" w:cs="Open Sans"/>
          <w:lang w:eastAsia="en-GB"/>
        </w:rPr>
        <w:t xml:space="preserve">t is very uncertain at this stage whether all parts of the network will move to 100% hydrogen </w:t>
      </w:r>
      <w:r w:rsidR="004D4EC8">
        <w:rPr>
          <w:rFonts w:ascii="Open Sans" w:eastAsia="Times New Roman" w:hAnsi="Open Sans" w:cs="Open Sans"/>
          <w:lang w:eastAsia="en-GB"/>
        </w:rPr>
        <w:t>in the future and, i</w:t>
      </w:r>
      <w:r w:rsidR="000925FA">
        <w:rPr>
          <w:rFonts w:ascii="Open Sans" w:eastAsia="Times New Roman" w:hAnsi="Open Sans" w:cs="Open Sans"/>
          <w:lang w:eastAsia="en-GB"/>
        </w:rPr>
        <w:t xml:space="preserve">f </w:t>
      </w:r>
      <w:r w:rsidR="000925FA" w:rsidRPr="000D610A">
        <w:rPr>
          <w:rFonts w:ascii="Open Sans" w:eastAsia="Times New Roman" w:hAnsi="Open Sans" w:cs="Open Sans"/>
          <w:lang w:eastAsia="en-GB"/>
        </w:rPr>
        <w:t xml:space="preserve">this happens, in won’t be for a long time. So, </w:t>
      </w:r>
      <w:r w:rsidR="000925FA">
        <w:rPr>
          <w:rFonts w:ascii="Open Sans" w:eastAsia="Times New Roman" w:hAnsi="Open Sans" w:cs="Open Sans"/>
          <w:lang w:eastAsia="en-GB"/>
        </w:rPr>
        <w:t xml:space="preserve">the best approach </w:t>
      </w:r>
      <w:r w:rsidR="000925FA" w:rsidRPr="000D610A">
        <w:rPr>
          <w:rFonts w:ascii="Open Sans" w:eastAsia="Times New Roman" w:hAnsi="Open Sans" w:cs="Open Sans"/>
          <w:lang w:eastAsia="en-GB"/>
        </w:rPr>
        <w:t xml:space="preserve">at this stage </w:t>
      </w:r>
      <w:r w:rsidR="000925FA">
        <w:rPr>
          <w:rFonts w:ascii="Open Sans" w:eastAsia="Times New Roman" w:hAnsi="Open Sans" w:cs="Open Sans"/>
          <w:lang w:eastAsia="en-GB"/>
        </w:rPr>
        <w:t xml:space="preserve">is </w:t>
      </w:r>
      <w:r w:rsidR="000925FA" w:rsidRPr="000D610A">
        <w:rPr>
          <w:rFonts w:ascii="Open Sans" w:eastAsia="Times New Roman" w:hAnsi="Open Sans" w:cs="Open Sans"/>
          <w:lang w:eastAsia="en-GB"/>
        </w:rPr>
        <w:t xml:space="preserve">to assume that we are moving to a situation in which the long-term gas in the network is a mix of different gases and ensure the solutions in place can accommodate this and are </w:t>
      </w:r>
      <w:r w:rsidR="000925FA" w:rsidRPr="000D610A">
        <w:rPr>
          <w:rFonts w:ascii="Open Sans" w:eastAsia="Times New Roman" w:hAnsi="Open Sans" w:cs="Open Sans"/>
          <w:lang w:eastAsia="en-GB"/>
        </w:rPr>
        <w:lastRenderedPageBreak/>
        <w:t xml:space="preserve">swiftly implemented. </w:t>
      </w:r>
      <w:r w:rsidR="004D4EC8" w:rsidRPr="000D610A">
        <w:rPr>
          <w:rFonts w:ascii="Open Sans" w:eastAsia="Times New Roman" w:hAnsi="Open Sans" w:cs="Open Sans"/>
          <w:lang w:eastAsia="en-GB"/>
        </w:rPr>
        <w:t xml:space="preserve">We </w:t>
      </w:r>
      <w:r w:rsidR="004D4EC8">
        <w:rPr>
          <w:rFonts w:ascii="Open Sans" w:eastAsia="Times New Roman" w:hAnsi="Open Sans" w:cs="Open Sans"/>
          <w:lang w:eastAsia="en-GB"/>
        </w:rPr>
        <w:t>need</w:t>
      </w:r>
      <w:r w:rsidR="004D4EC8" w:rsidRPr="000D610A">
        <w:rPr>
          <w:rFonts w:ascii="Open Sans" w:eastAsia="Times New Roman" w:hAnsi="Open Sans" w:cs="Open Sans"/>
          <w:lang w:eastAsia="en-GB"/>
        </w:rPr>
        <w:t xml:space="preserve"> to ensure that the billing regime addresses both hydrogen and biomethane: a solution that accommodates only one of them and undermines the other will not be suitable - both green gases are set to play an important role to advance the decarbonisation of the gas grid and reach net zero.</w:t>
      </w:r>
    </w:p>
    <w:p w14:paraId="7E562CE9" w14:textId="17BD361D" w:rsidR="004D4EC8" w:rsidRDefault="004D4EC8" w:rsidP="004D4EC8">
      <w:pPr>
        <w:spacing w:before="120" w:after="120" w:line="240" w:lineRule="auto"/>
        <w:rPr>
          <w:rFonts w:ascii="Open Sans" w:eastAsia="Times New Roman" w:hAnsi="Open Sans" w:cs="Open Sans"/>
          <w:lang w:eastAsia="en-GB"/>
        </w:rPr>
      </w:pPr>
      <w:r>
        <w:rPr>
          <w:rFonts w:ascii="Open Sans" w:eastAsia="Times New Roman" w:hAnsi="Open Sans" w:cs="Open Sans"/>
          <w:lang w:eastAsia="en-GB"/>
        </w:rPr>
        <w:t>Notwithstanding this, we believe that t</w:t>
      </w:r>
      <w:r w:rsidRPr="00E34D54">
        <w:rPr>
          <w:rFonts w:ascii="Open Sans" w:eastAsia="Times New Roman" w:hAnsi="Open Sans" w:cs="Open Sans"/>
          <w:lang w:eastAsia="en-GB"/>
        </w:rPr>
        <w:t xml:space="preserve">here needs to be a clear political steer </w:t>
      </w:r>
      <w:r>
        <w:rPr>
          <w:rFonts w:ascii="Open Sans" w:eastAsia="Times New Roman" w:hAnsi="Open Sans" w:cs="Open Sans"/>
          <w:lang w:eastAsia="en-GB"/>
        </w:rPr>
        <w:t xml:space="preserve">from Government on what they want to see in terms of blending. Once Government has set a clear direction of travel, then industry experts can </w:t>
      </w:r>
      <w:r w:rsidRPr="00E34D54">
        <w:rPr>
          <w:rFonts w:ascii="Open Sans" w:eastAsia="Times New Roman" w:hAnsi="Open Sans" w:cs="Open Sans"/>
          <w:lang w:eastAsia="en-GB"/>
        </w:rPr>
        <w:t xml:space="preserve">work out the </w:t>
      </w:r>
      <w:r>
        <w:rPr>
          <w:rFonts w:ascii="Open Sans" w:eastAsia="Times New Roman" w:hAnsi="Open Sans" w:cs="Open Sans"/>
          <w:lang w:eastAsia="en-GB"/>
        </w:rPr>
        <w:t xml:space="preserve">best </w:t>
      </w:r>
      <w:r w:rsidRPr="00E34D54">
        <w:rPr>
          <w:rFonts w:ascii="Open Sans" w:eastAsia="Times New Roman" w:hAnsi="Open Sans" w:cs="Open Sans"/>
          <w:lang w:eastAsia="en-GB"/>
        </w:rPr>
        <w:t xml:space="preserve">solutions to deliver </w:t>
      </w:r>
      <w:r w:rsidR="0006166F">
        <w:rPr>
          <w:rFonts w:ascii="Open Sans" w:eastAsia="Times New Roman" w:hAnsi="Open Sans" w:cs="Open Sans"/>
          <w:lang w:eastAsia="en-GB"/>
        </w:rPr>
        <w:t xml:space="preserve">those priorities. </w:t>
      </w:r>
      <w:r>
        <w:rPr>
          <w:rFonts w:ascii="Open Sans" w:eastAsia="Times New Roman" w:hAnsi="Open Sans" w:cs="Open Sans"/>
          <w:lang w:eastAsia="en-GB"/>
        </w:rPr>
        <w:t xml:space="preserve"> </w:t>
      </w:r>
    </w:p>
    <w:p w14:paraId="6CACA5CC" w14:textId="4B05D876" w:rsidR="004D4EC8" w:rsidRPr="000D610A" w:rsidRDefault="004D4EC8" w:rsidP="000925FA">
      <w:pPr>
        <w:spacing w:before="120" w:after="120" w:line="240" w:lineRule="auto"/>
        <w:rPr>
          <w:rFonts w:ascii="Open Sans" w:eastAsia="Times New Roman" w:hAnsi="Open Sans" w:cs="Open Sans"/>
          <w:lang w:eastAsia="en-GB"/>
        </w:rPr>
      </w:pPr>
    </w:p>
    <w:p w14:paraId="3C5A35DD" w14:textId="2BF85503" w:rsidR="000D610A" w:rsidRDefault="00571A90" w:rsidP="00571A90">
      <w:pPr>
        <w:pStyle w:val="Heading1"/>
        <w:rPr>
          <w:rFonts w:ascii="Open Sans" w:hAnsi="Open Sans" w:cs="Open Sans"/>
        </w:rPr>
      </w:pPr>
      <w:bookmarkStart w:id="6" w:name="_Other_important_barriers"/>
      <w:bookmarkEnd w:id="6"/>
      <w:r w:rsidRPr="00571A90">
        <w:rPr>
          <w:rFonts w:ascii="Open Sans" w:hAnsi="Open Sans" w:cs="Open Sans"/>
        </w:rPr>
        <w:t xml:space="preserve">Other important barriers to be addressed </w:t>
      </w:r>
    </w:p>
    <w:p w14:paraId="4D0325CC" w14:textId="77777777" w:rsidR="00571A90" w:rsidRDefault="00571A90" w:rsidP="00571A90">
      <w:pPr>
        <w:spacing w:before="120" w:after="120"/>
        <w:rPr>
          <w:rFonts w:ascii="Open Sans" w:hAnsi="Open Sans" w:cs="Open Sans"/>
          <w:i/>
          <w:iCs/>
          <w:u w:val="single"/>
        </w:rPr>
      </w:pPr>
      <w:r>
        <w:rPr>
          <w:rFonts w:ascii="Open Sans" w:hAnsi="Open Sans" w:cs="Open Sans"/>
          <w:i/>
          <w:iCs/>
          <w:u w:val="single"/>
        </w:rPr>
        <w:t xml:space="preserve">Reducing the cost of grid electricity </w:t>
      </w:r>
    </w:p>
    <w:p w14:paraId="0CCDF022" w14:textId="22AF2FF2" w:rsidR="00571A90" w:rsidRDefault="00571A90" w:rsidP="00571A90">
      <w:pPr>
        <w:spacing w:before="120" w:after="120"/>
        <w:rPr>
          <w:rFonts w:ascii="Open Sans" w:hAnsi="Open Sans" w:cs="Open Sans"/>
        </w:rPr>
      </w:pPr>
      <w:r>
        <w:rPr>
          <w:rFonts w:ascii="Open Sans" w:hAnsi="Open Sans" w:cs="Open Sans"/>
        </w:rPr>
        <w:t>As previously highlighted to BEIS, one of the key barriers to the deployment of electrolytic hydrogen projects connected to the grid remains operational costs. In addition to the cost of electricity itself, further costs are added by regulatory support levies and system fees applying to electricity bills. if Government wishes to see a high number of electrolytic projects being developed in the short and medium term, measures could be taken to reduce these costs so that electrolysers can access cheaper grid electricity. Such measures could be considered as part of the upcoming Government’s Fairness and Affordability Call for Evidence.</w:t>
      </w:r>
    </w:p>
    <w:p w14:paraId="37699841" w14:textId="77777777" w:rsidR="00571A90" w:rsidRDefault="00571A90" w:rsidP="00571A90">
      <w:pPr>
        <w:spacing w:before="120" w:after="120"/>
        <w:rPr>
          <w:rFonts w:ascii="Open Sans" w:hAnsi="Open Sans" w:cs="Open Sans"/>
        </w:rPr>
      </w:pPr>
      <w:r>
        <w:rPr>
          <w:rFonts w:ascii="Open Sans" w:hAnsi="Open Sans" w:cs="Open Sans"/>
        </w:rPr>
        <w:t xml:space="preserve">The REA believe it is paramount that, in addition to developing business models, providing capital grants, and supporting blending, measures are taken to reduce the running cost of grid connected electrolysers by enabling them to access cheaper renewable electricity. This can be done by: </w:t>
      </w:r>
    </w:p>
    <w:p w14:paraId="6902D48C" w14:textId="77777777" w:rsidR="00571A90" w:rsidRDefault="00571A90" w:rsidP="00571A90">
      <w:pPr>
        <w:pStyle w:val="ListParagraph"/>
        <w:numPr>
          <w:ilvl w:val="0"/>
          <w:numId w:val="19"/>
        </w:numPr>
        <w:spacing w:before="120" w:after="120" w:line="240" w:lineRule="auto"/>
        <w:ind w:left="284" w:hanging="284"/>
        <w:rPr>
          <w:rFonts w:ascii="Open Sans" w:hAnsi="Open Sans" w:cs="Open Sans"/>
        </w:rPr>
      </w:pPr>
      <w:r>
        <w:rPr>
          <w:rFonts w:ascii="Open Sans" w:hAnsi="Open Sans" w:cs="Open Sans"/>
        </w:rPr>
        <w:t xml:space="preserve">Exempting electrolysers from ’green levies’ on electricity bills – i.e. electrolysis could be on the list as energy intensive users (see EII Scheme), thereby qualifying such sites for exemption from the indirect costs of funding Contracts for Difference (CFDs), the Renewables Obligation (RO) and the small scale Feed in Tariff (FIT). </w:t>
      </w:r>
    </w:p>
    <w:p w14:paraId="2CA0DE05" w14:textId="77777777" w:rsidR="00571A90" w:rsidRDefault="00571A90" w:rsidP="00571A90">
      <w:pPr>
        <w:pStyle w:val="ListParagraph"/>
        <w:numPr>
          <w:ilvl w:val="0"/>
          <w:numId w:val="19"/>
        </w:numPr>
        <w:spacing w:before="120" w:after="120" w:line="240" w:lineRule="auto"/>
        <w:ind w:left="284" w:hanging="284"/>
        <w:rPr>
          <w:rFonts w:ascii="Open Sans" w:hAnsi="Open Sans" w:cs="Open Sans"/>
        </w:rPr>
      </w:pPr>
      <w:r>
        <w:rPr>
          <w:rFonts w:ascii="Open Sans" w:hAnsi="Open Sans" w:cs="Open Sans"/>
        </w:rPr>
        <w:t>Exempting electrolysers that provide grid services from use of system fees (on a time limited basis), or adopting an approach similar to the new rules for grid balancing charges borne by energy storage assets – i.e. on a net usage basis (exemption from final consumption levy double charging like storage devices</w:t>
      </w:r>
      <w:r>
        <w:rPr>
          <w:rStyle w:val="FootnoteReference"/>
          <w:rFonts w:ascii="Open Sans" w:hAnsi="Open Sans" w:cs="Open Sans"/>
        </w:rPr>
        <w:footnoteReference w:customMarkFollows="1" w:id="2"/>
        <w:t>[1]</w:t>
      </w:r>
      <w:r>
        <w:rPr>
          <w:rFonts w:ascii="Open Sans" w:hAnsi="Open Sans" w:cs="Open Sans"/>
        </w:rPr>
        <w:t xml:space="preserve">). </w:t>
      </w:r>
    </w:p>
    <w:p w14:paraId="70E22ED3" w14:textId="77777777" w:rsidR="00571A90" w:rsidRPr="00571A90" w:rsidRDefault="00571A90" w:rsidP="00571A90"/>
    <w:p w14:paraId="41DA2E20" w14:textId="77777777" w:rsidR="00571A90" w:rsidRDefault="00571A90" w:rsidP="000D610A">
      <w:pPr>
        <w:spacing w:before="120" w:after="120" w:line="240" w:lineRule="auto"/>
        <w:rPr>
          <w:rFonts w:ascii="Open Sans" w:eastAsia="Times New Roman" w:hAnsi="Open Sans" w:cs="Open Sans"/>
          <w:lang w:eastAsia="en-GB"/>
        </w:rPr>
      </w:pPr>
    </w:p>
    <w:p w14:paraId="5369DF3B" w14:textId="77777777" w:rsidR="000D610A" w:rsidRDefault="000D610A" w:rsidP="000D610A">
      <w:pPr>
        <w:spacing w:before="120" w:after="120" w:line="240" w:lineRule="auto"/>
        <w:rPr>
          <w:rFonts w:ascii="Open Sans" w:eastAsia="Times New Roman" w:hAnsi="Open Sans" w:cs="Open Sans"/>
          <w:lang w:eastAsia="en-GB"/>
        </w:rPr>
      </w:pPr>
    </w:p>
    <w:sectPr w:rsidR="000D610A">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8BD4" w14:textId="77777777" w:rsidR="00407B40" w:rsidRDefault="00407B40" w:rsidP="00791B55">
      <w:pPr>
        <w:spacing w:after="0" w:line="240" w:lineRule="auto"/>
      </w:pPr>
      <w:r>
        <w:separator/>
      </w:r>
    </w:p>
  </w:endnote>
  <w:endnote w:type="continuationSeparator" w:id="0">
    <w:p w14:paraId="5F49A68A" w14:textId="77777777" w:rsidR="00407B40" w:rsidRDefault="00407B40" w:rsidP="0079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667882"/>
      <w:docPartObj>
        <w:docPartGallery w:val="Page Numbers (Bottom of Page)"/>
        <w:docPartUnique/>
      </w:docPartObj>
    </w:sdtPr>
    <w:sdtEndPr>
      <w:rPr>
        <w:noProof/>
      </w:rPr>
    </w:sdtEndPr>
    <w:sdtContent>
      <w:p w14:paraId="77868E7A" w14:textId="38035688" w:rsidR="00791B55" w:rsidRDefault="00791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79B9E7" w14:textId="77777777" w:rsidR="00791B55" w:rsidRDefault="0079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2022" w14:textId="77777777" w:rsidR="00407B40" w:rsidRDefault="00407B40" w:rsidP="00791B55">
      <w:pPr>
        <w:spacing w:after="0" w:line="240" w:lineRule="auto"/>
      </w:pPr>
      <w:r>
        <w:separator/>
      </w:r>
    </w:p>
  </w:footnote>
  <w:footnote w:type="continuationSeparator" w:id="0">
    <w:p w14:paraId="4067683D" w14:textId="77777777" w:rsidR="00407B40" w:rsidRDefault="00407B40" w:rsidP="00791B55">
      <w:pPr>
        <w:spacing w:after="0" w:line="240" w:lineRule="auto"/>
      </w:pPr>
      <w:r>
        <w:continuationSeparator/>
      </w:r>
    </w:p>
  </w:footnote>
  <w:footnote w:id="1">
    <w:p w14:paraId="70277B50" w14:textId="77777777" w:rsidR="00F52C97" w:rsidRDefault="00F52C97" w:rsidP="00F52C97">
      <w:pPr>
        <w:pStyle w:val="FootnoteText"/>
      </w:pPr>
      <w:r>
        <w:rPr>
          <w:rStyle w:val="FootnoteReference"/>
        </w:rPr>
        <w:t>[1]</w:t>
      </w:r>
      <w:r>
        <w:t xml:space="preserve"> </w:t>
      </w:r>
      <w:r>
        <w:rPr>
          <w:rFonts w:ascii="Open Sans" w:hAnsi="Open Sans" w:cs="Open Sans"/>
        </w:rPr>
        <w:t>S100(5) of the Energy Act 2008</w:t>
      </w:r>
    </w:p>
  </w:footnote>
  <w:footnote w:id="2">
    <w:p w14:paraId="32723385" w14:textId="77777777" w:rsidR="00571A90" w:rsidRDefault="00571A90" w:rsidP="00571A90">
      <w:pPr>
        <w:pStyle w:val="FootnoteText"/>
      </w:pPr>
      <w:r>
        <w:rPr>
          <w:rStyle w:val="FootnoteReference"/>
        </w:rPr>
        <w:t>[1]</w:t>
      </w:r>
      <w:r>
        <w:t xml:space="preserve"> </w:t>
      </w:r>
      <w:r>
        <w:rPr>
          <w:rFonts w:ascii="Open Sans" w:hAnsi="Open Sans" w:cs="Open Sans"/>
          <w:sz w:val="22"/>
          <w:szCs w:val="22"/>
        </w:rPr>
        <w:t> </w:t>
      </w:r>
      <w:r>
        <w:rPr>
          <w:rFonts w:ascii="Open Sans" w:hAnsi="Open Sans" w:cs="Open Sans"/>
          <w:sz w:val="18"/>
          <w:szCs w:val="18"/>
        </w:rPr>
        <w:t>When charging and discharging from the grid, storage devices in the past were paying fees for both these activities on a gross basis. However, there have been grid modifications made that allow them to be charged only on a net usage basis. This recognises the fact these devices are aiding the electricity system flexibility. A similar approach needs to be applied to hydrogen electrolysers that are grid connected.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B9D" w14:textId="411DE68C" w:rsidR="002A0285" w:rsidRDefault="00264372">
    <w:pPr>
      <w:pStyle w:val="Header"/>
    </w:pPr>
    <w:r>
      <w:rPr>
        <w:noProof/>
      </w:rPr>
      <w:pict w14:anchorId="0B4DC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92641" o:spid="_x0000_s1026"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DB9" w14:textId="2036958D" w:rsidR="00D0143D" w:rsidRPr="00D0143D" w:rsidRDefault="00264372">
    <w:pPr>
      <w:pStyle w:val="Header"/>
      <w:rPr>
        <w:rFonts w:ascii="Open Sans" w:hAnsi="Open Sans" w:cs="Open Sans"/>
      </w:rPr>
    </w:pPr>
    <w:r>
      <w:rPr>
        <w:noProof/>
      </w:rPr>
      <w:pict w14:anchorId="063B3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92642" o:spid="_x0000_s1027"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26B38">
      <w:rPr>
        <w:noProof/>
      </w:rPr>
      <w:drawing>
        <wp:anchor distT="0" distB="0" distL="114300" distR="114300" simplePos="0" relativeHeight="251659264" behindDoc="0" locked="0" layoutInCell="1" hidden="0" allowOverlap="1" wp14:anchorId="551A497E" wp14:editId="61731D4F">
          <wp:simplePos x="0" y="0"/>
          <wp:positionH relativeFrom="column">
            <wp:posOffset>4213860</wp:posOffset>
          </wp:positionH>
          <wp:positionV relativeFrom="paragraph">
            <wp:posOffset>-305435</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r w:rsidR="00D0143D" w:rsidRPr="00D0143D">
      <w:rPr>
        <w:rFonts w:ascii="Open Sans" w:hAnsi="Open Sans" w:cs="Open Sans"/>
      </w:rPr>
      <w:t xml:space="preserve">REA. </w:t>
    </w:r>
    <w:r w:rsidR="00D94C93">
      <w:rPr>
        <w:rFonts w:ascii="Open Sans" w:hAnsi="Open Sans" w:cs="Open Sans"/>
      </w:rPr>
      <w:t>3</w:t>
    </w:r>
    <w:r w:rsidR="0030158F">
      <w:rPr>
        <w:rFonts w:ascii="Open Sans" w:hAnsi="Open Sans" w:cs="Open Sans"/>
      </w:rPr>
      <w:t>1</w:t>
    </w:r>
    <w:r w:rsidR="00D94C93">
      <w:rPr>
        <w:rFonts w:ascii="Open Sans" w:hAnsi="Open Sans" w:cs="Open Sans"/>
      </w:rPr>
      <w:t>/03/2022</w:t>
    </w:r>
    <w:r w:rsidR="00D0143D" w:rsidRPr="00D0143D">
      <w:rPr>
        <w:rFonts w:ascii="Open Sans" w:hAnsi="Open Sans" w:cs="Open Sans"/>
      </w:rPr>
      <w:t xml:space="preserve">, </w:t>
    </w:r>
    <w:r w:rsidR="002A0285">
      <w:rPr>
        <w:rFonts w:ascii="Open Sans" w:hAnsi="Open Sans" w:cs="Open Sans"/>
      </w:rPr>
      <w:t xml:space="preserve">draft </w:t>
    </w:r>
    <w:r w:rsidR="00EE28E4">
      <w:rPr>
        <w:rFonts w:ascii="Open Sans" w:hAnsi="Open Sans" w:cs="Open Sans"/>
      </w:rPr>
      <w:t>V</w:t>
    </w:r>
    <w:r w:rsidR="00D94C93">
      <w:rPr>
        <w:rFonts w:ascii="Open Sans" w:hAnsi="Open Sans" w:cs="Open San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470B" w14:textId="364C3ABF" w:rsidR="002A0285" w:rsidRDefault="00264372">
    <w:pPr>
      <w:pStyle w:val="Header"/>
    </w:pPr>
    <w:r>
      <w:rPr>
        <w:noProof/>
      </w:rPr>
      <w:pict w14:anchorId="7A0F4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92640" o:spid="_x0000_s1025"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DF"/>
    <w:multiLevelType w:val="hybridMultilevel"/>
    <w:tmpl w:val="66B22F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32F0C"/>
    <w:multiLevelType w:val="hybridMultilevel"/>
    <w:tmpl w:val="41BE6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620034"/>
    <w:multiLevelType w:val="hybridMultilevel"/>
    <w:tmpl w:val="153C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462C7"/>
    <w:multiLevelType w:val="hybridMultilevel"/>
    <w:tmpl w:val="6F9C1008"/>
    <w:lvl w:ilvl="0" w:tplc="FFFFFFFF">
      <w:start w:val="1"/>
      <w:numFmt w:val="upperLetter"/>
      <w:lvlText w:val="%1."/>
      <w:lvlJc w:val="left"/>
      <w:pPr>
        <w:ind w:left="720" w:hanging="360"/>
      </w:pPr>
      <w:rPr>
        <w:rFonts w:hint="default"/>
        <w:b/>
      </w:rPr>
    </w:lvl>
    <w:lvl w:ilvl="1" w:tplc="0809000D">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C34E7"/>
    <w:multiLevelType w:val="hybridMultilevel"/>
    <w:tmpl w:val="94AE50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761B1"/>
    <w:multiLevelType w:val="hybridMultilevel"/>
    <w:tmpl w:val="30CA11E8"/>
    <w:lvl w:ilvl="0" w:tplc="0809000D">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A74C18"/>
    <w:multiLevelType w:val="hybridMultilevel"/>
    <w:tmpl w:val="FF5E4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4968B2"/>
    <w:multiLevelType w:val="hybridMultilevel"/>
    <w:tmpl w:val="5EE6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B1AE4"/>
    <w:multiLevelType w:val="hybridMultilevel"/>
    <w:tmpl w:val="B972CBFC"/>
    <w:lvl w:ilvl="0" w:tplc="3B3CF43E">
      <w:start w:val="1"/>
      <w:numFmt w:val="bullet"/>
      <w:lvlText w:val="•"/>
      <w:lvlJc w:val="left"/>
      <w:pPr>
        <w:tabs>
          <w:tab w:val="num" w:pos="720"/>
        </w:tabs>
        <w:ind w:left="720" w:hanging="360"/>
      </w:pPr>
      <w:rPr>
        <w:rFonts w:ascii="Arial" w:hAnsi="Arial" w:hint="default"/>
      </w:rPr>
    </w:lvl>
    <w:lvl w:ilvl="1" w:tplc="B6161544" w:tentative="1">
      <w:start w:val="1"/>
      <w:numFmt w:val="bullet"/>
      <w:lvlText w:val="•"/>
      <w:lvlJc w:val="left"/>
      <w:pPr>
        <w:tabs>
          <w:tab w:val="num" w:pos="1440"/>
        </w:tabs>
        <w:ind w:left="1440" w:hanging="360"/>
      </w:pPr>
      <w:rPr>
        <w:rFonts w:ascii="Arial" w:hAnsi="Arial" w:hint="default"/>
      </w:rPr>
    </w:lvl>
    <w:lvl w:ilvl="2" w:tplc="31A258D8" w:tentative="1">
      <w:start w:val="1"/>
      <w:numFmt w:val="bullet"/>
      <w:lvlText w:val="•"/>
      <w:lvlJc w:val="left"/>
      <w:pPr>
        <w:tabs>
          <w:tab w:val="num" w:pos="2160"/>
        </w:tabs>
        <w:ind w:left="2160" w:hanging="360"/>
      </w:pPr>
      <w:rPr>
        <w:rFonts w:ascii="Arial" w:hAnsi="Arial" w:hint="default"/>
      </w:rPr>
    </w:lvl>
    <w:lvl w:ilvl="3" w:tplc="D37240DE" w:tentative="1">
      <w:start w:val="1"/>
      <w:numFmt w:val="bullet"/>
      <w:lvlText w:val="•"/>
      <w:lvlJc w:val="left"/>
      <w:pPr>
        <w:tabs>
          <w:tab w:val="num" w:pos="2880"/>
        </w:tabs>
        <w:ind w:left="2880" w:hanging="360"/>
      </w:pPr>
      <w:rPr>
        <w:rFonts w:ascii="Arial" w:hAnsi="Arial" w:hint="default"/>
      </w:rPr>
    </w:lvl>
    <w:lvl w:ilvl="4" w:tplc="072443E6" w:tentative="1">
      <w:start w:val="1"/>
      <w:numFmt w:val="bullet"/>
      <w:lvlText w:val="•"/>
      <w:lvlJc w:val="left"/>
      <w:pPr>
        <w:tabs>
          <w:tab w:val="num" w:pos="3600"/>
        </w:tabs>
        <w:ind w:left="3600" w:hanging="360"/>
      </w:pPr>
      <w:rPr>
        <w:rFonts w:ascii="Arial" w:hAnsi="Arial" w:hint="default"/>
      </w:rPr>
    </w:lvl>
    <w:lvl w:ilvl="5" w:tplc="1AAEEF90" w:tentative="1">
      <w:start w:val="1"/>
      <w:numFmt w:val="bullet"/>
      <w:lvlText w:val="•"/>
      <w:lvlJc w:val="left"/>
      <w:pPr>
        <w:tabs>
          <w:tab w:val="num" w:pos="4320"/>
        </w:tabs>
        <w:ind w:left="4320" w:hanging="360"/>
      </w:pPr>
      <w:rPr>
        <w:rFonts w:ascii="Arial" w:hAnsi="Arial" w:hint="default"/>
      </w:rPr>
    </w:lvl>
    <w:lvl w:ilvl="6" w:tplc="224280F2" w:tentative="1">
      <w:start w:val="1"/>
      <w:numFmt w:val="bullet"/>
      <w:lvlText w:val="•"/>
      <w:lvlJc w:val="left"/>
      <w:pPr>
        <w:tabs>
          <w:tab w:val="num" w:pos="5040"/>
        </w:tabs>
        <w:ind w:left="5040" w:hanging="360"/>
      </w:pPr>
      <w:rPr>
        <w:rFonts w:ascii="Arial" w:hAnsi="Arial" w:hint="default"/>
      </w:rPr>
    </w:lvl>
    <w:lvl w:ilvl="7" w:tplc="504A801A" w:tentative="1">
      <w:start w:val="1"/>
      <w:numFmt w:val="bullet"/>
      <w:lvlText w:val="•"/>
      <w:lvlJc w:val="left"/>
      <w:pPr>
        <w:tabs>
          <w:tab w:val="num" w:pos="5760"/>
        </w:tabs>
        <w:ind w:left="5760" w:hanging="360"/>
      </w:pPr>
      <w:rPr>
        <w:rFonts w:ascii="Arial" w:hAnsi="Arial" w:hint="default"/>
      </w:rPr>
    </w:lvl>
    <w:lvl w:ilvl="8" w:tplc="D780D8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C66415"/>
    <w:multiLevelType w:val="hybridMultilevel"/>
    <w:tmpl w:val="79DEC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165307"/>
    <w:multiLevelType w:val="hybridMultilevel"/>
    <w:tmpl w:val="B96015A8"/>
    <w:lvl w:ilvl="0" w:tplc="1C985D86">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E3FD8"/>
    <w:multiLevelType w:val="hybridMultilevel"/>
    <w:tmpl w:val="BF72EA92"/>
    <w:lvl w:ilvl="0" w:tplc="8806B7A4">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E564F"/>
    <w:multiLevelType w:val="hybridMultilevel"/>
    <w:tmpl w:val="9B0212DA"/>
    <w:lvl w:ilvl="0" w:tplc="FFFFFFFF">
      <w:start w:val="1"/>
      <w:numFmt w:val="upp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cs="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601AF8"/>
    <w:multiLevelType w:val="hybridMultilevel"/>
    <w:tmpl w:val="8910AF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370761"/>
    <w:multiLevelType w:val="hybridMultilevel"/>
    <w:tmpl w:val="027A57C6"/>
    <w:lvl w:ilvl="0" w:tplc="B9D25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A6D2C"/>
    <w:multiLevelType w:val="hybridMultilevel"/>
    <w:tmpl w:val="FC96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B82F40"/>
    <w:multiLevelType w:val="hybridMultilevel"/>
    <w:tmpl w:val="F2F67C02"/>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A6FEB"/>
    <w:multiLevelType w:val="hybridMultilevel"/>
    <w:tmpl w:val="C54C8F3C"/>
    <w:lvl w:ilvl="0" w:tplc="87BA5E4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16"/>
  </w:num>
  <w:num w:numId="9">
    <w:abstractNumId w:val="4"/>
  </w:num>
  <w:num w:numId="10">
    <w:abstractNumId w:val="17"/>
  </w:num>
  <w:num w:numId="11">
    <w:abstractNumId w:val="11"/>
  </w:num>
  <w:num w:numId="12">
    <w:abstractNumId w:val="12"/>
  </w:num>
  <w:num w:numId="13">
    <w:abstractNumId w:val="3"/>
  </w:num>
  <w:num w:numId="14">
    <w:abstractNumId w:val="7"/>
  </w:num>
  <w:num w:numId="15">
    <w:abstractNumId w:val="0"/>
  </w:num>
  <w:num w:numId="16">
    <w:abstractNumId w:val="14"/>
  </w:num>
  <w:num w:numId="17">
    <w:abstractNumId w:val="8"/>
  </w:num>
  <w:num w:numId="18">
    <w:abstractNumId w:val="13"/>
  </w:num>
  <w:num w:numId="1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BE"/>
    <w:rsid w:val="000170E1"/>
    <w:rsid w:val="00055142"/>
    <w:rsid w:val="00055DD5"/>
    <w:rsid w:val="00060338"/>
    <w:rsid w:val="0006166F"/>
    <w:rsid w:val="00071316"/>
    <w:rsid w:val="000925FA"/>
    <w:rsid w:val="000B0129"/>
    <w:rsid w:val="000B6BBC"/>
    <w:rsid w:val="000D610A"/>
    <w:rsid w:val="000F3DD9"/>
    <w:rsid w:val="001113DB"/>
    <w:rsid w:val="00112B21"/>
    <w:rsid w:val="001225D5"/>
    <w:rsid w:val="001841C9"/>
    <w:rsid w:val="001A1F4F"/>
    <w:rsid w:val="001C44AA"/>
    <w:rsid w:val="00224CBA"/>
    <w:rsid w:val="00240D56"/>
    <w:rsid w:val="00264372"/>
    <w:rsid w:val="00266779"/>
    <w:rsid w:val="002A0285"/>
    <w:rsid w:val="002C3EC2"/>
    <w:rsid w:val="002E325B"/>
    <w:rsid w:val="0030158F"/>
    <w:rsid w:val="00301CED"/>
    <w:rsid w:val="0031779C"/>
    <w:rsid w:val="00335B20"/>
    <w:rsid w:val="00350897"/>
    <w:rsid w:val="003539F2"/>
    <w:rsid w:val="00367015"/>
    <w:rsid w:val="0036797F"/>
    <w:rsid w:val="00382903"/>
    <w:rsid w:val="003F3870"/>
    <w:rsid w:val="00407B40"/>
    <w:rsid w:val="0045164E"/>
    <w:rsid w:val="004709A9"/>
    <w:rsid w:val="004765D3"/>
    <w:rsid w:val="004C3692"/>
    <w:rsid w:val="004D4EC8"/>
    <w:rsid w:val="004D7879"/>
    <w:rsid w:val="004E346C"/>
    <w:rsid w:val="004F6A20"/>
    <w:rsid w:val="004F6D6F"/>
    <w:rsid w:val="00510027"/>
    <w:rsid w:val="00542750"/>
    <w:rsid w:val="0054436D"/>
    <w:rsid w:val="00563AAF"/>
    <w:rsid w:val="00571A90"/>
    <w:rsid w:val="0057478B"/>
    <w:rsid w:val="005A38ED"/>
    <w:rsid w:val="005B56CF"/>
    <w:rsid w:val="005E748F"/>
    <w:rsid w:val="00611659"/>
    <w:rsid w:val="00683AF7"/>
    <w:rsid w:val="006B7998"/>
    <w:rsid w:val="006D0494"/>
    <w:rsid w:val="0070483A"/>
    <w:rsid w:val="0070550B"/>
    <w:rsid w:val="00711933"/>
    <w:rsid w:val="00720398"/>
    <w:rsid w:val="007369AA"/>
    <w:rsid w:val="007370D8"/>
    <w:rsid w:val="00791B55"/>
    <w:rsid w:val="007B6D20"/>
    <w:rsid w:val="007C7072"/>
    <w:rsid w:val="007C7DB8"/>
    <w:rsid w:val="007D4F2B"/>
    <w:rsid w:val="007E5F6A"/>
    <w:rsid w:val="008932C4"/>
    <w:rsid w:val="00894A30"/>
    <w:rsid w:val="008E0406"/>
    <w:rsid w:val="00901FC1"/>
    <w:rsid w:val="00916CBE"/>
    <w:rsid w:val="00925E81"/>
    <w:rsid w:val="009358F0"/>
    <w:rsid w:val="0096215F"/>
    <w:rsid w:val="00996200"/>
    <w:rsid w:val="009A0E5B"/>
    <w:rsid w:val="009D5AFE"/>
    <w:rsid w:val="00A0010C"/>
    <w:rsid w:val="00A03202"/>
    <w:rsid w:val="00A045F7"/>
    <w:rsid w:val="00A05559"/>
    <w:rsid w:val="00A26B38"/>
    <w:rsid w:val="00A44F34"/>
    <w:rsid w:val="00A56A9D"/>
    <w:rsid w:val="00A86399"/>
    <w:rsid w:val="00AA0ACB"/>
    <w:rsid w:val="00AA0BE8"/>
    <w:rsid w:val="00AA12FC"/>
    <w:rsid w:val="00AC168E"/>
    <w:rsid w:val="00AC1E97"/>
    <w:rsid w:val="00AC6D4E"/>
    <w:rsid w:val="00AE613B"/>
    <w:rsid w:val="00AF1734"/>
    <w:rsid w:val="00B64484"/>
    <w:rsid w:val="00BC13D3"/>
    <w:rsid w:val="00BC6182"/>
    <w:rsid w:val="00C04C51"/>
    <w:rsid w:val="00C0689A"/>
    <w:rsid w:val="00C13587"/>
    <w:rsid w:val="00C2731B"/>
    <w:rsid w:val="00C319CB"/>
    <w:rsid w:val="00C56862"/>
    <w:rsid w:val="00C6279E"/>
    <w:rsid w:val="00C74634"/>
    <w:rsid w:val="00CB28A1"/>
    <w:rsid w:val="00D0143D"/>
    <w:rsid w:val="00D0741E"/>
    <w:rsid w:val="00D24E7E"/>
    <w:rsid w:val="00D86D39"/>
    <w:rsid w:val="00D94C93"/>
    <w:rsid w:val="00D95C54"/>
    <w:rsid w:val="00DE4DA6"/>
    <w:rsid w:val="00DF1F4C"/>
    <w:rsid w:val="00DF794E"/>
    <w:rsid w:val="00E26C18"/>
    <w:rsid w:val="00E331E6"/>
    <w:rsid w:val="00E34D54"/>
    <w:rsid w:val="00E57179"/>
    <w:rsid w:val="00E8064D"/>
    <w:rsid w:val="00E86467"/>
    <w:rsid w:val="00EB50CB"/>
    <w:rsid w:val="00EE28E4"/>
    <w:rsid w:val="00F070D2"/>
    <w:rsid w:val="00F45095"/>
    <w:rsid w:val="00F52C97"/>
    <w:rsid w:val="00F72126"/>
    <w:rsid w:val="00F92001"/>
    <w:rsid w:val="00F937D2"/>
    <w:rsid w:val="00FD2CE5"/>
    <w:rsid w:val="00FE0417"/>
    <w:rsid w:val="00FF0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BE65A"/>
  <w15:chartTrackingRefBased/>
  <w15:docId w15:val="{03C852F7-BEBB-4298-AB78-214C4868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BBC"/>
    <w:pPr>
      <w:ind w:left="720"/>
      <w:contextualSpacing/>
    </w:pPr>
  </w:style>
  <w:style w:type="character" w:styleId="CommentReference">
    <w:name w:val="annotation reference"/>
    <w:basedOn w:val="DefaultParagraphFont"/>
    <w:uiPriority w:val="99"/>
    <w:semiHidden/>
    <w:unhideWhenUsed/>
    <w:rsid w:val="00A44F34"/>
    <w:rPr>
      <w:sz w:val="16"/>
      <w:szCs w:val="16"/>
    </w:rPr>
  </w:style>
  <w:style w:type="paragraph" w:styleId="CommentText">
    <w:name w:val="annotation text"/>
    <w:basedOn w:val="Normal"/>
    <w:link w:val="CommentTextChar"/>
    <w:uiPriority w:val="99"/>
    <w:unhideWhenUsed/>
    <w:rsid w:val="00A44F34"/>
    <w:pPr>
      <w:spacing w:line="240" w:lineRule="auto"/>
    </w:pPr>
    <w:rPr>
      <w:sz w:val="20"/>
      <w:szCs w:val="20"/>
    </w:rPr>
  </w:style>
  <w:style w:type="character" w:customStyle="1" w:styleId="CommentTextChar">
    <w:name w:val="Comment Text Char"/>
    <w:basedOn w:val="DefaultParagraphFont"/>
    <w:link w:val="CommentText"/>
    <w:uiPriority w:val="99"/>
    <w:rsid w:val="00A44F34"/>
    <w:rPr>
      <w:sz w:val="20"/>
      <w:szCs w:val="20"/>
    </w:rPr>
  </w:style>
  <w:style w:type="paragraph" w:styleId="CommentSubject">
    <w:name w:val="annotation subject"/>
    <w:basedOn w:val="CommentText"/>
    <w:next w:val="CommentText"/>
    <w:link w:val="CommentSubjectChar"/>
    <w:uiPriority w:val="99"/>
    <w:semiHidden/>
    <w:unhideWhenUsed/>
    <w:rsid w:val="00A44F34"/>
    <w:rPr>
      <w:b/>
      <w:bCs/>
    </w:rPr>
  </w:style>
  <w:style w:type="character" w:customStyle="1" w:styleId="CommentSubjectChar">
    <w:name w:val="Comment Subject Char"/>
    <w:basedOn w:val="CommentTextChar"/>
    <w:link w:val="CommentSubject"/>
    <w:uiPriority w:val="99"/>
    <w:semiHidden/>
    <w:rsid w:val="00A44F34"/>
    <w:rPr>
      <w:b/>
      <w:bCs/>
      <w:sz w:val="20"/>
      <w:szCs w:val="20"/>
    </w:rPr>
  </w:style>
  <w:style w:type="paragraph" w:styleId="Header">
    <w:name w:val="header"/>
    <w:basedOn w:val="Normal"/>
    <w:link w:val="HeaderChar"/>
    <w:uiPriority w:val="99"/>
    <w:unhideWhenUsed/>
    <w:rsid w:val="00791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B55"/>
  </w:style>
  <w:style w:type="paragraph" w:styleId="Footer">
    <w:name w:val="footer"/>
    <w:basedOn w:val="Normal"/>
    <w:link w:val="FooterChar"/>
    <w:uiPriority w:val="99"/>
    <w:unhideWhenUsed/>
    <w:rsid w:val="00791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B55"/>
  </w:style>
  <w:style w:type="paragraph" w:styleId="Revision">
    <w:name w:val="Revision"/>
    <w:hidden/>
    <w:uiPriority w:val="99"/>
    <w:semiHidden/>
    <w:rsid w:val="000170E1"/>
    <w:pPr>
      <w:spacing w:after="0" w:line="240" w:lineRule="auto"/>
    </w:pPr>
  </w:style>
  <w:style w:type="character" w:customStyle="1" w:styleId="Heading1Char">
    <w:name w:val="Heading 1 Char"/>
    <w:basedOn w:val="DefaultParagraphFont"/>
    <w:link w:val="Heading1"/>
    <w:uiPriority w:val="9"/>
    <w:rsid w:val="00894A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483A"/>
    <w:rPr>
      <w:color w:val="0563C1" w:themeColor="hyperlink"/>
      <w:u w:val="single"/>
    </w:rPr>
  </w:style>
  <w:style w:type="character" w:styleId="UnresolvedMention">
    <w:name w:val="Unresolved Mention"/>
    <w:basedOn w:val="DefaultParagraphFont"/>
    <w:uiPriority w:val="99"/>
    <w:semiHidden/>
    <w:unhideWhenUsed/>
    <w:rsid w:val="0070483A"/>
    <w:rPr>
      <w:color w:val="605E5C"/>
      <w:shd w:val="clear" w:color="auto" w:fill="E1DFDD"/>
    </w:rPr>
  </w:style>
  <w:style w:type="character" w:styleId="FollowedHyperlink">
    <w:name w:val="FollowedHyperlink"/>
    <w:basedOn w:val="DefaultParagraphFont"/>
    <w:uiPriority w:val="99"/>
    <w:semiHidden/>
    <w:unhideWhenUsed/>
    <w:rsid w:val="00C13587"/>
    <w:rPr>
      <w:color w:val="954F72" w:themeColor="followedHyperlink"/>
      <w:u w:val="single"/>
    </w:rPr>
  </w:style>
  <w:style w:type="paragraph" w:styleId="FootnoteText">
    <w:name w:val="footnote text"/>
    <w:basedOn w:val="Normal"/>
    <w:link w:val="FootnoteTextChar"/>
    <w:uiPriority w:val="99"/>
    <w:semiHidden/>
    <w:unhideWhenUsed/>
    <w:rsid w:val="00F52C97"/>
    <w:pPr>
      <w:spacing w:after="0" w:line="240" w:lineRule="auto"/>
    </w:pPr>
    <w:rPr>
      <w:rFonts w:ascii="Arial" w:eastAsia="Arial" w:hAnsi="Arial" w:cs="Arial"/>
      <w:sz w:val="20"/>
      <w:szCs w:val="20"/>
      <w:lang w:eastAsia="en-GB"/>
    </w:rPr>
  </w:style>
  <w:style w:type="character" w:customStyle="1" w:styleId="FootnoteTextChar">
    <w:name w:val="Footnote Text Char"/>
    <w:basedOn w:val="DefaultParagraphFont"/>
    <w:link w:val="FootnoteText"/>
    <w:uiPriority w:val="99"/>
    <w:semiHidden/>
    <w:rsid w:val="00F52C97"/>
    <w:rPr>
      <w:rFonts w:ascii="Arial" w:eastAsia="Arial" w:hAnsi="Arial" w:cs="Arial"/>
      <w:sz w:val="20"/>
      <w:szCs w:val="20"/>
      <w:lang w:eastAsia="en-GB"/>
    </w:rPr>
  </w:style>
  <w:style w:type="character" w:styleId="FootnoteReference">
    <w:name w:val="footnote reference"/>
    <w:basedOn w:val="DefaultParagraphFont"/>
    <w:uiPriority w:val="99"/>
    <w:semiHidden/>
    <w:unhideWhenUsed/>
    <w:rsid w:val="00F52C97"/>
    <w:rPr>
      <w:vertAlign w:val="superscript"/>
    </w:rPr>
  </w:style>
  <w:style w:type="paragraph" w:customStyle="1" w:styleId="BodyA">
    <w:name w:val="Body A"/>
    <w:rsid w:val="00F52C97"/>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
    <w:name w:val="Body"/>
    <w:rsid w:val="00F7212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rmalWeb">
    <w:name w:val="Normal (Web)"/>
    <w:basedOn w:val="Normal"/>
    <w:uiPriority w:val="99"/>
    <w:semiHidden/>
    <w:unhideWhenUsed/>
    <w:rsid w:val="004F6A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77736">
      <w:bodyDiv w:val="1"/>
      <w:marLeft w:val="0"/>
      <w:marRight w:val="0"/>
      <w:marTop w:val="0"/>
      <w:marBottom w:val="0"/>
      <w:divBdr>
        <w:top w:val="none" w:sz="0" w:space="0" w:color="auto"/>
        <w:left w:val="none" w:sz="0" w:space="0" w:color="auto"/>
        <w:bottom w:val="none" w:sz="0" w:space="0" w:color="auto"/>
        <w:right w:val="none" w:sz="0" w:space="0" w:color="auto"/>
      </w:divBdr>
    </w:div>
    <w:div w:id="847644263">
      <w:bodyDiv w:val="1"/>
      <w:marLeft w:val="0"/>
      <w:marRight w:val="0"/>
      <w:marTop w:val="0"/>
      <w:marBottom w:val="0"/>
      <w:divBdr>
        <w:top w:val="none" w:sz="0" w:space="0" w:color="auto"/>
        <w:left w:val="none" w:sz="0" w:space="0" w:color="auto"/>
        <w:bottom w:val="none" w:sz="0" w:space="0" w:color="auto"/>
        <w:right w:val="none" w:sz="0" w:space="0" w:color="auto"/>
      </w:divBdr>
    </w:div>
    <w:div w:id="915163808">
      <w:bodyDiv w:val="1"/>
      <w:marLeft w:val="0"/>
      <w:marRight w:val="0"/>
      <w:marTop w:val="0"/>
      <w:marBottom w:val="0"/>
      <w:divBdr>
        <w:top w:val="none" w:sz="0" w:space="0" w:color="auto"/>
        <w:left w:val="none" w:sz="0" w:space="0" w:color="auto"/>
        <w:bottom w:val="none" w:sz="0" w:space="0" w:color="auto"/>
        <w:right w:val="none" w:sz="0" w:space="0" w:color="auto"/>
      </w:divBdr>
    </w:div>
    <w:div w:id="1127552502">
      <w:bodyDiv w:val="1"/>
      <w:marLeft w:val="0"/>
      <w:marRight w:val="0"/>
      <w:marTop w:val="0"/>
      <w:marBottom w:val="0"/>
      <w:divBdr>
        <w:top w:val="none" w:sz="0" w:space="0" w:color="auto"/>
        <w:left w:val="none" w:sz="0" w:space="0" w:color="auto"/>
        <w:bottom w:val="none" w:sz="0" w:space="0" w:color="auto"/>
        <w:right w:val="none" w:sz="0" w:space="0" w:color="auto"/>
      </w:divBdr>
      <w:divsChild>
        <w:div w:id="4477089">
          <w:marLeft w:val="547"/>
          <w:marRight w:val="0"/>
          <w:marTop w:val="200"/>
          <w:marBottom w:val="0"/>
          <w:divBdr>
            <w:top w:val="none" w:sz="0" w:space="0" w:color="auto"/>
            <w:left w:val="none" w:sz="0" w:space="0" w:color="auto"/>
            <w:bottom w:val="none" w:sz="0" w:space="0" w:color="auto"/>
            <w:right w:val="none" w:sz="0" w:space="0" w:color="auto"/>
          </w:divBdr>
        </w:div>
      </w:divsChild>
    </w:div>
    <w:div w:id="1438523541">
      <w:bodyDiv w:val="1"/>
      <w:marLeft w:val="0"/>
      <w:marRight w:val="0"/>
      <w:marTop w:val="0"/>
      <w:marBottom w:val="0"/>
      <w:divBdr>
        <w:top w:val="none" w:sz="0" w:space="0" w:color="auto"/>
        <w:left w:val="none" w:sz="0" w:space="0" w:color="auto"/>
        <w:bottom w:val="none" w:sz="0" w:space="0" w:color="auto"/>
        <w:right w:val="none" w:sz="0" w:space="0" w:color="auto"/>
      </w:divBdr>
    </w:div>
    <w:div w:id="1695299818">
      <w:bodyDiv w:val="1"/>
      <w:marLeft w:val="0"/>
      <w:marRight w:val="0"/>
      <w:marTop w:val="0"/>
      <w:marBottom w:val="0"/>
      <w:divBdr>
        <w:top w:val="none" w:sz="0" w:space="0" w:color="auto"/>
        <w:left w:val="none" w:sz="0" w:space="0" w:color="auto"/>
        <w:bottom w:val="none" w:sz="0" w:space="0" w:color="auto"/>
        <w:right w:val="none" w:sz="0" w:space="0" w:color="auto"/>
      </w:divBdr>
    </w:div>
    <w:div w:id="1707097794">
      <w:bodyDiv w:val="1"/>
      <w:marLeft w:val="0"/>
      <w:marRight w:val="0"/>
      <w:marTop w:val="0"/>
      <w:marBottom w:val="0"/>
      <w:divBdr>
        <w:top w:val="none" w:sz="0" w:space="0" w:color="auto"/>
        <w:left w:val="none" w:sz="0" w:space="0" w:color="auto"/>
        <w:bottom w:val="none" w:sz="0" w:space="0" w:color="auto"/>
        <w:right w:val="none" w:sz="0" w:space="0" w:color="auto"/>
      </w:divBdr>
    </w:div>
    <w:div w:id="1864897373">
      <w:bodyDiv w:val="1"/>
      <w:marLeft w:val="0"/>
      <w:marRight w:val="0"/>
      <w:marTop w:val="0"/>
      <w:marBottom w:val="0"/>
      <w:divBdr>
        <w:top w:val="none" w:sz="0" w:space="0" w:color="auto"/>
        <w:left w:val="none" w:sz="0" w:space="0" w:color="auto"/>
        <w:bottom w:val="none" w:sz="0" w:space="0" w:color="auto"/>
        <w:right w:val="none" w:sz="0" w:space="0" w:color="auto"/>
      </w:divBdr>
    </w:div>
    <w:div w:id="20984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ioenergy-capital-grant-scheme-projects-supported-in-rounds-1-3-4-5-and-6" TargetMode="External"/><Relationship Id="rId13" Type="http://schemas.openxmlformats.org/officeDocument/2006/relationships/image" Target="media/image2.png"/><Relationship Id="rId18" Type="http://schemas.openxmlformats.org/officeDocument/2006/relationships/hyperlink" Target="https://www.r-e-a.net/resources/1260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cid:image002.png@01D82F20.CD3967E0" TargetMode="External"/><Relationship Id="rId17" Type="http://schemas.openxmlformats.org/officeDocument/2006/relationships/hyperlink" Target="https://www.xoserve.com/services/future-billing-methodology/" TargetMode="External"/><Relationship Id="rId2" Type="http://schemas.openxmlformats.org/officeDocument/2006/relationships/numbering" Target="numbering.xml"/><Relationship Id="rId16" Type="http://schemas.openxmlformats.org/officeDocument/2006/relationships/hyperlink" Target="https://www.theccc.org.uk/publication/sixth-carbon-budg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ccc.org.uk/publication/sixth-carbon-budget/" TargetMode="External"/><Relationship Id="rId23" Type="http://schemas.openxmlformats.org/officeDocument/2006/relationships/fontTable" Target="fontTable.xml"/><Relationship Id="rId10" Type="http://schemas.openxmlformats.org/officeDocument/2006/relationships/hyperlink" Target="https://www.theccc.org.uk/publication/sixth-carbon-budg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ccc.org.uk/publication/sixth-carbon-budget/" TargetMode="External"/><Relationship Id="rId14" Type="http://schemas.openxmlformats.org/officeDocument/2006/relationships/image" Target="cid:image003.png@01D82F20.CD3967E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B73D-9D9F-4085-A2EF-9BB6B37D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13</cp:revision>
  <dcterms:created xsi:type="dcterms:W3CDTF">2022-03-31T11:14:00Z</dcterms:created>
  <dcterms:modified xsi:type="dcterms:W3CDTF">2022-03-31T15:01:00Z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5f1a46-1149-4b07-97f4-ee5ba49b485b_Enabled">
    <vt:lpwstr>true</vt:lpwstr>
  </property>
  <property fmtid="{D5CDD505-2E9C-101B-9397-08002B2CF9AE}" pid="3" name="MSIP_Label_065f1a46-1149-4b07-97f4-ee5ba49b485b_SetDate">
    <vt:lpwstr>2022-02-11T15:52:05Z</vt:lpwstr>
  </property>
  <property fmtid="{D5CDD505-2E9C-101B-9397-08002B2CF9AE}" pid="4" name="MSIP_Label_065f1a46-1149-4b07-97f4-ee5ba49b485b_Method">
    <vt:lpwstr>Standard</vt:lpwstr>
  </property>
  <property fmtid="{D5CDD505-2E9C-101B-9397-08002B2CF9AE}" pid="5" name="MSIP_Label_065f1a46-1149-4b07-97f4-ee5ba49b485b_Name">
    <vt:lpwstr>065f1a46-1149-4b07-97f4-ee5ba49b485b</vt:lpwstr>
  </property>
  <property fmtid="{D5CDD505-2E9C-101B-9397-08002B2CF9AE}" pid="6" name="MSIP_Label_065f1a46-1149-4b07-97f4-ee5ba49b485b_SiteId">
    <vt:lpwstr>a603898f-7de2-45ba-b67d-d35fb519b2cf</vt:lpwstr>
  </property>
  <property fmtid="{D5CDD505-2E9C-101B-9397-08002B2CF9AE}" pid="7" name="MSIP_Label_065f1a46-1149-4b07-97f4-ee5ba49b485b_ActionId">
    <vt:lpwstr>09f73a74-05d2-493c-b988-48db7dd3fdc3</vt:lpwstr>
  </property>
  <property fmtid="{D5CDD505-2E9C-101B-9397-08002B2CF9AE}" pid="8" name="MSIP_Label_065f1a46-1149-4b07-97f4-ee5ba49b485b_ContentBits">
    <vt:lpwstr>0</vt:lpwstr>
  </property>
</Properties>
</file>