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BA91" w14:textId="77777777" w:rsidR="00E615E2" w:rsidRDefault="00E615E2" w:rsidP="00EE7AE9">
      <w:pPr>
        <w:spacing w:before="120" w:after="120" w:line="240" w:lineRule="auto"/>
        <w:jc w:val="center"/>
        <w:rPr>
          <w:rFonts w:ascii="Open Sans" w:eastAsia="Open Sans" w:hAnsi="Open Sans" w:cs="Open Sans"/>
          <w:b/>
          <w:color w:val="06926B"/>
          <w:sz w:val="36"/>
          <w:szCs w:val="36"/>
        </w:rPr>
      </w:pPr>
    </w:p>
    <w:p w14:paraId="1ADBB20C" w14:textId="3B5A0BB4" w:rsidR="00BC5602" w:rsidRDefault="0006647D" w:rsidP="00EE7AE9">
      <w:pPr>
        <w:spacing w:before="120" w:after="120" w:line="240" w:lineRule="auto"/>
        <w:jc w:val="center"/>
        <w:rPr>
          <w:rFonts w:ascii="Open Sans" w:eastAsia="Open Sans" w:hAnsi="Open Sans" w:cs="Open Sans"/>
          <w:color w:val="434343"/>
        </w:rPr>
      </w:pPr>
      <w:r>
        <w:rPr>
          <w:rFonts w:ascii="Open Sans" w:eastAsia="Open Sans" w:hAnsi="Open Sans" w:cs="Open Sans"/>
          <w:b/>
          <w:color w:val="06926B"/>
          <w:sz w:val="36"/>
          <w:szCs w:val="36"/>
        </w:rPr>
        <w:t>REA</w:t>
      </w:r>
      <w:r w:rsidR="00333DFE">
        <w:rPr>
          <w:rFonts w:ascii="Open Sans" w:eastAsia="Open Sans" w:hAnsi="Open Sans" w:cs="Open Sans"/>
          <w:b/>
          <w:color w:val="06926B"/>
          <w:sz w:val="36"/>
          <w:szCs w:val="36"/>
        </w:rPr>
        <w:t xml:space="preserve"> &amp; ADBA r</w:t>
      </w:r>
      <w:r>
        <w:rPr>
          <w:rFonts w:ascii="Open Sans" w:eastAsia="Open Sans" w:hAnsi="Open Sans" w:cs="Open Sans"/>
          <w:b/>
          <w:color w:val="06926B"/>
          <w:sz w:val="36"/>
          <w:szCs w:val="36"/>
        </w:rPr>
        <w:t>esponse</w:t>
      </w:r>
      <w:r w:rsidR="0006242A">
        <w:rPr>
          <w:rFonts w:ascii="Open Sans" w:eastAsia="Open Sans" w:hAnsi="Open Sans" w:cs="Open Sans"/>
          <w:b/>
          <w:color w:val="06926B"/>
          <w:sz w:val="36"/>
          <w:szCs w:val="36"/>
        </w:rPr>
        <w:t xml:space="preserve"> to </w:t>
      </w:r>
      <w:r w:rsidR="00333DFE">
        <w:rPr>
          <w:rFonts w:ascii="Open Sans" w:eastAsia="Open Sans" w:hAnsi="Open Sans" w:cs="Open Sans"/>
          <w:b/>
          <w:color w:val="06926B"/>
          <w:sz w:val="36"/>
          <w:szCs w:val="36"/>
        </w:rPr>
        <w:t>c</w:t>
      </w:r>
      <w:r w:rsidR="00333DFE" w:rsidRPr="00333DFE">
        <w:rPr>
          <w:rFonts w:ascii="Open Sans" w:eastAsia="Open Sans" w:hAnsi="Open Sans" w:cs="Open Sans"/>
          <w:b/>
          <w:color w:val="06926B"/>
          <w:sz w:val="36"/>
          <w:szCs w:val="36"/>
        </w:rPr>
        <w:t>onsultation</w:t>
      </w:r>
      <w:r w:rsidR="00333DFE">
        <w:rPr>
          <w:rFonts w:ascii="Open Sans" w:eastAsia="Open Sans" w:hAnsi="Open Sans" w:cs="Open Sans"/>
          <w:b/>
          <w:color w:val="06926B"/>
          <w:sz w:val="36"/>
          <w:szCs w:val="36"/>
        </w:rPr>
        <w:t xml:space="preserve"> on p</w:t>
      </w:r>
      <w:r w:rsidR="00333DFE" w:rsidRPr="00333DFE">
        <w:rPr>
          <w:rFonts w:ascii="Open Sans" w:eastAsia="Open Sans" w:hAnsi="Open Sans" w:cs="Open Sans"/>
          <w:b/>
          <w:color w:val="06926B"/>
          <w:sz w:val="36"/>
          <w:szCs w:val="36"/>
        </w:rPr>
        <w:t>roposed change to gas distribution entry charging</w:t>
      </w:r>
      <w:r w:rsidR="00333DFE">
        <w:rPr>
          <w:rFonts w:ascii="Open Sans" w:eastAsia="Open Sans" w:hAnsi="Open Sans" w:cs="Open Sans"/>
          <w:b/>
          <w:color w:val="06926B"/>
          <w:sz w:val="36"/>
          <w:szCs w:val="36"/>
        </w:rPr>
        <w:t xml:space="preserve"> </w:t>
      </w:r>
      <w:r w:rsidR="00333DFE" w:rsidRPr="00333DFE">
        <w:rPr>
          <w:rFonts w:ascii="Open Sans" w:eastAsia="Open Sans" w:hAnsi="Open Sans" w:cs="Open Sans"/>
          <w:b/>
          <w:color w:val="06926B"/>
          <w:sz w:val="36"/>
          <w:szCs w:val="36"/>
        </w:rPr>
        <w:t>arrangements</w:t>
      </w:r>
      <w:r w:rsidR="00333DFE" w:rsidRPr="00333DFE">
        <w:rPr>
          <w:rFonts w:ascii="Open Sans" w:eastAsia="Open Sans" w:hAnsi="Open Sans" w:cs="Open Sans"/>
          <w:b/>
          <w:color w:val="06926B"/>
          <w:sz w:val="36"/>
          <w:szCs w:val="36"/>
        </w:rPr>
        <w:cr/>
      </w:r>
    </w:p>
    <w:p w14:paraId="079D3C36" w14:textId="6CCBB3BC" w:rsidR="00333DFE" w:rsidRPr="00EE7AE9" w:rsidRDefault="00333DFE" w:rsidP="00EE7AE9">
      <w:pPr>
        <w:spacing w:before="120" w:after="120" w:line="240" w:lineRule="auto"/>
        <w:rPr>
          <w:rFonts w:ascii="Open Sans" w:eastAsia="Open Sans" w:hAnsi="Open Sans" w:cs="Open Sans"/>
          <w:b/>
          <w:color w:val="2F5496"/>
          <w:sz w:val="24"/>
          <w:szCs w:val="24"/>
        </w:rPr>
      </w:pPr>
      <w:r w:rsidRPr="00EE7AE9">
        <w:rPr>
          <w:rFonts w:ascii="Open Sans" w:eastAsia="Open Sans" w:hAnsi="Open Sans" w:cs="Open Sans"/>
          <w:b/>
          <w:color w:val="2F5496"/>
          <w:sz w:val="24"/>
          <w:szCs w:val="24"/>
        </w:rPr>
        <w:t>If you are responding on behalf of an organisation, please confirm the name and type of organisation you represent?</w:t>
      </w:r>
    </w:p>
    <w:p w14:paraId="74B4D329" w14:textId="386C5053" w:rsidR="00333DFE" w:rsidRPr="005203AF" w:rsidRDefault="00333DFE" w:rsidP="00EE7AE9">
      <w:pPr>
        <w:spacing w:before="120" w:after="120" w:line="240" w:lineRule="auto"/>
        <w:rPr>
          <w:rFonts w:ascii="Open Sans" w:eastAsia="Open Sans" w:hAnsi="Open Sans" w:cs="Open Sans"/>
          <w:color w:val="434343"/>
        </w:rPr>
      </w:pPr>
      <w:r w:rsidRPr="005203AF">
        <w:rPr>
          <w:rFonts w:ascii="Open Sans" w:eastAsia="Open Sans" w:hAnsi="Open Sans" w:cs="Open Sans"/>
          <w:color w:val="434343"/>
        </w:rPr>
        <w:t>The Association for Renewable Energy &amp; Clean Technolog</w:t>
      </w:r>
      <w:r w:rsidR="004A1EE7">
        <w:rPr>
          <w:rFonts w:ascii="Open Sans" w:eastAsia="Open Sans" w:hAnsi="Open Sans" w:cs="Open Sans"/>
          <w:color w:val="434343"/>
        </w:rPr>
        <w:t>y</w:t>
      </w:r>
      <w:r w:rsidRPr="005203AF">
        <w:rPr>
          <w:rFonts w:ascii="Open Sans" w:eastAsia="Open Sans" w:hAnsi="Open Sans" w:cs="Open Sans"/>
          <w:color w:val="434343"/>
        </w:rPr>
        <w:t xml:space="preserve"> (REA</w:t>
      </w:r>
      <w:r w:rsidR="00750DE7">
        <w:rPr>
          <w:rFonts w:ascii="Open Sans" w:eastAsia="Open Sans" w:hAnsi="Open Sans" w:cs="Open Sans"/>
          <w:color w:val="434343"/>
        </w:rPr>
        <w:t xml:space="preserve">) and the </w:t>
      </w:r>
      <w:r w:rsidR="00750DE7" w:rsidRPr="00750DE7">
        <w:rPr>
          <w:rFonts w:ascii="Open Sans" w:eastAsia="Open Sans" w:hAnsi="Open Sans" w:cs="Open Sans"/>
          <w:color w:val="434343"/>
        </w:rPr>
        <w:t>UK Anaerobic Digestion and Bioresources Association</w:t>
      </w:r>
      <w:r w:rsidR="00750DE7">
        <w:rPr>
          <w:rFonts w:ascii="Open Sans" w:eastAsia="Open Sans" w:hAnsi="Open Sans" w:cs="Open Sans"/>
          <w:color w:val="434343"/>
        </w:rPr>
        <w:t xml:space="preserve"> (ADBA) </w:t>
      </w:r>
      <w:r w:rsidR="002F166B">
        <w:rPr>
          <w:rFonts w:ascii="Open Sans" w:eastAsia="Open Sans" w:hAnsi="Open Sans" w:cs="Open Sans"/>
          <w:color w:val="434343"/>
        </w:rPr>
        <w:t xml:space="preserve">are </w:t>
      </w:r>
      <w:r w:rsidRPr="005203AF">
        <w:rPr>
          <w:rFonts w:ascii="Open Sans" w:eastAsia="Open Sans" w:hAnsi="Open Sans" w:cs="Open Sans"/>
          <w:color w:val="434343"/>
        </w:rPr>
        <w:t xml:space="preserve">pleased to submit this response to the above </w:t>
      </w:r>
      <w:r>
        <w:rPr>
          <w:rFonts w:ascii="Open Sans" w:eastAsia="Open Sans" w:hAnsi="Open Sans" w:cs="Open Sans"/>
          <w:color w:val="434343"/>
        </w:rPr>
        <w:t xml:space="preserve">consultation. </w:t>
      </w:r>
    </w:p>
    <w:p w14:paraId="5815BCA9" w14:textId="2219E121" w:rsidR="00333DFE" w:rsidRDefault="00333DFE" w:rsidP="00EE7AE9">
      <w:pPr>
        <w:spacing w:before="120" w:after="120" w:line="240" w:lineRule="auto"/>
        <w:rPr>
          <w:rFonts w:ascii="Open Sans" w:eastAsia="Open Sans" w:hAnsi="Open Sans" w:cs="Open Sans"/>
          <w:color w:val="434343"/>
        </w:rPr>
      </w:pPr>
      <w:r w:rsidRPr="005203AF">
        <w:rPr>
          <w:rFonts w:ascii="Open Sans" w:eastAsia="Open Sans" w:hAnsi="Open Sans" w:cs="Open Sans"/>
          <w:color w:val="434343"/>
        </w:rPr>
        <w:t xml:space="preserve">The REA represents industry stakeholders from across the whole </w:t>
      </w:r>
      <w:r>
        <w:rPr>
          <w:rFonts w:ascii="Open Sans" w:eastAsia="Open Sans" w:hAnsi="Open Sans" w:cs="Open Sans"/>
          <w:color w:val="434343"/>
        </w:rPr>
        <w:t xml:space="preserve">renewable energy and </w:t>
      </w:r>
      <w:r w:rsidRPr="005203AF">
        <w:rPr>
          <w:rFonts w:ascii="Open Sans" w:eastAsia="Open Sans" w:hAnsi="Open Sans" w:cs="Open Sans"/>
          <w:color w:val="434343"/>
        </w:rPr>
        <w:t>bioenergy sector</w:t>
      </w:r>
      <w:r>
        <w:rPr>
          <w:rFonts w:ascii="Open Sans" w:eastAsia="Open Sans" w:hAnsi="Open Sans" w:cs="Open Sans"/>
          <w:color w:val="434343"/>
        </w:rPr>
        <w:t>s</w:t>
      </w:r>
      <w:r w:rsidRPr="005203AF">
        <w:rPr>
          <w:rFonts w:ascii="Open Sans" w:eastAsia="Open Sans" w:hAnsi="Open Sans" w:cs="Open Sans"/>
          <w:color w:val="434343"/>
        </w:rPr>
        <w:t xml:space="preserve"> and includes dedicated member forums focused on green gases including clean hydrogen, </w:t>
      </w:r>
      <w:r>
        <w:rPr>
          <w:rFonts w:ascii="Open Sans" w:eastAsia="Open Sans" w:hAnsi="Open Sans" w:cs="Open Sans"/>
          <w:color w:val="434343"/>
        </w:rPr>
        <w:t xml:space="preserve">biogas and biomethane, </w:t>
      </w:r>
      <w:r w:rsidRPr="005203AF">
        <w:rPr>
          <w:rFonts w:ascii="Open Sans" w:eastAsia="Open Sans" w:hAnsi="Open Sans" w:cs="Open Sans"/>
          <w:color w:val="434343"/>
        </w:rPr>
        <w:t xml:space="preserve">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417581AC" w14:textId="6BF25AA6" w:rsidR="00A00FB0" w:rsidRPr="005F679D" w:rsidRDefault="002F2364" w:rsidP="00EE7AE9">
      <w:pPr>
        <w:spacing w:before="120" w:after="120" w:line="240" w:lineRule="auto"/>
        <w:rPr>
          <w:rFonts w:ascii="Open Sans" w:eastAsia="Open Sans" w:hAnsi="Open Sans" w:cs="Open Sans"/>
          <w:color w:val="434343"/>
        </w:rPr>
      </w:pPr>
      <w:r w:rsidRPr="005F679D">
        <w:rPr>
          <w:rFonts w:ascii="Open Sans" w:eastAsia="Open Sans" w:hAnsi="Open Sans" w:cs="Open Sans"/>
          <w:color w:val="434343"/>
        </w:rPr>
        <w:t xml:space="preserve">ADBA is </w:t>
      </w:r>
      <w:r w:rsidR="60426288" w:rsidRPr="005F679D">
        <w:rPr>
          <w:rFonts w:ascii="Open Sans" w:eastAsia="Open Sans" w:hAnsi="Open Sans" w:cs="Open Sans"/>
          <w:color w:val="434343"/>
        </w:rPr>
        <w:t>the trade association that represents the anaerobic digestion</w:t>
      </w:r>
      <w:r w:rsidR="00411B0C" w:rsidRPr="005F679D">
        <w:rPr>
          <w:rFonts w:ascii="Open Sans" w:eastAsia="Open Sans" w:hAnsi="Open Sans" w:cs="Open Sans"/>
          <w:color w:val="434343"/>
        </w:rPr>
        <w:t xml:space="preserve"> sector</w:t>
      </w:r>
      <w:r w:rsidR="00FF5478" w:rsidRPr="005F679D">
        <w:rPr>
          <w:rFonts w:ascii="Open Sans" w:eastAsia="Open Sans" w:hAnsi="Open Sans" w:cs="Open Sans"/>
          <w:color w:val="434343"/>
        </w:rPr>
        <w:t xml:space="preserve">, </w:t>
      </w:r>
      <w:r w:rsidR="00C01015" w:rsidRPr="005F679D">
        <w:rPr>
          <w:rFonts w:ascii="Open Sans" w:eastAsia="Open Sans" w:hAnsi="Open Sans" w:cs="Open Sans"/>
          <w:color w:val="434343"/>
        </w:rPr>
        <w:t>supporting the development of new and existing AD projects across the UK.</w:t>
      </w:r>
      <w:r w:rsidR="00C10DA8" w:rsidRPr="005F679D">
        <w:rPr>
          <w:rFonts w:ascii="Open Sans" w:eastAsia="Open Sans" w:hAnsi="Open Sans" w:cs="Open Sans"/>
          <w:color w:val="434343"/>
        </w:rPr>
        <w:t xml:space="preserve"> </w:t>
      </w:r>
      <w:r w:rsidR="60426288" w:rsidRPr="005F679D">
        <w:rPr>
          <w:rFonts w:ascii="Open Sans" w:eastAsia="Open Sans" w:hAnsi="Open Sans" w:cs="Open Sans"/>
          <w:color w:val="434343"/>
        </w:rPr>
        <w:t>ADBA is at the forefront of the AD sector, demonstrating the potential of AD to cut GHG emissions and in the hardest to decarbonise sectors of heat, transport, waste management and agriculture. ADBA has around 300 members from across the AD industry, including plant operators and developers, farmers, local authorities, waste management companies, supermarkets, food processors, energy and water companies, equipment manufacturers and suppliers, consultants, financiers and supporting service companies.</w:t>
      </w:r>
    </w:p>
    <w:p w14:paraId="1F2B7498" w14:textId="17DA0287" w:rsidR="00866620" w:rsidRDefault="00866620" w:rsidP="00EE7AE9">
      <w:pPr>
        <w:spacing w:before="120" w:after="120" w:line="240" w:lineRule="auto"/>
        <w:rPr>
          <w:rFonts w:ascii="Open Sans" w:eastAsia="Open Sans" w:hAnsi="Open Sans" w:cs="Open Sans"/>
          <w:color w:val="434343"/>
        </w:rPr>
      </w:pPr>
      <w:r w:rsidRPr="60426288">
        <w:rPr>
          <w:rFonts w:ascii="Open Sans" w:eastAsia="Open Sans" w:hAnsi="Open Sans" w:cs="Open Sans"/>
          <w:color w:val="434343"/>
        </w:rPr>
        <w:t xml:space="preserve">Together the two associations represent </w:t>
      </w:r>
      <w:proofErr w:type="gramStart"/>
      <w:r w:rsidRPr="60426288">
        <w:rPr>
          <w:rFonts w:ascii="Open Sans" w:eastAsia="Open Sans" w:hAnsi="Open Sans" w:cs="Open Sans"/>
          <w:color w:val="434343"/>
        </w:rPr>
        <w:t>the large majority of</w:t>
      </w:r>
      <w:proofErr w:type="gramEnd"/>
      <w:r w:rsidRPr="60426288">
        <w:rPr>
          <w:rFonts w:ascii="Open Sans" w:eastAsia="Open Sans" w:hAnsi="Open Sans" w:cs="Open Sans"/>
          <w:color w:val="434343"/>
        </w:rPr>
        <w:t xml:space="preserve"> the </w:t>
      </w:r>
      <w:r w:rsidR="00B41721">
        <w:rPr>
          <w:rFonts w:ascii="Open Sans" w:eastAsia="Open Sans" w:hAnsi="Open Sans" w:cs="Open Sans"/>
          <w:color w:val="434343"/>
        </w:rPr>
        <w:t>green gas</w:t>
      </w:r>
      <w:r w:rsidRPr="60426288">
        <w:rPr>
          <w:rFonts w:ascii="Open Sans" w:eastAsia="Open Sans" w:hAnsi="Open Sans" w:cs="Open Sans"/>
          <w:color w:val="434343"/>
        </w:rPr>
        <w:t xml:space="preserve"> developers and operators in the UK</w:t>
      </w:r>
      <w:r w:rsidR="00B41721">
        <w:rPr>
          <w:rFonts w:ascii="Open Sans" w:eastAsia="Open Sans" w:hAnsi="Open Sans" w:cs="Open Sans"/>
          <w:color w:val="434343"/>
        </w:rPr>
        <w:t xml:space="preserve">. </w:t>
      </w:r>
      <w:r w:rsidRPr="60426288">
        <w:rPr>
          <w:rFonts w:ascii="Open Sans" w:eastAsia="Open Sans" w:hAnsi="Open Sans" w:cs="Open Sans"/>
          <w:color w:val="434343"/>
        </w:rPr>
        <w:t xml:space="preserve"> </w:t>
      </w:r>
    </w:p>
    <w:p w14:paraId="0FCF27FB" w14:textId="193D78F7" w:rsidR="008D29D9" w:rsidRPr="008D29D9" w:rsidRDefault="008D29D9" w:rsidP="00EE7AE9">
      <w:pPr>
        <w:spacing w:before="120" w:after="120" w:line="240" w:lineRule="auto"/>
        <w:rPr>
          <w:rFonts w:ascii="Open Sans" w:eastAsia="Open Sans" w:hAnsi="Open Sans" w:cs="Open Sans"/>
          <w:b/>
          <w:color w:val="2F5496"/>
        </w:rPr>
      </w:pPr>
    </w:p>
    <w:p w14:paraId="665658B8" w14:textId="6B0B89EF" w:rsidR="008D29D9" w:rsidRPr="00EE7AE9" w:rsidRDefault="008D29D9" w:rsidP="00EE7AE9">
      <w:pPr>
        <w:spacing w:before="120" w:after="120" w:line="240" w:lineRule="auto"/>
        <w:rPr>
          <w:rFonts w:ascii="Open Sans" w:eastAsia="Open Sans" w:hAnsi="Open Sans" w:cs="Open Sans"/>
          <w:b/>
          <w:color w:val="2F5496"/>
          <w:sz w:val="24"/>
          <w:szCs w:val="24"/>
        </w:rPr>
      </w:pPr>
      <w:r w:rsidRPr="00EE7AE9">
        <w:rPr>
          <w:rFonts w:ascii="Open Sans" w:eastAsia="Open Sans" w:hAnsi="Open Sans" w:cs="Open Sans"/>
          <w:b/>
          <w:color w:val="2F5496"/>
          <w:sz w:val="24"/>
          <w:szCs w:val="24"/>
        </w:rPr>
        <w:t>Summary of response:</w:t>
      </w:r>
    </w:p>
    <w:p w14:paraId="36667023" w14:textId="11F7BCB3" w:rsidR="000672E0" w:rsidRDefault="008D29D9" w:rsidP="00EE7AE9">
      <w:pPr>
        <w:spacing w:before="120" w:after="120" w:line="240" w:lineRule="auto"/>
        <w:rPr>
          <w:rFonts w:ascii="Open Sans" w:eastAsia="Open Sans" w:hAnsi="Open Sans" w:cs="Open Sans"/>
          <w:b/>
          <w:bCs/>
          <w:color w:val="FF0000"/>
        </w:rPr>
      </w:pPr>
      <w:r w:rsidRPr="00B03EA5">
        <w:rPr>
          <w:rFonts w:ascii="Open Sans" w:eastAsia="Open Sans" w:hAnsi="Open Sans" w:cs="Open Sans"/>
          <w:b/>
          <w:bCs/>
          <w:color w:val="FF0000"/>
        </w:rPr>
        <w:t xml:space="preserve">Both associations strongly support the </w:t>
      </w:r>
      <w:r w:rsidR="00EC0D89">
        <w:rPr>
          <w:rFonts w:ascii="Open Sans" w:eastAsia="Open Sans" w:hAnsi="Open Sans" w:cs="Open Sans"/>
          <w:b/>
          <w:bCs/>
          <w:color w:val="FF0000"/>
        </w:rPr>
        <w:t xml:space="preserve">need for change and the </w:t>
      </w:r>
      <w:r w:rsidRPr="00B03EA5">
        <w:rPr>
          <w:rFonts w:ascii="Open Sans" w:eastAsia="Open Sans" w:hAnsi="Open Sans" w:cs="Open Sans"/>
          <w:b/>
          <w:bCs/>
          <w:color w:val="FF0000"/>
        </w:rPr>
        <w:t xml:space="preserve">changes </w:t>
      </w:r>
      <w:r w:rsidR="008C19FE" w:rsidRPr="00B03EA5">
        <w:rPr>
          <w:rFonts w:ascii="Open Sans" w:eastAsia="Open Sans" w:hAnsi="Open Sans" w:cs="Open Sans"/>
          <w:b/>
          <w:bCs/>
          <w:color w:val="FF0000"/>
        </w:rPr>
        <w:t xml:space="preserve">proposed by the gas distribution networks </w:t>
      </w:r>
      <w:r w:rsidRPr="00B03EA5">
        <w:rPr>
          <w:rFonts w:ascii="Open Sans" w:eastAsia="Open Sans" w:hAnsi="Open Sans" w:cs="Open Sans"/>
          <w:b/>
          <w:bCs/>
          <w:color w:val="FF0000"/>
        </w:rPr>
        <w:t>to the charging regime</w:t>
      </w:r>
      <w:r w:rsidR="00EE7AE9">
        <w:rPr>
          <w:rFonts w:ascii="Open Sans" w:eastAsia="Open Sans" w:hAnsi="Open Sans" w:cs="Open Sans"/>
          <w:b/>
          <w:bCs/>
          <w:color w:val="FF0000"/>
        </w:rPr>
        <w:t xml:space="preserve">. We </w:t>
      </w:r>
      <w:r w:rsidRPr="00B03EA5">
        <w:rPr>
          <w:rFonts w:ascii="Open Sans" w:eastAsia="Open Sans" w:hAnsi="Open Sans" w:cs="Open Sans"/>
          <w:b/>
          <w:bCs/>
          <w:color w:val="FF0000"/>
        </w:rPr>
        <w:t>urge Ofgem to take th</w:t>
      </w:r>
      <w:r w:rsidR="008C19FE" w:rsidRPr="00B03EA5">
        <w:rPr>
          <w:rFonts w:ascii="Open Sans" w:eastAsia="Open Sans" w:hAnsi="Open Sans" w:cs="Open Sans"/>
          <w:b/>
          <w:bCs/>
          <w:color w:val="FF0000"/>
        </w:rPr>
        <w:t>ese</w:t>
      </w:r>
      <w:r w:rsidRPr="00B03EA5">
        <w:rPr>
          <w:rFonts w:ascii="Open Sans" w:eastAsia="Open Sans" w:hAnsi="Open Sans" w:cs="Open Sans"/>
          <w:b/>
          <w:bCs/>
          <w:color w:val="FF0000"/>
        </w:rPr>
        <w:t xml:space="preserve"> </w:t>
      </w:r>
      <w:r w:rsidR="008C19FE" w:rsidRPr="00B03EA5">
        <w:rPr>
          <w:rFonts w:ascii="Open Sans" w:eastAsia="Open Sans" w:hAnsi="Open Sans" w:cs="Open Sans"/>
          <w:b/>
          <w:bCs/>
          <w:color w:val="FF0000"/>
        </w:rPr>
        <w:t xml:space="preserve">proposals </w:t>
      </w:r>
      <w:r w:rsidRPr="00B03EA5">
        <w:rPr>
          <w:rFonts w:ascii="Open Sans" w:eastAsia="Open Sans" w:hAnsi="Open Sans" w:cs="Open Sans"/>
          <w:b/>
          <w:bCs/>
          <w:color w:val="FF0000"/>
        </w:rPr>
        <w:t>forward as a matter of some urgency</w:t>
      </w:r>
      <w:r w:rsidR="008C19FE" w:rsidRPr="00B03EA5">
        <w:rPr>
          <w:rFonts w:ascii="Open Sans" w:eastAsia="Open Sans" w:hAnsi="Open Sans" w:cs="Open Sans"/>
          <w:b/>
          <w:bCs/>
          <w:color w:val="FF0000"/>
        </w:rPr>
        <w:t>,</w:t>
      </w:r>
      <w:r w:rsidRPr="00B03EA5">
        <w:rPr>
          <w:rFonts w:ascii="Open Sans" w:eastAsia="Open Sans" w:hAnsi="Open Sans" w:cs="Open Sans"/>
          <w:b/>
          <w:bCs/>
          <w:color w:val="FF0000"/>
        </w:rPr>
        <w:t xml:space="preserve"> to reduce the cost of biomethane connections</w:t>
      </w:r>
      <w:r w:rsidR="008C19FE" w:rsidRPr="00B03EA5">
        <w:rPr>
          <w:rFonts w:ascii="Open Sans" w:eastAsia="Open Sans" w:hAnsi="Open Sans" w:cs="Open Sans"/>
          <w:b/>
          <w:bCs/>
          <w:color w:val="FF0000"/>
        </w:rPr>
        <w:t xml:space="preserve"> especially when existing entry capacity is not available. </w:t>
      </w:r>
    </w:p>
    <w:p w14:paraId="6CED23A6" w14:textId="38C442EA" w:rsidR="000672E0" w:rsidRDefault="000672E0" w:rsidP="00EE7AE9">
      <w:pPr>
        <w:spacing w:before="120" w:after="120" w:line="240" w:lineRule="auto"/>
        <w:rPr>
          <w:rFonts w:ascii="Open Sans" w:eastAsia="Open Sans" w:hAnsi="Open Sans" w:cs="Open Sans"/>
          <w:b/>
          <w:bCs/>
          <w:color w:val="FF0000"/>
        </w:rPr>
      </w:pPr>
      <w:r w:rsidRPr="00EC0D89">
        <w:rPr>
          <w:rFonts w:ascii="Open Sans" w:eastAsia="Open Sans" w:hAnsi="Open Sans" w:cs="Open Sans"/>
          <w:b/>
          <w:bCs/>
          <w:color w:val="FF0000"/>
        </w:rPr>
        <w:t xml:space="preserve">However, </w:t>
      </w:r>
      <w:r>
        <w:rPr>
          <w:rFonts w:ascii="Open Sans" w:eastAsia="Open Sans" w:hAnsi="Open Sans" w:cs="Open Sans"/>
          <w:b/>
          <w:bCs/>
          <w:color w:val="FF0000"/>
        </w:rPr>
        <w:t>we</w:t>
      </w:r>
      <w:r w:rsidRPr="00EC0D89">
        <w:rPr>
          <w:rFonts w:ascii="Open Sans" w:eastAsia="Open Sans" w:hAnsi="Open Sans" w:cs="Open Sans"/>
          <w:b/>
          <w:bCs/>
          <w:color w:val="FF0000"/>
        </w:rPr>
        <w:t xml:space="preserve"> support these </w:t>
      </w:r>
      <w:r w:rsidRPr="000672E0">
        <w:rPr>
          <w:rFonts w:ascii="Open Sans" w:eastAsia="Open Sans" w:hAnsi="Open Sans" w:cs="Open Sans"/>
          <w:b/>
          <w:bCs/>
          <w:color w:val="FF0000"/>
        </w:rPr>
        <w:t>changes only on condition</w:t>
      </w:r>
      <w:r w:rsidRPr="00EC0D89">
        <w:rPr>
          <w:rFonts w:ascii="Open Sans" w:eastAsia="Open Sans" w:hAnsi="Open Sans" w:cs="Open Sans"/>
          <w:b/>
          <w:bCs/>
          <w:color w:val="FF0000"/>
        </w:rPr>
        <w:t xml:space="preserve"> they can be implemented and delivered swiftly</w:t>
      </w:r>
      <w:r>
        <w:rPr>
          <w:rFonts w:ascii="Open Sans" w:eastAsia="Open Sans" w:hAnsi="Open Sans" w:cs="Open Sans"/>
          <w:b/>
          <w:bCs/>
          <w:color w:val="FF0000"/>
        </w:rPr>
        <w:t xml:space="preserve">, at the pace required to support the scale of </w:t>
      </w:r>
      <w:r w:rsidR="00A54775">
        <w:rPr>
          <w:rFonts w:ascii="Open Sans" w:eastAsia="Open Sans" w:hAnsi="Open Sans" w:cs="Open Sans"/>
          <w:b/>
          <w:bCs/>
          <w:color w:val="FF0000"/>
        </w:rPr>
        <w:t xml:space="preserve">biomethane </w:t>
      </w:r>
      <w:r>
        <w:rPr>
          <w:rFonts w:ascii="Open Sans" w:eastAsia="Open Sans" w:hAnsi="Open Sans" w:cs="Open Sans"/>
          <w:b/>
          <w:bCs/>
          <w:color w:val="FF0000"/>
        </w:rPr>
        <w:t>growth required to</w:t>
      </w:r>
      <w:r w:rsidR="00A54775">
        <w:rPr>
          <w:rFonts w:ascii="Open Sans" w:eastAsia="Open Sans" w:hAnsi="Open Sans" w:cs="Open Sans"/>
          <w:b/>
          <w:bCs/>
          <w:color w:val="FF0000"/>
        </w:rPr>
        <w:t xml:space="preserve"> meet net zero and improve our energy security. </w:t>
      </w:r>
    </w:p>
    <w:p w14:paraId="4B6F7BE4" w14:textId="77777777" w:rsidR="000672E0" w:rsidRDefault="000672E0" w:rsidP="00EE7AE9">
      <w:pPr>
        <w:spacing w:before="120" w:after="120" w:line="240" w:lineRule="auto"/>
        <w:rPr>
          <w:rFonts w:ascii="Open Sans" w:eastAsia="Open Sans" w:hAnsi="Open Sans" w:cs="Open Sans"/>
          <w:b/>
          <w:bCs/>
          <w:color w:val="FF0000"/>
        </w:rPr>
      </w:pPr>
    </w:p>
    <w:p w14:paraId="03DE1E91" w14:textId="0EF0A8A8" w:rsidR="000672E0" w:rsidRDefault="000672E0" w:rsidP="00EE7AE9">
      <w:pPr>
        <w:spacing w:before="120" w:after="120" w:line="240" w:lineRule="auto"/>
        <w:rPr>
          <w:rFonts w:ascii="Open Sans" w:eastAsia="Open Sans" w:hAnsi="Open Sans" w:cs="Open Sans"/>
          <w:b/>
          <w:bCs/>
          <w:color w:val="FF0000"/>
        </w:rPr>
      </w:pPr>
      <w:r>
        <w:rPr>
          <w:rFonts w:ascii="Open Sans" w:eastAsia="Open Sans" w:hAnsi="Open Sans" w:cs="Open Sans"/>
          <w:b/>
          <w:bCs/>
          <w:color w:val="FF0000"/>
        </w:rPr>
        <w:lastRenderedPageBreak/>
        <w:t xml:space="preserve">Furthermore, changes need to apply to and benefit existing sites as well new sites. </w:t>
      </w:r>
    </w:p>
    <w:p w14:paraId="34B79547" w14:textId="347831F2" w:rsidR="008D29D9" w:rsidRPr="00B03EA5" w:rsidRDefault="00EE7AE9" w:rsidP="00EE7AE9">
      <w:pPr>
        <w:spacing w:before="120" w:after="120" w:line="240" w:lineRule="auto"/>
        <w:rPr>
          <w:rFonts w:ascii="Open Sans" w:eastAsia="Open Sans" w:hAnsi="Open Sans" w:cs="Open Sans"/>
          <w:b/>
          <w:bCs/>
          <w:color w:val="FF0000"/>
        </w:rPr>
      </w:pPr>
      <w:r>
        <w:rPr>
          <w:rFonts w:ascii="Open Sans" w:eastAsia="Open Sans" w:hAnsi="Open Sans" w:cs="Open Sans"/>
          <w:b/>
          <w:bCs/>
          <w:color w:val="FF0000"/>
        </w:rPr>
        <w:t xml:space="preserve">The above </w:t>
      </w:r>
      <w:r w:rsidR="00C20DA1" w:rsidRPr="00B03EA5">
        <w:rPr>
          <w:rFonts w:ascii="Open Sans" w:eastAsia="Open Sans" w:hAnsi="Open Sans" w:cs="Open Sans"/>
          <w:b/>
          <w:bCs/>
          <w:color w:val="FF0000"/>
        </w:rPr>
        <w:t xml:space="preserve">is supported by the results from a joint REA/ADBA </w:t>
      </w:r>
      <w:hyperlink r:id="rId10" w:history="1">
        <w:r w:rsidR="00C20DA1" w:rsidRPr="00B03EA5">
          <w:rPr>
            <w:rStyle w:val="Hyperlink"/>
            <w:rFonts w:ascii="Open Sans" w:eastAsia="Open Sans" w:hAnsi="Open Sans" w:cs="Open Sans"/>
            <w:b/>
            <w:bCs/>
            <w:color w:val="FF0000"/>
          </w:rPr>
          <w:t>survey</w:t>
        </w:r>
      </w:hyperlink>
      <w:r w:rsidR="00C20DA1" w:rsidRPr="00B03EA5">
        <w:rPr>
          <w:rFonts w:ascii="Open Sans" w:eastAsia="Open Sans" w:hAnsi="Open Sans" w:cs="Open Sans"/>
          <w:b/>
          <w:bCs/>
          <w:color w:val="FF0000"/>
        </w:rPr>
        <w:t xml:space="preserve"> which was sent out to </w:t>
      </w:r>
      <w:r w:rsidR="00B065C8" w:rsidRPr="00B03EA5">
        <w:rPr>
          <w:rFonts w:ascii="Open Sans" w:eastAsia="Open Sans" w:hAnsi="Open Sans" w:cs="Open Sans"/>
          <w:b/>
          <w:bCs/>
          <w:color w:val="FF0000"/>
        </w:rPr>
        <w:t>all</w:t>
      </w:r>
      <w:r w:rsidR="00C20DA1" w:rsidRPr="00B03EA5">
        <w:rPr>
          <w:rFonts w:ascii="Open Sans" w:eastAsia="Open Sans" w:hAnsi="Open Sans" w:cs="Open Sans"/>
          <w:b/>
          <w:bCs/>
          <w:color w:val="FF0000"/>
        </w:rPr>
        <w:t xml:space="preserve"> two trade associations’ </w:t>
      </w:r>
      <w:r w:rsidR="00B065C8" w:rsidRPr="00B03EA5">
        <w:rPr>
          <w:rFonts w:ascii="Open Sans" w:eastAsia="Open Sans" w:hAnsi="Open Sans" w:cs="Open Sans"/>
          <w:b/>
          <w:bCs/>
          <w:color w:val="FF0000"/>
        </w:rPr>
        <w:t>green gas</w:t>
      </w:r>
      <w:r w:rsidR="00C20DA1" w:rsidRPr="00B03EA5">
        <w:rPr>
          <w:rFonts w:ascii="Open Sans" w:eastAsia="Open Sans" w:hAnsi="Open Sans" w:cs="Open Sans"/>
          <w:b/>
          <w:bCs/>
          <w:color w:val="FF0000"/>
        </w:rPr>
        <w:t xml:space="preserve"> members to inform this response</w:t>
      </w:r>
      <w:r>
        <w:rPr>
          <w:rFonts w:ascii="Open Sans" w:eastAsia="Open Sans" w:hAnsi="Open Sans" w:cs="Open Sans"/>
          <w:b/>
          <w:bCs/>
          <w:color w:val="FF0000"/>
        </w:rPr>
        <w:t xml:space="preserve"> as well as additional feedback provided by members. </w:t>
      </w:r>
    </w:p>
    <w:p w14:paraId="5DEDDAD2" w14:textId="74D1D65D" w:rsidR="008C19FE" w:rsidRDefault="00606520"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t xml:space="preserve">We believe that the proposed </w:t>
      </w:r>
      <w:r w:rsidR="008C19FE">
        <w:rPr>
          <w:rFonts w:ascii="Open Sans" w:eastAsia="Open Sans" w:hAnsi="Open Sans" w:cs="Open Sans"/>
          <w:color w:val="434343"/>
        </w:rPr>
        <w:t xml:space="preserve">changes </w:t>
      </w:r>
      <w:r w:rsidR="00542D45">
        <w:rPr>
          <w:rFonts w:ascii="Open Sans" w:eastAsia="Open Sans" w:hAnsi="Open Sans" w:cs="Open Sans"/>
          <w:color w:val="434343"/>
        </w:rPr>
        <w:t>would</w:t>
      </w:r>
      <w:r w:rsidR="008C19FE">
        <w:rPr>
          <w:rFonts w:ascii="Open Sans" w:eastAsia="Open Sans" w:hAnsi="Open Sans" w:cs="Open Sans"/>
          <w:color w:val="434343"/>
        </w:rPr>
        <w:t xml:space="preserve"> support more biomethane connections by reducing the costs of solutions to address capacity constraints,</w:t>
      </w:r>
      <w:r w:rsidR="00542D45">
        <w:rPr>
          <w:rFonts w:ascii="Open Sans" w:eastAsia="Open Sans" w:hAnsi="Open Sans" w:cs="Open Sans"/>
          <w:color w:val="434343"/>
        </w:rPr>
        <w:t xml:space="preserve"> including </w:t>
      </w:r>
      <w:r w:rsidR="00B065C8">
        <w:rPr>
          <w:rFonts w:ascii="Open Sans" w:eastAsia="Open Sans" w:hAnsi="Open Sans" w:cs="Open Sans"/>
          <w:color w:val="434343"/>
        </w:rPr>
        <w:t>‘</w:t>
      </w:r>
      <w:r w:rsidR="00542D45">
        <w:rPr>
          <w:rFonts w:ascii="Open Sans" w:eastAsia="Open Sans" w:hAnsi="Open Sans" w:cs="Open Sans"/>
          <w:color w:val="434343"/>
        </w:rPr>
        <w:t>R</w:t>
      </w:r>
      <w:r w:rsidR="008C19FE">
        <w:rPr>
          <w:rFonts w:ascii="Open Sans" w:eastAsia="Open Sans" w:hAnsi="Open Sans" w:cs="Open Sans"/>
          <w:color w:val="434343"/>
        </w:rPr>
        <w:t>everse compression</w:t>
      </w:r>
      <w:r w:rsidR="00B065C8">
        <w:rPr>
          <w:rFonts w:ascii="Open Sans" w:eastAsia="Open Sans" w:hAnsi="Open Sans" w:cs="Open Sans"/>
          <w:color w:val="434343"/>
        </w:rPr>
        <w:t>’</w:t>
      </w:r>
      <w:r w:rsidR="00C20DA1">
        <w:rPr>
          <w:rFonts w:ascii="Open Sans" w:eastAsia="Open Sans" w:hAnsi="Open Sans" w:cs="Open Sans"/>
          <w:color w:val="434343"/>
        </w:rPr>
        <w:t xml:space="preserve">, and allowing these costs to be socialised. </w:t>
      </w:r>
    </w:p>
    <w:p w14:paraId="0A4FF5EB" w14:textId="6B1FAEF9" w:rsidR="00CA5C9C" w:rsidRDefault="008E2B5C"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t>S</w:t>
      </w:r>
      <w:r w:rsidRPr="00EC0D89">
        <w:rPr>
          <w:rFonts w:ascii="Open Sans" w:eastAsia="Open Sans" w:hAnsi="Open Sans" w:cs="Open Sans"/>
          <w:color w:val="434343"/>
        </w:rPr>
        <w:t>ome existing sites are constrained, notably at times of low demand - which can be expected to become a more significant issue in the short-medium term due to high gas prices causing loads to reduce consumption and to switch back to oil or LPG. This can lead to flaring of biomethane, which is clearly unacceptable</w:t>
      </w:r>
      <w:r>
        <w:rPr>
          <w:rFonts w:ascii="Open Sans" w:eastAsia="Open Sans" w:hAnsi="Open Sans" w:cs="Open Sans"/>
          <w:color w:val="434343"/>
        </w:rPr>
        <w:t>. In addition,</w:t>
      </w:r>
      <w:r w:rsidRPr="00EC0D89">
        <w:rPr>
          <w:rFonts w:ascii="Open Sans" w:eastAsia="Open Sans" w:hAnsi="Open Sans" w:cs="Open Sans"/>
          <w:color w:val="434343"/>
        </w:rPr>
        <w:t xml:space="preserve"> some existing sites are looking to expand their output but face the same constraints as new plants. </w:t>
      </w:r>
      <w:r w:rsidR="00EE7AE9" w:rsidRPr="00383749">
        <w:rPr>
          <w:rFonts w:ascii="Open Sans" w:eastAsia="Open Sans" w:hAnsi="Open Sans" w:cs="Open Sans"/>
          <w:color w:val="434343"/>
        </w:rPr>
        <w:t>At the same time, options for injecting hydrogen to the gas network are also being developed and will put further pressure on the available network capacity, as would development of syngas and other innovations.</w:t>
      </w:r>
    </w:p>
    <w:p w14:paraId="6034C05F" w14:textId="311DE5C6" w:rsidR="008E2B5C" w:rsidRPr="00CA5C9C" w:rsidRDefault="00EE7AE9"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t>We recommend that c</w:t>
      </w:r>
      <w:r w:rsidR="008E2B5C" w:rsidRPr="00EC0D89">
        <w:rPr>
          <w:rFonts w:ascii="Open Sans" w:eastAsia="Open Sans" w:hAnsi="Open Sans" w:cs="Open Sans"/>
          <w:color w:val="434343"/>
        </w:rPr>
        <w:t xml:space="preserve">hanging the connections charging methodology </w:t>
      </w:r>
      <w:r>
        <w:rPr>
          <w:rFonts w:ascii="Open Sans" w:eastAsia="Open Sans" w:hAnsi="Open Sans" w:cs="Open Sans"/>
          <w:color w:val="434343"/>
        </w:rPr>
        <w:t xml:space="preserve">apply to and </w:t>
      </w:r>
      <w:r w:rsidR="008E2B5C" w:rsidRPr="00EC0D89">
        <w:rPr>
          <w:rFonts w:ascii="Open Sans" w:eastAsia="Open Sans" w:hAnsi="Open Sans" w:cs="Open Sans"/>
          <w:color w:val="434343"/>
        </w:rPr>
        <w:t xml:space="preserve">benefit new projects, </w:t>
      </w:r>
      <w:r w:rsidR="008E2B5C">
        <w:rPr>
          <w:rFonts w:ascii="Open Sans" w:eastAsia="Open Sans" w:hAnsi="Open Sans" w:cs="Open Sans"/>
          <w:color w:val="434343"/>
        </w:rPr>
        <w:t xml:space="preserve">as well as </w:t>
      </w:r>
      <w:r w:rsidR="008E2B5C" w:rsidRPr="00EC0D89">
        <w:rPr>
          <w:rFonts w:ascii="Open Sans" w:eastAsia="Open Sans" w:hAnsi="Open Sans" w:cs="Open Sans"/>
          <w:color w:val="434343"/>
        </w:rPr>
        <w:t>address these wider examples where capacity constraints are also a barrier to entry</w:t>
      </w:r>
      <w:r w:rsidR="008E2B5C">
        <w:rPr>
          <w:rFonts w:ascii="Open Sans" w:eastAsia="Open Sans" w:hAnsi="Open Sans" w:cs="Open Sans"/>
          <w:color w:val="434343"/>
        </w:rPr>
        <w:t xml:space="preserve"> for existing sites. </w:t>
      </w:r>
    </w:p>
    <w:p w14:paraId="28BADB2E" w14:textId="77777777" w:rsidR="00EC0D89" w:rsidRDefault="00EC0D89" w:rsidP="00EE7AE9">
      <w:pPr>
        <w:tabs>
          <w:tab w:val="num" w:pos="720"/>
        </w:tabs>
        <w:spacing w:before="120" w:after="120" w:line="240" w:lineRule="auto"/>
        <w:rPr>
          <w:rFonts w:ascii="Open Sans" w:eastAsia="Open Sans" w:hAnsi="Open Sans" w:cs="Open Sans"/>
          <w:b/>
          <w:bCs/>
          <w:color w:val="434343"/>
        </w:rPr>
      </w:pPr>
    </w:p>
    <w:p w14:paraId="34347F0F" w14:textId="2904659C" w:rsidR="00D11110" w:rsidRDefault="00D11110" w:rsidP="00EE7AE9">
      <w:pPr>
        <w:tabs>
          <w:tab w:val="num" w:pos="720"/>
        </w:tabs>
        <w:spacing w:before="120" w:after="120" w:line="240" w:lineRule="auto"/>
        <w:rPr>
          <w:rFonts w:ascii="Open Sans" w:eastAsia="Open Sans" w:hAnsi="Open Sans" w:cs="Open Sans"/>
          <w:b/>
          <w:bCs/>
          <w:color w:val="434343"/>
        </w:rPr>
      </w:pPr>
      <w:r>
        <w:rPr>
          <w:rFonts w:ascii="Open Sans" w:eastAsia="Open Sans" w:hAnsi="Open Sans" w:cs="Open Sans"/>
          <w:b/>
          <w:bCs/>
          <w:color w:val="434343"/>
        </w:rPr>
        <w:t>Clear and swift implementation</w:t>
      </w:r>
      <w:r w:rsidR="00B065C8">
        <w:rPr>
          <w:rFonts w:ascii="Open Sans" w:eastAsia="Open Sans" w:hAnsi="Open Sans" w:cs="Open Sans"/>
          <w:b/>
          <w:bCs/>
          <w:color w:val="434343"/>
        </w:rPr>
        <w:t>/delivery</w:t>
      </w:r>
      <w:r>
        <w:rPr>
          <w:rFonts w:ascii="Open Sans" w:eastAsia="Open Sans" w:hAnsi="Open Sans" w:cs="Open Sans"/>
          <w:b/>
          <w:bCs/>
          <w:color w:val="434343"/>
        </w:rPr>
        <w:t xml:space="preserve"> plan required </w:t>
      </w:r>
    </w:p>
    <w:p w14:paraId="7467A594" w14:textId="6C68EB22" w:rsidR="00184B7A" w:rsidRPr="00D11110" w:rsidRDefault="00B065C8" w:rsidP="00EE7AE9">
      <w:pPr>
        <w:tabs>
          <w:tab w:val="num" w:pos="720"/>
        </w:tabs>
        <w:spacing w:before="120" w:after="120" w:line="240" w:lineRule="auto"/>
        <w:rPr>
          <w:rFonts w:ascii="Open Sans" w:eastAsia="Open Sans" w:hAnsi="Open Sans" w:cs="Open Sans"/>
          <w:color w:val="434343"/>
        </w:rPr>
      </w:pPr>
      <w:r w:rsidRPr="00B03EA5">
        <w:rPr>
          <w:rFonts w:ascii="Open Sans" w:eastAsia="Open Sans" w:hAnsi="Open Sans" w:cs="Open Sans"/>
          <w:b/>
          <w:bCs/>
          <w:color w:val="FF0000"/>
        </w:rPr>
        <w:t>Ofgem and the GDN</w:t>
      </w:r>
      <w:r w:rsidR="00B03EA5">
        <w:rPr>
          <w:rFonts w:ascii="Open Sans" w:eastAsia="Open Sans" w:hAnsi="Open Sans" w:cs="Open Sans"/>
          <w:b/>
          <w:bCs/>
          <w:color w:val="FF0000"/>
        </w:rPr>
        <w:t>s</w:t>
      </w:r>
      <w:r w:rsidR="00184B7A" w:rsidRPr="00B03EA5">
        <w:rPr>
          <w:rFonts w:ascii="Open Sans" w:eastAsia="Open Sans" w:hAnsi="Open Sans" w:cs="Open Sans"/>
          <w:b/>
          <w:bCs/>
          <w:color w:val="FF0000"/>
        </w:rPr>
        <w:t xml:space="preserve"> must also establish </w:t>
      </w:r>
      <w:r w:rsidR="00D11110" w:rsidRPr="00B03EA5">
        <w:rPr>
          <w:rFonts w:ascii="Open Sans" w:eastAsia="Open Sans" w:hAnsi="Open Sans" w:cs="Open Sans"/>
          <w:b/>
          <w:bCs/>
          <w:color w:val="FF0000"/>
        </w:rPr>
        <w:t xml:space="preserve">clear </w:t>
      </w:r>
      <w:r w:rsidR="00184B7A" w:rsidRPr="00B03EA5">
        <w:rPr>
          <w:rFonts w:ascii="Open Sans" w:eastAsia="Open Sans" w:hAnsi="Open Sans" w:cs="Open Sans"/>
          <w:b/>
          <w:bCs/>
          <w:color w:val="FF0000"/>
        </w:rPr>
        <w:t>timelines for project delivery</w:t>
      </w:r>
      <w:r w:rsidR="00395413" w:rsidRPr="00B03EA5">
        <w:rPr>
          <w:rFonts w:ascii="Open Sans" w:eastAsia="Open Sans" w:hAnsi="Open Sans" w:cs="Open Sans"/>
          <w:b/>
          <w:bCs/>
          <w:color w:val="FF0000"/>
        </w:rPr>
        <w:t xml:space="preserve"> and </w:t>
      </w:r>
      <w:r w:rsidRPr="00B03EA5">
        <w:rPr>
          <w:rFonts w:ascii="Open Sans" w:eastAsia="Open Sans" w:hAnsi="Open Sans" w:cs="Open Sans"/>
          <w:b/>
          <w:bCs/>
          <w:color w:val="FF0000"/>
        </w:rPr>
        <w:t xml:space="preserve">the proposed </w:t>
      </w:r>
      <w:r w:rsidR="00395413" w:rsidRPr="00B03EA5">
        <w:rPr>
          <w:rFonts w:ascii="Open Sans" w:eastAsia="Open Sans" w:hAnsi="Open Sans" w:cs="Open Sans"/>
          <w:b/>
          <w:bCs/>
          <w:color w:val="FF0000"/>
        </w:rPr>
        <w:t>changes must be delivered swiftly</w:t>
      </w:r>
      <w:r w:rsidR="00184B7A" w:rsidRPr="00B03EA5">
        <w:rPr>
          <w:rFonts w:ascii="Open Sans" w:eastAsia="Open Sans" w:hAnsi="Open Sans" w:cs="Open Sans"/>
          <w:b/>
          <w:bCs/>
          <w:color w:val="FF0000"/>
        </w:rPr>
        <w:t>.</w:t>
      </w:r>
      <w:r w:rsidR="00184B7A" w:rsidRPr="00B03EA5">
        <w:rPr>
          <w:rFonts w:ascii="Open Sans" w:eastAsia="Open Sans" w:hAnsi="Open Sans" w:cs="Open Sans"/>
          <w:color w:val="FF0000"/>
        </w:rPr>
        <w:t xml:space="preserve"> </w:t>
      </w:r>
      <w:proofErr w:type="gramStart"/>
      <w:r w:rsidR="00B03EA5">
        <w:rPr>
          <w:rFonts w:ascii="Open Sans" w:eastAsia="Open Sans" w:hAnsi="Open Sans" w:cs="Open Sans"/>
          <w:color w:val="434343"/>
        </w:rPr>
        <w:t>In particular, p</w:t>
      </w:r>
      <w:r w:rsidR="00184B7A" w:rsidRPr="00D11110">
        <w:rPr>
          <w:rFonts w:ascii="Open Sans" w:eastAsia="Open Sans" w:hAnsi="Open Sans" w:cs="Open Sans"/>
          <w:color w:val="434343"/>
        </w:rPr>
        <w:t>lants</w:t>
      </w:r>
      <w:proofErr w:type="gramEnd"/>
      <w:r w:rsidR="00184B7A" w:rsidRPr="00D11110">
        <w:rPr>
          <w:rFonts w:ascii="Open Sans" w:eastAsia="Open Sans" w:hAnsi="Open Sans" w:cs="Open Sans"/>
          <w:color w:val="434343"/>
        </w:rPr>
        <w:t xml:space="preserve"> applying for the G</w:t>
      </w:r>
      <w:r w:rsidR="00D11110">
        <w:rPr>
          <w:rFonts w:ascii="Open Sans" w:eastAsia="Open Sans" w:hAnsi="Open Sans" w:cs="Open Sans"/>
          <w:color w:val="434343"/>
        </w:rPr>
        <w:t>reen Gas Support Scheme</w:t>
      </w:r>
      <w:r w:rsidR="00184B7A" w:rsidRPr="00D11110">
        <w:rPr>
          <w:rFonts w:ascii="Open Sans" w:eastAsia="Open Sans" w:hAnsi="Open Sans" w:cs="Open Sans"/>
          <w:color w:val="434343"/>
        </w:rPr>
        <w:t xml:space="preserve"> </w:t>
      </w:r>
      <w:r w:rsidR="00D11110">
        <w:rPr>
          <w:rFonts w:ascii="Open Sans" w:eastAsia="Open Sans" w:hAnsi="Open Sans" w:cs="Open Sans"/>
          <w:color w:val="434343"/>
        </w:rPr>
        <w:t xml:space="preserve">have </w:t>
      </w:r>
      <w:r w:rsidR="00184B7A" w:rsidRPr="00D11110">
        <w:rPr>
          <w:rFonts w:ascii="Open Sans" w:eastAsia="Open Sans" w:hAnsi="Open Sans" w:cs="Open Sans"/>
          <w:color w:val="434343"/>
        </w:rPr>
        <w:t xml:space="preserve">strict deadlines to start injecting biomethane into the grid. Significant delays to grid reinforcement could potentially risk accreditation under the Green Gas Support scheme, potentially slowing or stalling project’s development. </w:t>
      </w:r>
    </w:p>
    <w:p w14:paraId="4B047EC7" w14:textId="6304A60F" w:rsidR="00184B7A" w:rsidRPr="00F47048" w:rsidRDefault="00184B7A" w:rsidP="00EE7AE9">
      <w:pPr>
        <w:tabs>
          <w:tab w:val="num" w:pos="720"/>
        </w:tabs>
        <w:spacing w:before="120" w:after="120" w:line="240" w:lineRule="auto"/>
        <w:rPr>
          <w:rFonts w:ascii="Open Sans" w:eastAsia="Open Sans" w:hAnsi="Open Sans" w:cs="Open Sans"/>
          <w:b/>
          <w:bCs/>
          <w:color w:val="FF0000"/>
        </w:rPr>
      </w:pPr>
      <w:r w:rsidRPr="00F47048">
        <w:rPr>
          <w:rFonts w:ascii="Open Sans" w:eastAsia="Open Sans" w:hAnsi="Open Sans" w:cs="Open Sans"/>
          <w:b/>
          <w:bCs/>
          <w:color w:val="FF0000"/>
        </w:rPr>
        <w:t>If</w:t>
      </w:r>
      <w:r w:rsidR="001C1E83" w:rsidRPr="00F47048">
        <w:rPr>
          <w:rFonts w:ascii="Open Sans" w:eastAsia="Open Sans" w:hAnsi="Open Sans" w:cs="Open Sans"/>
          <w:b/>
          <w:bCs/>
          <w:color w:val="FF0000"/>
        </w:rPr>
        <w:t xml:space="preserve"> </w:t>
      </w:r>
      <w:r w:rsidRPr="00F47048">
        <w:rPr>
          <w:rFonts w:ascii="Open Sans" w:eastAsia="Open Sans" w:hAnsi="Open Sans" w:cs="Open Sans"/>
          <w:b/>
          <w:bCs/>
          <w:color w:val="FF0000"/>
        </w:rPr>
        <w:t>changes cannot be made swiftly, then other</w:t>
      </w:r>
      <w:r w:rsidR="00EE7AE9">
        <w:rPr>
          <w:rFonts w:ascii="Open Sans" w:eastAsia="Open Sans" w:hAnsi="Open Sans" w:cs="Open Sans"/>
          <w:b/>
          <w:bCs/>
          <w:color w:val="FF0000"/>
        </w:rPr>
        <w:t>,</w:t>
      </w:r>
      <w:r w:rsidRPr="00F47048">
        <w:rPr>
          <w:rFonts w:ascii="Open Sans" w:eastAsia="Open Sans" w:hAnsi="Open Sans" w:cs="Open Sans"/>
          <w:b/>
          <w:bCs/>
          <w:color w:val="FF0000"/>
        </w:rPr>
        <w:t xml:space="preserve"> more </w:t>
      </w:r>
      <w:r w:rsidR="00F47048">
        <w:rPr>
          <w:rFonts w:ascii="Open Sans" w:eastAsia="Open Sans" w:hAnsi="Open Sans" w:cs="Open Sans"/>
          <w:b/>
          <w:bCs/>
          <w:color w:val="FF0000"/>
        </w:rPr>
        <w:t xml:space="preserve">time </w:t>
      </w:r>
      <w:r w:rsidRPr="00F47048">
        <w:rPr>
          <w:rFonts w:ascii="Open Sans" w:eastAsia="Open Sans" w:hAnsi="Open Sans" w:cs="Open Sans"/>
          <w:b/>
          <w:bCs/>
          <w:color w:val="FF0000"/>
        </w:rPr>
        <w:t xml:space="preserve">efficient options to support </w:t>
      </w:r>
      <w:r w:rsidR="00D11110" w:rsidRPr="00F47048">
        <w:rPr>
          <w:rFonts w:ascii="Open Sans" w:eastAsia="Open Sans" w:hAnsi="Open Sans" w:cs="Open Sans"/>
          <w:b/>
          <w:bCs/>
          <w:color w:val="FF0000"/>
        </w:rPr>
        <w:t xml:space="preserve">solutions such as </w:t>
      </w:r>
      <w:r w:rsidRPr="00F47048">
        <w:rPr>
          <w:rFonts w:ascii="Open Sans" w:eastAsia="Open Sans" w:hAnsi="Open Sans" w:cs="Open Sans"/>
          <w:b/>
          <w:bCs/>
          <w:color w:val="FF0000"/>
        </w:rPr>
        <w:t>reverse compression should be considered</w:t>
      </w:r>
      <w:r w:rsidR="00F47048">
        <w:rPr>
          <w:rFonts w:ascii="Open Sans" w:eastAsia="Open Sans" w:hAnsi="Open Sans" w:cs="Open Sans"/>
          <w:b/>
          <w:bCs/>
          <w:color w:val="FF0000"/>
        </w:rPr>
        <w:t xml:space="preserve">. </w:t>
      </w:r>
    </w:p>
    <w:p w14:paraId="1BB03ABA" w14:textId="7977F063" w:rsidR="00383749" w:rsidRDefault="00F47048" w:rsidP="00EE7AE9">
      <w:pPr>
        <w:tabs>
          <w:tab w:val="num" w:pos="720"/>
        </w:tabs>
        <w:spacing w:before="120" w:after="120" w:line="240" w:lineRule="auto"/>
        <w:rPr>
          <w:rFonts w:ascii="Open Sans" w:eastAsia="Open Sans" w:hAnsi="Open Sans" w:cs="Open Sans"/>
          <w:color w:val="434343"/>
        </w:rPr>
      </w:pPr>
      <w:r w:rsidRPr="00F47048">
        <w:rPr>
          <w:rFonts w:ascii="Open Sans" w:eastAsia="Open Sans" w:hAnsi="Open Sans" w:cs="Open Sans"/>
          <w:color w:val="434343"/>
        </w:rPr>
        <w:t xml:space="preserve">We believe </w:t>
      </w:r>
      <w:r>
        <w:rPr>
          <w:rFonts w:ascii="Open Sans" w:eastAsia="Open Sans" w:hAnsi="Open Sans" w:cs="Open Sans"/>
          <w:color w:val="434343"/>
        </w:rPr>
        <w:t xml:space="preserve">that </w:t>
      </w:r>
      <w:r w:rsidRPr="00F47048">
        <w:rPr>
          <w:rFonts w:ascii="Open Sans" w:eastAsia="Open Sans" w:hAnsi="Open Sans" w:cs="Open Sans"/>
          <w:color w:val="434343"/>
        </w:rPr>
        <w:t xml:space="preserve">more than </w:t>
      </w:r>
      <w:r>
        <w:rPr>
          <w:rFonts w:ascii="Open Sans" w:eastAsia="Open Sans" w:hAnsi="Open Sans" w:cs="Open Sans"/>
          <w:color w:val="434343"/>
        </w:rPr>
        <w:t xml:space="preserve">a </w:t>
      </w:r>
      <w:r w:rsidRPr="00F47048">
        <w:rPr>
          <w:rFonts w:ascii="Open Sans" w:eastAsia="Open Sans" w:hAnsi="Open Sans" w:cs="Open Sans"/>
          <w:color w:val="434343"/>
        </w:rPr>
        <w:t>tenfold increase</w:t>
      </w:r>
      <w:r>
        <w:rPr>
          <w:rFonts w:ascii="Open Sans" w:eastAsia="Open Sans" w:hAnsi="Open Sans" w:cs="Open Sans"/>
          <w:color w:val="434343"/>
        </w:rPr>
        <w:t xml:space="preserve"> in biomethane connections </w:t>
      </w:r>
      <w:r w:rsidRPr="00F47048">
        <w:rPr>
          <w:rFonts w:ascii="Open Sans" w:eastAsia="Open Sans" w:hAnsi="Open Sans" w:cs="Open Sans"/>
          <w:color w:val="434343"/>
        </w:rPr>
        <w:t>is needed to reach 10%</w:t>
      </w:r>
      <w:r>
        <w:rPr>
          <w:rFonts w:ascii="Open Sans" w:eastAsia="Open Sans" w:hAnsi="Open Sans" w:cs="Open Sans"/>
          <w:color w:val="434343"/>
        </w:rPr>
        <w:t xml:space="preserve"> of UK gas demand</w:t>
      </w:r>
      <w:r w:rsidR="00EE7AE9">
        <w:rPr>
          <w:rFonts w:ascii="Open Sans" w:eastAsia="Open Sans" w:hAnsi="Open Sans" w:cs="Open Sans"/>
          <w:color w:val="434343"/>
        </w:rPr>
        <w:t xml:space="preserve"> quoted by the Climate Change Committee,</w:t>
      </w:r>
      <w:r>
        <w:rPr>
          <w:rFonts w:ascii="Open Sans" w:eastAsia="Open Sans" w:hAnsi="Open Sans" w:cs="Open Sans"/>
          <w:color w:val="434343"/>
        </w:rPr>
        <w:t xml:space="preserve"> which is</w:t>
      </w:r>
      <w:r w:rsidRPr="00F47048">
        <w:rPr>
          <w:rFonts w:ascii="Open Sans" w:eastAsia="Open Sans" w:hAnsi="Open Sans" w:cs="Open Sans"/>
          <w:color w:val="434343"/>
        </w:rPr>
        <w:t xml:space="preserve"> the equivalent of 1,000 injection points compared to the present 100.</w:t>
      </w:r>
      <w:r>
        <w:rPr>
          <w:rFonts w:ascii="Open Sans" w:eastAsia="Open Sans" w:hAnsi="Open Sans" w:cs="Open Sans"/>
          <w:color w:val="434343"/>
        </w:rPr>
        <w:t xml:space="preserve"> </w:t>
      </w:r>
    </w:p>
    <w:p w14:paraId="1EC014B8" w14:textId="1269C687" w:rsidR="00383749" w:rsidRDefault="00383749" w:rsidP="00EE7AE9">
      <w:pPr>
        <w:spacing w:before="120" w:after="120" w:line="240" w:lineRule="auto"/>
      </w:pPr>
      <w:r>
        <w:rPr>
          <w:rFonts w:ascii="Open Sans" w:eastAsia="Open Sans" w:hAnsi="Open Sans" w:cs="Open Sans"/>
          <w:color w:val="434343"/>
        </w:rPr>
        <w:t>For</w:t>
      </w:r>
      <w:r w:rsidR="00F47048">
        <w:rPr>
          <w:rFonts w:ascii="Open Sans" w:eastAsia="Open Sans" w:hAnsi="Open Sans" w:cs="Open Sans"/>
          <w:color w:val="434343"/>
        </w:rPr>
        <w:t xml:space="preserve"> this </w:t>
      </w:r>
      <w:r>
        <w:rPr>
          <w:rFonts w:ascii="Open Sans" w:eastAsia="Open Sans" w:hAnsi="Open Sans" w:cs="Open Sans"/>
          <w:color w:val="434343"/>
        </w:rPr>
        <w:t xml:space="preserve">growth </w:t>
      </w:r>
      <w:r w:rsidR="00F47048">
        <w:rPr>
          <w:rFonts w:ascii="Open Sans" w:eastAsia="Open Sans" w:hAnsi="Open Sans" w:cs="Open Sans"/>
          <w:color w:val="434343"/>
        </w:rPr>
        <w:t>to happen</w:t>
      </w:r>
      <w:r>
        <w:rPr>
          <w:rFonts w:ascii="Open Sans" w:eastAsia="Open Sans" w:hAnsi="Open Sans" w:cs="Open Sans"/>
          <w:color w:val="434343"/>
        </w:rPr>
        <w:t xml:space="preserve">, it is crucial that local gas networks are dynamic in terms of </w:t>
      </w:r>
      <w:r w:rsidRPr="00383749">
        <w:rPr>
          <w:rFonts w:ascii="Open Sans" w:eastAsia="Open Sans" w:hAnsi="Open Sans" w:cs="Open Sans"/>
          <w:color w:val="434343"/>
        </w:rPr>
        <w:t xml:space="preserve">balancing supply and demand, allowing for the flow of gas in different directions, including potentially from GDNs to the NTS rather than gas always flowing from the NTS. This </w:t>
      </w:r>
      <w:r w:rsidR="00EE7AE9">
        <w:rPr>
          <w:rFonts w:ascii="Open Sans" w:eastAsia="Open Sans" w:hAnsi="Open Sans" w:cs="Open Sans"/>
          <w:color w:val="434343"/>
        </w:rPr>
        <w:t>cannot</w:t>
      </w:r>
      <w:r w:rsidRPr="00383749">
        <w:rPr>
          <w:rFonts w:ascii="Open Sans" w:eastAsia="Open Sans" w:hAnsi="Open Sans" w:cs="Open Sans"/>
          <w:color w:val="434343"/>
        </w:rPr>
        <w:t xml:space="preserve"> wait for the next price control review and be implemented gradually but should be happening now. The current energy crisis and security of supply concerns add to the urgency of the situation and any steps that increase energy supply should be welcomed and encouraged.</w:t>
      </w:r>
      <w:r>
        <w:rPr>
          <w:rFonts w:ascii="Open Sans" w:eastAsia="Open Sans" w:hAnsi="Open Sans" w:cs="Open Sans"/>
          <w:color w:val="434343"/>
        </w:rPr>
        <w:t xml:space="preserve"> </w:t>
      </w:r>
    </w:p>
    <w:p w14:paraId="1F7D6DCD" w14:textId="3791EA8B" w:rsidR="00EE7AE9" w:rsidRPr="00EE7AE9" w:rsidRDefault="00EE7AE9" w:rsidP="00EE7AE9">
      <w:pPr>
        <w:tabs>
          <w:tab w:val="num" w:pos="720"/>
        </w:tabs>
        <w:spacing w:before="120" w:after="120" w:line="240" w:lineRule="auto"/>
        <w:rPr>
          <w:rFonts w:ascii="Open Sans" w:eastAsia="Open Sans" w:hAnsi="Open Sans" w:cs="Open Sans"/>
          <w:b/>
          <w:bCs/>
          <w:color w:val="434343"/>
        </w:rPr>
      </w:pPr>
      <w:r w:rsidRPr="00EE7AE9">
        <w:rPr>
          <w:rFonts w:ascii="Open Sans" w:eastAsia="Open Sans" w:hAnsi="Open Sans" w:cs="Open Sans"/>
          <w:b/>
          <w:bCs/>
          <w:color w:val="434343"/>
        </w:rPr>
        <w:t xml:space="preserve">Alternative solution </w:t>
      </w:r>
    </w:p>
    <w:p w14:paraId="3E19F47E" w14:textId="7EF1DB77" w:rsidR="00CA5C9C" w:rsidRPr="00CA5C9C" w:rsidRDefault="00CA5C9C"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t>An alternative, swifter option would be for the</w:t>
      </w:r>
      <w:r w:rsidRPr="00CA5C9C">
        <w:rPr>
          <w:rFonts w:ascii="Open Sans" w:eastAsia="Open Sans" w:hAnsi="Open Sans" w:cs="Open Sans"/>
          <w:color w:val="434343"/>
        </w:rPr>
        <w:t xml:space="preserve"> developer </w:t>
      </w:r>
      <w:r>
        <w:rPr>
          <w:rFonts w:ascii="Open Sans" w:eastAsia="Open Sans" w:hAnsi="Open Sans" w:cs="Open Sans"/>
          <w:color w:val="434343"/>
        </w:rPr>
        <w:t>to</w:t>
      </w:r>
      <w:r w:rsidRPr="00CA5C9C">
        <w:rPr>
          <w:rFonts w:ascii="Open Sans" w:eastAsia="Open Sans" w:hAnsi="Open Sans" w:cs="Open Sans"/>
          <w:color w:val="434343"/>
        </w:rPr>
        <w:t xml:space="preserve"> be given an allowance equal to the value of the socialised costs which they could then use to fund investment by a </w:t>
      </w:r>
      <w:proofErr w:type="gramStart"/>
      <w:r w:rsidRPr="00CA5C9C">
        <w:rPr>
          <w:rFonts w:ascii="Open Sans" w:eastAsia="Open Sans" w:hAnsi="Open Sans" w:cs="Open Sans"/>
          <w:color w:val="434343"/>
        </w:rPr>
        <w:lastRenderedPageBreak/>
        <w:t>third party</w:t>
      </w:r>
      <w:proofErr w:type="gramEnd"/>
      <w:r>
        <w:rPr>
          <w:rFonts w:ascii="Open Sans" w:eastAsia="Open Sans" w:hAnsi="Open Sans" w:cs="Open Sans"/>
          <w:color w:val="434343"/>
        </w:rPr>
        <w:t xml:space="preserve"> specialist</w:t>
      </w:r>
      <w:r w:rsidRPr="00CA5C9C">
        <w:rPr>
          <w:rFonts w:ascii="Open Sans" w:eastAsia="Open Sans" w:hAnsi="Open Sans" w:cs="Open Sans"/>
          <w:color w:val="434343"/>
        </w:rPr>
        <w:t xml:space="preserve"> with a view to delivering the required capacity on a shorter timeframe. This would ensure that competitive forces are relied on to ensure efficient and timely delivery of developer’s requirements rather than all investment necessarily sitting with the regulated networks. We believe this is consistent with GDNs Licence obligations and is in the interest of consumers.</w:t>
      </w:r>
      <w:r>
        <w:rPr>
          <w:rFonts w:ascii="Open Sans" w:eastAsia="Open Sans" w:hAnsi="Open Sans" w:cs="Open Sans"/>
          <w:color w:val="434343"/>
        </w:rPr>
        <w:t xml:space="preserve"> </w:t>
      </w:r>
      <w:r w:rsidRPr="00CA5C9C">
        <w:rPr>
          <w:rFonts w:ascii="Open Sans" w:eastAsia="Open Sans" w:hAnsi="Open Sans" w:cs="Open Sans"/>
          <w:color w:val="434343"/>
        </w:rPr>
        <w:t>This is substantially a hybrid approach with socialising costs where only the GDN can do the work (</w:t>
      </w:r>
      <w:proofErr w:type="spellStart"/>
      <w:proofErr w:type="gramStart"/>
      <w:r w:rsidRPr="00CA5C9C">
        <w:rPr>
          <w:rFonts w:ascii="Open Sans" w:eastAsia="Open Sans" w:hAnsi="Open Sans" w:cs="Open Sans"/>
          <w:color w:val="434343"/>
        </w:rPr>
        <w:t>eg</w:t>
      </w:r>
      <w:proofErr w:type="spellEnd"/>
      <w:proofErr w:type="gramEnd"/>
      <w:r w:rsidRPr="00CA5C9C">
        <w:rPr>
          <w:rFonts w:ascii="Open Sans" w:eastAsia="Open Sans" w:hAnsi="Open Sans" w:cs="Open Sans"/>
          <w:color w:val="434343"/>
        </w:rPr>
        <w:t xml:space="preserve"> adjusting system pressures) and an allowance system to facilitate capacity via 3</w:t>
      </w:r>
      <w:r w:rsidRPr="00CA5C9C">
        <w:rPr>
          <w:rFonts w:ascii="Open Sans" w:eastAsia="Open Sans" w:hAnsi="Open Sans" w:cs="Open Sans"/>
          <w:color w:val="434343"/>
          <w:vertAlign w:val="superscript"/>
        </w:rPr>
        <w:t>rd</w:t>
      </w:r>
      <w:r>
        <w:rPr>
          <w:rFonts w:ascii="Open Sans" w:eastAsia="Open Sans" w:hAnsi="Open Sans" w:cs="Open Sans"/>
          <w:color w:val="434343"/>
        </w:rPr>
        <w:t xml:space="preserve"> </w:t>
      </w:r>
      <w:r w:rsidRPr="00CA5C9C">
        <w:rPr>
          <w:rFonts w:ascii="Open Sans" w:eastAsia="Open Sans" w:hAnsi="Open Sans" w:cs="Open Sans"/>
          <w:color w:val="434343"/>
        </w:rPr>
        <w:t>party investment.</w:t>
      </w:r>
    </w:p>
    <w:p w14:paraId="08A18EBA" w14:textId="4040AFFB" w:rsidR="00CA5C9C" w:rsidRPr="000A4A48" w:rsidRDefault="00CA5C9C" w:rsidP="00EE7AE9">
      <w:pPr>
        <w:spacing w:before="120" w:after="120" w:line="240" w:lineRule="auto"/>
        <w:rPr>
          <w:rFonts w:ascii="Open Sans" w:eastAsia="Open Sans" w:hAnsi="Open Sans" w:cs="Open Sans"/>
          <w:b/>
          <w:bCs/>
          <w:color w:val="FF0000"/>
        </w:rPr>
      </w:pPr>
      <w:r w:rsidRPr="000A4A48">
        <w:rPr>
          <w:rFonts w:ascii="Open Sans" w:eastAsia="Open Sans" w:hAnsi="Open Sans" w:cs="Open Sans"/>
          <w:b/>
          <w:bCs/>
          <w:color w:val="FF0000"/>
        </w:rPr>
        <w:t xml:space="preserve">This option would support a competitive market which may be more effective in delivering the changes required at a faster pace. </w:t>
      </w:r>
    </w:p>
    <w:p w14:paraId="463A46E5" w14:textId="6B20EF39" w:rsidR="00B065C8" w:rsidRPr="00B03EA5" w:rsidRDefault="00B065C8" w:rsidP="00EE7AE9">
      <w:pPr>
        <w:tabs>
          <w:tab w:val="num" w:pos="720"/>
        </w:tabs>
        <w:spacing w:before="120" w:after="120" w:line="240" w:lineRule="auto"/>
        <w:rPr>
          <w:rFonts w:ascii="Open Sans" w:eastAsia="Open Sans" w:hAnsi="Open Sans" w:cs="Open Sans"/>
          <w:b/>
          <w:bCs/>
          <w:color w:val="434343"/>
        </w:rPr>
      </w:pPr>
      <w:r w:rsidRPr="00B03EA5">
        <w:rPr>
          <w:rFonts w:ascii="Open Sans" w:eastAsia="Open Sans" w:hAnsi="Open Sans" w:cs="Open Sans"/>
          <w:b/>
          <w:bCs/>
          <w:color w:val="434343"/>
        </w:rPr>
        <w:t>Survey results</w:t>
      </w:r>
    </w:p>
    <w:p w14:paraId="5EBCF435" w14:textId="08A63DEE" w:rsidR="00B065C8" w:rsidRDefault="00B065C8" w:rsidP="00EE7AE9">
      <w:pPr>
        <w:spacing w:before="120" w:after="120" w:line="240" w:lineRule="auto"/>
        <w:rPr>
          <w:rFonts w:ascii="Open Sans" w:eastAsia="Open Sans" w:hAnsi="Open Sans" w:cs="Open Sans"/>
          <w:b/>
          <w:bCs/>
          <w:color w:val="434343"/>
        </w:rPr>
      </w:pPr>
      <w:r w:rsidRPr="008C59CD">
        <w:rPr>
          <w:rFonts w:ascii="Open Sans" w:eastAsia="Open Sans" w:hAnsi="Open Sans" w:cs="Open Sans"/>
          <w:color w:val="434343"/>
        </w:rPr>
        <w:t xml:space="preserve">We had </w:t>
      </w:r>
      <w:r>
        <w:rPr>
          <w:rFonts w:ascii="Open Sans" w:eastAsia="Open Sans" w:hAnsi="Open Sans" w:cs="Open Sans"/>
          <w:color w:val="434343"/>
        </w:rPr>
        <w:t xml:space="preserve">a total of </w:t>
      </w:r>
      <w:r w:rsidRPr="008C59CD">
        <w:rPr>
          <w:rFonts w:ascii="Open Sans" w:eastAsia="Open Sans" w:hAnsi="Open Sans" w:cs="Open Sans"/>
          <w:color w:val="434343"/>
        </w:rPr>
        <w:t xml:space="preserve">17 responses to the </w:t>
      </w:r>
      <w:r w:rsidR="00B03EA5">
        <w:rPr>
          <w:rFonts w:ascii="Open Sans" w:eastAsia="Open Sans" w:hAnsi="Open Sans" w:cs="Open Sans"/>
          <w:color w:val="434343"/>
        </w:rPr>
        <w:t xml:space="preserve">joint </w:t>
      </w:r>
      <w:r w:rsidRPr="008C59CD">
        <w:rPr>
          <w:rFonts w:ascii="Open Sans" w:eastAsia="Open Sans" w:hAnsi="Open Sans" w:cs="Open Sans"/>
          <w:color w:val="434343"/>
        </w:rPr>
        <w:t xml:space="preserve">survey. The respondents’ involvement in the biomethane supply chain is shown on the chart below. Most of the respondents </w:t>
      </w:r>
      <w:r>
        <w:rPr>
          <w:rFonts w:ascii="Open Sans" w:eastAsia="Open Sans" w:hAnsi="Open Sans" w:cs="Open Sans"/>
          <w:color w:val="434343"/>
        </w:rPr>
        <w:t>are</w:t>
      </w:r>
      <w:r w:rsidRPr="008C59CD">
        <w:rPr>
          <w:rFonts w:ascii="Open Sans" w:eastAsia="Open Sans" w:hAnsi="Open Sans" w:cs="Open Sans"/>
          <w:color w:val="434343"/>
        </w:rPr>
        <w:t xml:space="preserve"> biomethane producers and developers</w:t>
      </w:r>
      <w:r w:rsidR="00B03EA5">
        <w:rPr>
          <w:rFonts w:ascii="Open Sans" w:eastAsia="Open Sans" w:hAnsi="Open Sans" w:cs="Open Sans"/>
          <w:color w:val="434343"/>
        </w:rPr>
        <w:t xml:space="preserve">. </w:t>
      </w:r>
      <w:r w:rsidRPr="008C59CD">
        <w:rPr>
          <w:rFonts w:ascii="Open Sans" w:eastAsia="Open Sans" w:hAnsi="Open Sans" w:cs="Open Sans"/>
          <w:color w:val="434343"/>
        </w:rPr>
        <w:t>The remain</w:t>
      </w:r>
      <w:r>
        <w:rPr>
          <w:rFonts w:ascii="Open Sans" w:eastAsia="Open Sans" w:hAnsi="Open Sans" w:cs="Open Sans"/>
          <w:color w:val="434343"/>
        </w:rPr>
        <w:t>der of respondents represent companies that are biomethane offtakers, consultants or gas monitoring equipment suppliers. Some respondents are also hydrogen producers or l</w:t>
      </w:r>
      <w:r w:rsidRPr="008C59CD">
        <w:rPr>
          <w:rFonts w:ascii="Open Sans" w:eastAsia="Open Sans" w:hAnsi="Open Sans" w:cs="Open Sans"/>
          <w:color w:val="434343"/>
        </w:rPr>
        <w:t xml:space="preserve">ooking to inject </w:t>
      </w:r>
      <w:r>
        <w:rPr>
          <w:rFonts w:ascii="Open Sans" w:eastAsia="Open Sans" w:hAnsi="Open Sans" w:cs="Open Sans"/>
          <w:color w:val="434343"/>
        </w:rPr>
        <w:t>hydrogen</w:t>
      </w:r>
      <w:r w:rsidRPr="008C59CD">
        <w:rPr>
          <w:rFonts w:ascii="Open Sans" w:eastAsia="Open Sans" w:hAnsi="Open Sans" w:cs="Open Sans"/>
          <w:color w:val="434343"/>
        </w:rPr>
        <w:t xml:space="preserve"> as well as biomethane</w:t>
      </w:r>
      <w:r>
        <w:rPr>
          <w:rFonts w:ascii="Open Sans" w:eastAsia="Open Sans" w:hAnsi="Open Sans" w:cs="Open Sans"/>
          <w:color w:val="434343"/>
        </w:rPr>
        <w:t xml:space="preserve">. </w:t>
      </w:r>
      <w:r w:rsidRPr="008C59CD">
        <w:rPr>
          <w:rFonts w:ascii="Open Sans" w:eastAsia="Open Sans" w:hAnsi="Open Sans" w:cs="Open Sans"/>
          <w:color w:val="434343"/>
        </w:rPr>
        <w:t xml:space="preserve"> </w:t>
      </w:r>
    </w:p>
    <w:p w14:paraId="11F17145" w14:textId="77777777" w:rsidR="00B065C8" w:rsidRPr="008C19FE" w:rsidRDefault="00B065C8" w:rsidP="00EE7AE9">
      <w:pPr>
        <w:spacing w:before="120" w:after="120" w:line="240" w:lineRule="auto"/>
        <w:rPr>
          <w:rFonts w:ascii="Open Sans" w:eastAsia="Open Sans" w:hAnsi="Open Sans" w:cs="Open Sans"/>
          <w:b/>
          <w:bCs/>
          <w:color w:val="434343"/>
        </w:rPr>
      </w:pPr>
      <w:r w:rsidRPr="00374000">
        <w:rPr>
          <w:rFonts w:ascii="Open Sans" w:eastAsia="Open Sans" w:hAnsi="Open Sans" w:cs="Open Sans"/>
          <w:b/>
          <w:bCs/>
          <w:noProof/>
          <w:color w:val="434343"/>
        </w:rPr>
        <w:drawing>
          <wp:inline distT="0" distB="0" distL="0" distR="0" wp14:anchorId="769319A3" wp14:editId="044B7D8D">
            <wp:extent cx="5731510" cy="2922905"/>
            <wp:effectExtent l="0" t="0" r="2540"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8642C8" w14:textId="77777777" w:rsidR="00B065C8" w:rsidRDefault="00B065C8" w:rsidP="00EE7AE9">
      <w:pPr>
        <w:tabs>
          <w:tab w:val="num" w:pos="720"/>
        </w:tabs>
        <w:spacing w:before="120" w:after="120" w:line="240" w:lineRule="auto"/>
        <w:rPr>
          <w:rFonts w:ascii="Open Sans" w:eastAsia="Open Sans" w:hAnsi="Open Sans" w:cs="Open Sans"/>
          <w:color w:val="434343"/>
        </w:rPr>
      </w:pPr>
    </w:p>
    <w:p w14:paraId="3048CF3E" w14:textId="77777777" w:rsidR="00B065C8" w:rsidRPr="00D11110" w:rsidRDefault="00B065C8" w:rsidP="00EE7AE9">
      <w:pPr>
        <w:spacing w:before="120" w:after="120" w:line="240" w:lineRule="auto"/>
        <w:rPr>
          <w:rFonts w:ascii="Open Sans" w:eastAsia="Open Sans" w:hAnsi="Open Sans" w:cs="Open Sans"/>
          <w:b/>
          <w:bCs/>
          <w:color w:val="434343"/>
        </w:rPr>
      </w:pPr>
      <w:r w:rsidRPr="00D11110">
        <w:rPr>
          <w:rFonts w:ascii="Open Sans" w:eastAsia="Open Sans" w:hAnsi="Open Sans" w:cs="Open Sans"/>
          <w:b/>
          <w:bCs/>
          <w:color w:val="434343"/>
        </w:rPr>
        <w:t>Reverse compression</w:t>
      </w:r>
    </w:p>
    <w:p w14:paraId="74434873" w14:textId="77777777" w:rsidR="00B065C8" w:rsidRDefault="00B065C8" w:rsidP="00EE7AE9">
      <w:pPr>
        <w:spacing w:before="120" w:after="120" w:line="240" w:lineRule="auto"/>
        <w:rPr>
          <w:rFonts w:ascii="Open Sans" w:eastAsia="Open Sans" w:hAnsi="Open Sans" w:cs="Open Sans"/>
          <w:color w:val="434343"/>
        </w:rPr>
      </w:pPr>
      <w:r w:rsidRPr="610AB8BD">
        <w:rPr>
          <w:rFonts w:ascii="Open Sans" w:eastAsia="Open Sans" w:hAnsi="Open Sans" w:cs="Open Sans"/>
          <w:color w:val="434343"/>
        </w:rPr>
        <w:t xml:space="preserve">Businesses operating AD sites want to </w:t>
      </w:r>
      <w:r>
        <w:rPr>
          <w:rFonts w:ascii="Open Sans" w:eastAsia="Open Sans" w:hAnsi="Open Sans" w:cs="Open Sans"/>
          <w:color w:val="434343"/>
        </w:rPr>
        <w:t>produce</w:t>
      </w:r>
      <w:r w:rsidRPr="610AB8BD">
        <w:rPr>
          <w:rFonts w:ascii="Open Sans" w:eastAsia="Open Sans" w:hAnsi="Open Sans" w:cs="Open Sans"/>
          <w:color w:val="434343"/>
        </w:rPr>
        <w:t xml:space="preserve"> biomethane </w:t>
      </w:r>
      <w:r>
        <w:rPr>
          <w:rFonts w:ascii="Open Sans" w:eastAsia="Open Sans" w:hAnsi="Open Sans" w:cs="Open Sans"/>
          <w:color w:val="434343"/>
        </w:rPr>
        <w:t>throughout</w:t>
      </w:r>
      <w:r w:rsidRPr="610AB8BD">
        <w:rPr>
          <w:rFonts w:ascii="Open Sans" w:eastAsia="Open Sans" w:hAnsi="Open Sans" w:cs="Open Sans"/>
          <w:color w:val="434343"/>
        </w:rPr>
        <w:t xml:space="preserve"> year and if injecting into the MP/IP network they can have capacity issues during summer periods of low seasonal demand. Lack of capacity causes approximately 30 – 50% of potential </w:t>
      </w:r>
      <w:r>
        <w:rPr>
          <w:rFonts w:ascii="Open Sans" w:eastAsia="Open Sans" w:hAnsi="Open Sans" w:cs="Open Sans"/>
          <w:color w:val="434343"/>
        </w:rPr>
        <w:t xml:space="preserve">new </w:t>
      </w:r>
      <w:r w:rsidRPr="610AB8BD">
        <w:rPr>
          <w:rFonts w:ascii="Open Sans" w:eastAsia="Open Sans" w:hAnsi="Open Sans" w:cs="Open Sans"/>
          <w:color w:val="434343"/>
        </w:rPr>
        <w:t xml:space="preserve">biomethane projects to be prevented from going ahead. In addition, </w:t>
      </w:r>
      <w:r>
        <w:rPr>
          <w:rFonts w:ascii="Open Sans" w:eastAsia="Open Sans" w:hAnsi="Open Sans" w:cs="Open Sans"/>
          <w:color w:val="434343"/>
        </w:rPr>
        <w:t>many</w:t>
      </w:r>
      <w:r w:rsidRPr="610AB8BD">
        <w:rPr>
          <w:rFonts w:ascii="Open Sans" w:eastAsia="Open Sans" w:hAnsi="Open Sans" w:cs="Open Sans"/>
          <w:color w:val="434343"/>
        </w:rPr>
        <w:t xml:space="preserve"> existing projects </w:t>
      </w:r>
      <w:proofErr w:type="gramStart"/>
      <w:r w:rsidRPr="610AB8BD">
        <w:rPr>
          <w:rFonts w:ascii="Open Sans" w:eastAsia="Open Sans" w:hAnsi="Open Sans" w:cs="Open Sans"/>
          <w:color w:val="434343"/>
        </w:rPr>
        <w:t>have to</w:t>
      </w:r>
      <w:proofErr w:type="gramEnd"/>
      <w:r w:rsidRPr="610AB8BD">
        <w:rPr>
          <w:rFonts w:ascii="Open Sans" w:eastAsia="Open Sans" w:hAnsi="Open Sans" w:cs="Open Sans"/>
          <w:color w:val="434343"/>
        </w:rPr>
        <w:t xml:space="preserve"> flare gas in summer due to capacity constraints and this could become worse </w:t>
      </w:r>
      <w:r>
        <w:rPr>
          <w:rFonts w:ascii="Open Sans" w:eastAsia="Open Sans" w:hAnsi="Open Sans" w:cs="Open Sans"/>
          <w:color w:val="434343"/>
        </w:rPr>
        <w:t xml:space="preserve">going forward </w:t>
      </w:r>
      <w:r w:rsidRPr="610AB8BD">
        <w:rPr>
          <w:rFonts w:ascii="Open Sans" w:eastAsia="Open Sans" w:hAnsi="Open Sans" w:cs="Open Sans"/>
          <w:color w:val="434343"/>
        </w:rPr>
        <w:t xml:space="preserve">due to gas loads switching off or changing to oil. </w:t>
      </w:r>
    </w:p>
    <w:p w14:paraId="543F5631" w14:textId="15B86BFB" w:rsidR="00B065C8" w:rsidRPr="00DC26AB" w:rsidRDefault="00B065C8" w:rsidP="00EE7AE9">
      <w:pPr>
        <w:spacing w:before="120" w:after="120" w:line="240" w:lineRule="auto"/>
        <w:rPr>
          <w:rFonts w:ascii="Open Sans" w:eastAsia="Open Sans" w:hAnsi="Open Sans" w:cs="Open Sans"/>
          <w:b/>
          <w:bCs/>
          <w:color w:val="434343"/>
        </w:rPr>
      </w:pPr>
      <w:r>
        <w:rPr>
          <w:rFonts w:ascii="Open Sans" w:eastAsia="Open Sans" w:hAnsi="Open Sans" w:cs="Open Sans"/>
          <w:color w:val="434343"/>
        </w:rPr>
        <w:t xml:space="preserve">One of the potential </w:t>
      </w:r>
      <w:r w:rsidRPr="00DC26AB">
        <w:rPr>
          <w:rFonts w:ascii="Open Sans" w:eastAsia="Open Sans" w:hAnsi="Open Sans" w:cs="Open Sans"/>
          <w:color w:val="434343"/>
        </w:rPr>
        <w:t>solution</w:t>
      </w:r>
      <w:r>
        <w:rPr>
          <w:rFonts w:ascii="Open Sans" w:eastAsia="Open Sans" w:hAnsi="Open Sans" w:cs="Open Sans"/>
          <w:color w:val="434343"/>
        </w:rPr>
        <w:t>s</w:t>
      </w:r>
      <w:r w:rsidRPr="00DC26AB">
        <w:rPr>
          <w:rFonts w:ascii="Open Sans" w:eastAsia="Open Sans" w:hAnsi="Open Sans" w:cs="Open Sans"/>
          <w:color w:val="434343"/>
        </w:rPr>
        <w:t xml:space="preserve"> is to install </w:t>
      </w:r>
      <w:r w:rsidR="00B03EA5">
        <w:rPr>
          <w:rFonts w:ascii="Open Sans" w:eastAsia="Open Sans" w:hAnsi="Open Sans" w:cs="Open Sans"/>
          <w:color w:val="434343"/>
        </w:rPr>
        <w:t>‘</w:t>
      </w:r>
      <w:r w:rsidRPr="00DC26AB">
        <w:rPr>
          <w:rFonts w:ascii="Open Sans" w:eastAsia="Open Sans" w:hAnsi="Open Sans" w:cs="Open Sans"/>
          <w:color w:val="434343"/>
        </w:rPr>
        <w:t xml:space="preserve">Reverse Compression project to extract gas out of the MP/IP and inject into higher pressure tiers. </w:t>
      </w:r>
    </w:p>
    <w:p w14:paraId="1CDA7DBB" w14:textId="35AD887C" w:rsidR="00B065C8" w:rsidRDefault="00B065C8" w:rsidP="00EE7AE9">
      <w:pPr>
        <w:tabs>
          <w:tab w:val="num" w:pos="720"/>
        </w:tabs>
        <w:spacing w:before="120" w:after="120" w:line="240" w:lineRule="auto"/>
        <w:rPr>
          <w:rFonts w:ascii="Open Sans" w:eastAsia="Open Sans" w:hAnsi="Open Sans" w:cs="Open Sans"/>
          <w:color w:val="434343"/>
        </w:rPr>
      </w:pPr>
      <w:r>
        <w:rPr>
          <w:rFonts w:ascii="Open Sans" w:eastAsia="Open Sans" w:hAnsi="Open Sans" w:cs="Open Sans"/>
          <w:color w:val="434343"/>
        </w:rPr>
        <w:lastRenderedPageBreak/>
        <w:t xml:space="preserve">Market intelligence suggests that there are at least </w:t>
      </w:r>
      <w:r w:rsidRPr="00542D45">
        <w:rPr>
          <w:rFonts w:ascii="Open Sans" w:eastAsia="Open Sans" w:hAnsi="Open Sans" w:cs="Open Sans"/>
          <w:b/>
          <w:bCs/>
          <w:color w:val="434343"/>
        </w:rPr>
        <w:t>20 biomethane projects</w:t>
      </w:r>
      <w:r>
        <w:rPr>
          <w:rFonts w:ascii="Open Sans" w:eastAsia="Open Sans" w:hAnsi="Open Sans" w:cs="Open Sans"/>
          <w:color w:val="434343"/>
        </w:rPr>
        <w:t xml:space="preserve"> that could connect to the network in areas with capacity constraints in the lower tier distribution network, if reverse compression technology could be adopted. Taken together these projects would be able to inject 1.6 </w:t>
      </w:r>
      <w:proofErr w:type="spellStart"/>
      <w:r>
        <w:rPr>
          <w:rFonts w:ascii="Open Sans" w:eastAsia="Open Sans" w:hAnsi="Open Sans" w:cs="Open Sans"/>
          <w:color w:val="434343"/>
        </w:rPr>
        <w:t>TWh</w:t>
      </w:r>
      <w:proofErr w:type="spellEnd"/>
      <w:r>
        <w:rPr>
          <w:rFonts w:ascii="Open Sans" w:eastAsia="Open Sans" w:hAnsi="Open Sans" w:cs="Open Sans"/>
          <w:color w:val="434343"/>
        </w:rPr>
        <w:t>/annum into the grid and deliver just below 280,000 tonnes per annum of CO</w:t>
      </w:r>
      <w:r w:rsidRPr="00617EBC">
        <w:rPr>
          <w:rFonts w:ascii="Open Sans" w:eastAsia="Open Sans" w:hAnsi="Open Sans" w:cs="Open Sans"/>
          <w:color w:val="434343"/>
          <w:vertAlign w:val="subscript"/>
        </w:rPr>
        <w:t>2</w:t>
      </w:r>
      <w:r>
        <w:rPr>
          <w:rFonts w:ascii="Open Sans" w:eastAsia="Open Sans" w:hAnsi="Open Sans" w:cs="Open Sans"/>
          <w:color w:val="434343"/>
        </w:rPr>
        <w:t xml:space="preserve"> savings (or 500,000 tonnes if the bio-CO</w:t>
      </w:r>
      <w:r w:rsidRPr="00617EBC">
        <w:rPr>
          <w:rFonts w:ascii="Open Sans" w:eastAsia="Open Sans" w:hAnsi="Open Sans" w:cs="Open Sans"/>
          <w:color w:val="434343"/>
          <w:vertAlign w:val="subscript"/>
        </w:rPr>
        <w:t>2</w:t>
      </w:r>
      <w:r>
        <w:rPr>
          <w:rFonts w:ascii="Open Sans" w:eastAsia="Open Sans" w:hAnsi="Open Sans" w:cs="Open Sans"/>
          <w:color w:val="434343"/>
        </w:rPr>
        <w:t xml:space="preserve"> is captured and sent to CCS). However, the cost of adopting reverse compression would fall entirely on the producer and are significant</w:t>
      </w:r>
      <w:r w:rsidR="00A36C47">
        <w:rPr>
          <w:rFonts w:ascii="Open Sans" w:eastAsia="Open Sans" w:hAnsi="Open Sans" w:cs="Open Sans"/>
          <w:color w:val="434343"/>
        </w:rPr>
        <w:t xml:space="preserve"> (estimated at typically 7% of the total project capex)</w:t>
      </w:r>
      <w:r>
        <w:rPr>
          <w:rFonts w:ascii="Open Sans" w:eastAsia="Open Sans" w:hAnsi="Open Sans" w:cs="Open Sans"/>
          <w:color w:val="434343"/>
        </w:rPr>
        <w:t xml:space="preserve">, </w:t>
      </w:r>
      <w:r w:rsidR="00B03EA5">
        <w:rPr>
          <w:rFonts w:ascii="Open Sans" w:eastAsia="Open Sans" w:hAnsi="Open Sans" w:cs="Open Sans"/>
          <w:color w:val="434343"/>
        </w:rPr>
        <w:t xml:space="preserve">and this </w:t>
      </w:r>
      <w:r>
        <w:rPr>
          <w:rFonts w:ascii="Open Sans" w:eastAsia="Open Sans" w:hAnsi="Open Sans" w:cs="Open Sans"/>
          <w:color w:val="434343"/>
        </w:rPr>
        <w:t xml:space="preserve">creates a barrier to the adoption of this innovative solution. </w:t>
      </w:r>
    </w:p>
    <w:p w14:paraId="66CCFB7C" w14:textId="560407C5" w:rsidR="00E64E78" w:rsidRPr="00D02F9D" w:rsidRDefault="00B065C8" w:rsidP="00EE7AE9">
      <w:pPr>
        <w:tabs>
          <w:tab w:val="num" w:pos="720"/>
        </w:tabs>
        <w:spacing w:before="120" w:after="120" w:line="240" w:lineRule="auto"/>
        <w:rPr>
          <w:rFonts w:ascii="Open Sans" w:eastAsia="Open Sans" w:hAnsi="Open Sans" w:cs="Open Sans"/>
          <w:color w:val="434343"/>
        </w:rPr>
      </w:pPr>
      <w:r>
        <w:rPr>
          <w:rFonts w:ascii="Open Sans" w:eastAsia="Open Sans" w:hAnsi="Open Sans" w:cs="Open Sans"/>
          <w:color w:val="434343"/>
        </w:rPr>
        <w:t xml:space="preserve">Note that reverse compression is already </w:t>
      </w:r>
      <w:proofErr w:type="gramStart"/>
      <w:r w:rsidR="00E64E78">
        <w:rPr>
          <w:rFonts w:ascii="Open Sans" w:eastAsia="Open Sans" w:hAnsi="Open Sans" w:cs="Open Sans"/>
          <w:color w:val="434343"/>
        </w:rPr>
        <w:t>wide spread</w:t>
      </w:r>
      <w:proofErr w:type="gramEnd"/>
      <w:r w:rsidR="00E64E78">
        <w:rPr>
          <w:rFonts w:ascii="Open Sans" w:eastAsia="Open Sans" w:hAnsi="Open Sans" w:cs="Open Sans"/>
          <w:color w:val="434343"/>
        </w:rPr>
        <w:t xml:space="preserve"> in Europe </w:t>
      </w:r>
      <w:r w:rsidR="00E64E78" w:rsidRPr="00ED0FB9">
        <w:rPr>
          <w:rFonts w:ascii="Open Sans" w:eastAsia="Open Sans" w:hAnsi="Open Sans" w:cs="Open Sans"/>
          <w:color w:val="434343"/>
        </w:rPr>
        <w:t xml:space="preserve">with a GB pilot project due to be operational in 2023. </w:t>
      </w:r>
      <w:r w:rsidR="00E64E78">
        <w:rPr>
          <w:rFonts w:ascii="Open Sans" w:eastAsia="Open Sans" w:hAnsi="Open Sans" w:cs="Open Sans"/>
          <w:color w:val="434343"/>
        </w:rPr>
        <w:t xml:space="preserve">Reverse compression is </w:t>
      </w:r>
      <w:r w:rsidRPr="009715B9">
        <w:rPr>
          <w:rFonts w:ascii="Open Sans" w:eastAsia="Open Sans" w:hAnsi="Open Sans" w:cs="Open Sans"/>
          <w:color w:val="434343"/>
        </w:rPr>
        <w:t xml:space="preserve">being carried out in </w:t>
      </w:r>
      <w:r>
        <w:rPr>
          <w:rFonts w:ascii="Open Sans" w:eastAsia="Open Sans" w:hAnsi="Open Sans" w:cs="Open Sans"/>
          <w:color w:val="434343"/>
        </w:rPr>
        <w:t xml:space="preserve">the </w:t>
      </w:r>
      <w:r w:rsidRPr="009715B9">
        <w:rPr>
          <w:rFonts w:ascii="Open Sans" w:eastAsia="Open Sans" w:hAnsi="Open Sans" w:cs="Open Sans"/>
          <w:color w:val="434343"/>
        </w:rPr>
        <w:t xml:space="preserve">Netherlands (Gas </w:t>
      </w:r>
      <w:proofErr w:type="spellStart"/>
      <w:r w:rsidRPr="009715B9">
        <w:rPr>
          <w:rFonts w:ascii="Open Sans" w:eastAsia="Open Sans" w:hAnsi="Open Sans" w:cs="Open Sans"/>
          <w:color w:val="434343"/>
        </w:rPr>
        <w:t>Unie</w:t>
      </w:r>
      <w:proofErr w:type="spellEnd"/>
      <w:r w:rsidRPr="009715B9">
        <w:rPr>
          <w:rFonts w:ascii="Open Sans" w:eastAsia="Open Sans" w:hAnsi="Open Sans" w:cs="Open Sans"/>
          <w:color w:val="434343"/>
        </w:rPr>
        <w:t>), France (</w:t>
      </w:r>
      <w:proofErr w:type="spellStart"/>
      <w:r w:rsidRPr="009715B9">
        <w:rPr>
          <w:rFonts w:ascii="Open Sans" w:eastAsia="Open Sans" w:hAnsi="Open Sans" w:cs="Open Sans"/>
          <w:color w:val="434343"/>
        </w:rPr>
        <w:t>GRTgaz</w:t>
      </w:r>
      <w:proofErr w:type="spellEnd"/>
      <w:r w:rsidRPr="009715B9">
        <w:rPr>
          <w:rFonts w:ascii="Open Sans" w:eastAsia="Open Sans" w:hAnsi="Open Sans" w:cs="Open Sans"/>
          <w:color w:val="434343"/>
        </w:rPr>
        <w:t>) and Denmark (</w:t>
      </w:r>
      <w:proofErr w:type="spellStart"/>
      <w:r w:rsidRPr="009715B9">
        <w:rPr>
          <w:rFonts w:ascii="Open Sans" w:eastAsia="Open Sans" w:hAnsi="Open Sans" w:cs="Open Sans"/>
          <w:color w:val="434343"/>
        </w:rPr>
        <w:t>Energienet</w:t>
      </w:r>
      <w:proofErr w:type="spellEnd"/>
      <w:r w:rsidRPr="009715B9">
        <w:rPr>
          <w:rFonts w:ascii="Open Sans" w:eastAsia="Open Sans" w:hAnsi="Open Sans" w:cs="Open Sans"/>
          <w:color w:val="434343"/>
        </w:rPr>
        <w:t>)</w:t>
      </w:r>
      <w:r>
        <w:rPr>
          <w:rFonts w:ascii="Open Sans" w:eastAsia="Open Sans" w:hAnsi="Open Sans" w:cs="Open Sans"/>
          <w:color w:val="434343"/>
        </w:rPr>
        <w:t xml:space="preserve"> and is being explored and tested in the UK by some gas distribution networks under a NIC funded project at a site near Doncaster. Based on this project, the </w:t>
      </w:r>
      <w:r w:rsidRPr="00C20DA1">
        <w:rPr>
          <w:rFonts w:ascii="Open Sans" w:eastAsia="Open Sans" w:hAnsi="Open Sans" w:cs="Open Sans"/>
          <w:color w:val="434343"/>
        </w:rPr>
        <w:t>GDNs have produced a specification for GDN owned and operated compressors</w:t>
      </w:r>
      <w:r>
        <w:rPr>
          <w:rFonts w:ascii="Open Sans" w:eastAsia="Open Sans" w:hAnsi="Open Sans" w:cs="Open Sans"/>
          <w:color w:val="434343"/>
        </w:rPr>
        <w:t xml:space="preserve">. </w:t>
      </w:r>
      <w:r w:rsidR="00E64E78" w:rsidRPr="00ED0FB9">
        <w:rPr>
          <w:rFonts w:ascii="Open Sans" w:eastAsia="Open Sans" w:hAnsi="Open Sans" w:cs="Open Sans"/>
          <w:color w:val="434343"/>
        </w:rPr>
        <w:t>A member of the REA</w:t>
      </w:r>
      <w:r w:rsidR="00AE1108">
        <w:rPr>
          <w:rFonts w:ascii="Open Sans" w:eastAsia="Open Sans" w:hAnsi="Open Sans" w:cs="Open Sans"/>
          <w:color w:val="434343"/>
        </w:rPr>
        <w:t xml:space="preserve">, </w:t>
      </w:r>
      <w:r w:rsidR="00E64E78" w:rsidRPr="00ED0FB9">
        <w:rPr>
          <w:rFonts w:ascii="Open Sans" w:eastAsia="Open Sans" w:hAnsi="Open Sans" w:cs="Open Sans"/>
          <w:color w:val="434343"/>
        </w:rPr>
        <w:t>CSL</w:t>
      </w:r>
      <w:r w:rsidR="00AE1108">
        <w:rPr>
          <w:rFonts w:ascii="Open Sans" w:eastAsia="Open Sans" w:hAnsi="Open Sans" w:cs="Open Sans"/>
          <w:color w:val="434343"/>
        </w:rPr>
        <w:t xml:space="preserve">, </w:t>
      </w:r>
      <w:r w:rsidR="00E64E78" w:rsidRPr="00ED0FB9">
        <w:rPr>
          <w:rFonts w:ascii="Open Sans" w:eastAsia="Open Sans" w:hAnsi="Open Sans" w:cs="Open Sans"/>
          <w:color w:val="434343"/>
        </w:rPr>
        <w:t xml:space="preserve">estimates that 50% of potential projects now require Reverse Compression, a technology that is widespread in Europe with a GB pilot project due to be operational in 2023. </w:t>
      </w:r>
      <w:r w:rsidR="00A36C47">
        <w:rPr>
          <w:rFonts w:ascii="Open Sans" w:eastAsia="Open Sans" w:hAnsi="Open Sans" w:cs="Open Sans"/>
          <w:color w:val="434343"/>
        </w:rPr>
        <w:t xml:space="preserve"> The key point on the GDN specification is that it would not allow standard compressors to be used of which around 20 already inject gas into the transmission system. Adopting a </w:t>
      </w:r>
      <w:proofErr w:type="spellStart"/>
      <w:proofErr w:type="gramStart"/>
      <w:r w:rsidR="00A36C47">
        <w:rPr>
          <w:rFonts w:ascii="Open Sans" w:eastAsia="Open Sans" w:hAnsi="Open Sans" w:cs="Open Sans"/>
          <w:color w:val="434343"/>
        </w:rPr>
        <w:t>non standard</w:t>
      </w:r>
      <w:proofErr w:type="spellEnd"/>
      <w:proofErr w:type="gramEnd"/>
      <w:r w:rsidR="00A36C47">
        <w:rPr>
          <w:rFonts w:ascii="Open Sans" w:eastAsia="Open Sans" w:hAnsi="Open Sans" w:cs="Open Sans"/>
          <w:color w:val="434343"/>
        </w:rPr>
        <w:t xml:space="preserve"> approach is likely to add significant time to project delivery</w:t>
      </w:r>
      <w:r w:rsidR="00AE1108">
        <w:rPr>
          <w:rFonts w:ascii="Open Sans" w:eastAsia="Open Sans" w:hAnsi="Open Sans" w:cs="Open Sans"/>
          <w:color w:val="434343"/>
        </w:rPr>
        <w:t xml:space="preserve">. </w:t>
      </w:r>
    </w:p>
    <w:p w14:paraId="7FDC2B76" w14:textId="77777777" w:rsidR="00DC26AB" w:rsidRDefault="00DC26AB" w:rsidP="00EE7AE9">
      <w:pPr>
        <w:spacing w:before="120" w:after="120" w:line="240" w:lineRule="auto"/>
        <w:rPr>
          <w:rFonts w:ascii="Open Sans" w:eastAsia="Open Sans" w:hAnsi="Open Sans" w:cs="Open Sans"/>
          <w:color w:val="434343"/>
        </w:rPr>
      </w:pPr>
    </w:p>
    <w:p w14:paraId="307BD8DB" w14:textId="7A2216FC" w:rsidR="004A1EE7" w:rsidRDefault="00333DFE" w:rsidP="00EE7AE9">
      <w:pPr>
        <w:pStyle w:val="ListParagraph"/>
        <w:numPr>
          <w:ilvl w:val="0"/>
          <w:numId w:val="9"/>
        </w:numPr>
        <w:spacing w:before="120" w:after="120" w:line="240" w:lineRule="auto"/>
        <w:ind w:left="426" w:hanging="426"/>
        <w:rPr>
          <w:rFonts w:ascii="Open Sans" w:eastAsia="Open Sans" w:hAnsi="Open Sans" w:cs="Open Sans"/>
          <w:b/>
          <w:color w:val="2F5496"/>
        </w:rPr>
      </w:pPr>
      <w:r w:rsidRPr="004A1EE7">
        <w:rPr>
          <w:rFonts w:ascii="Open Sans" w:eastAsia="Open Sans" w:hAnsi="Open Sans" w:cs="Open Sans"/>
          <w:b/>
          <w:color w:val="2F5496"/>
        </w:rPr>
        <w:t xml:space="preserve">Do you recognise the need for changes to current connections charging methodology to support greater entry gas? a. Explain your reasoning b. Supporting evidence 2. </w:t>
      </w:r>
    </w:p>
    <w:p w14:paraId="1AE916D7" w14:textId="77777777" w:rsidR="00C20DA1" w:rsidRDefault="02246781" w:rsidP="00EE7AE9">
      <w:pPr>
        <w:spacing w:before="120" w:after="120" w:line="240" w:lineRule="auto"/>
        <w:rPr>
          <w:rFonts w:ascii="Open Sans" w:eastAsia="Open Sans" w:hAnsi="Open Sans" w:cs="Open Sans"/>
          <w:color w:val="434343"/>
        </w:rPr>
      </w:pPr>
      <w:r w:rsidRPr="74C8A615">
        <w:rPr>
          <w:rFonts w:ascii="Open Sans" w:eastAsia="Open Sans" w:hAnsi="Open Sans" w:cs="Open Sans"/>
          <w:color w:val="434343"/>
        </w:rPr>
        <w:t>Yes</w:t>
      </w:r>
      <w:r w:rsidR="38058D87" w:rsidRPr="74C8A615">
        <w:rPr>
          <w:rFonts w:ascii="Open Sans" w:eastAsia="Open Sans" w:hAnsi="Open Sans" w:cs="Open Sans"/>
          <w:color w:val="434343"/>
        </w:rPr>
        <w:t>.</w:t>
      </w:r>
    </w:p>
    <w:p w14:paraId="69BA5612" w14:textId="1E778332" w:rsidR="00623C9A" w:rsidRDefault="00623C9A"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t>All our members who provided feedback to this question strongly recognise the need for changes to the current connection charging methodology</w:t>
      </w:r>
      <w:r w:rsidR="00A23B1D">
        <w:rPr>
          <w:rFonts w:ascii="Open Sans" w:eastAsia="Open Sans" w:hAnsi="Open Sans" w:cs="Open Sans"/>
          <w:color w:val="434343"/>
        </w:rPr>
        <w:t xml:space="preserve">, </w:t>
      </w:r>
      <w:proofErr w:type="gramStart"/>
      <w:r w:rsidR="00A23B1D">
        <w:rPr>
          <w:rFonts w:ascii="Open Sans" w:eastAsia="Open Sans" w:hAnsi="Open Sans" w:cs="Open Sans"/>
          <w:color w:val="434343"/>
        </w:rPr>
        <w:t>as long as</w:t>
      </w:r>
      <w:proofErr w:type="gramEnd"/>
      <w:r w:rsidR="00A23B1D">
        <w:rPr>
          <w:rFonts w:ascii="Open Sans" w:eastAsia="Open Sans" w:hAnsi="Open Sans" w:cs="Open Sans"/>
          <w:color w:val="434343"/>
        </w:rPr>
        <w:t xml:space="preserve"> these can be made and adopted swiftly. </w:t>
      </w:r>
      <w:r>
        <w:rPr>
          <w:rFonts w:ascii="Open Sans" w:eastAsia="Open Sans" w:hAnsi="Open Sans" w:cs="Open Sans"/>
          <w:color w:val="434343"/>
        </w:rPr>
        <w:t xml:space="preserve">The reasons mentioned </w:t>
      </w:r>
      <w:r w:rsidR="007C05F9">
        <w:rPr>
          <w:rFonts w:ascii="Open Sans" w:eastAsia="Open Sans" w:hAnsi="Open Sans" w:cs="Open Sans"/>
          <w:color w:val="434343"/>
        </w:rPr>
        <w:t>in their survey responses</w:t>
      </w:r>
      <w:r w:rsidR="00B03EA5">
        <w:rPr>
          <w:rFonts w:ascii="Open Sans" w:eastAsia="Open Sans" w:hAnsi="Open Sans" w:cs="Open Sans"/>
          <w:color w:val="434343"/>
        </w:rPr>
        <w:t xml:space="preserve"> </w:t>
      </w:r>
      <w:r>
        <w:rPr>
          <w:rFonts w:ascii="Open Sans" w:eastAsia="Open Sans" w:hAnsi="Open Sans" w:cs="Open Sans"/>
          <w:color w:val="434343"/>
        </w:rPr>
        <w:t>are listed below:</w:t>
      </w:r>
    </w:p>
    <w:p w14:paraId="2C84F28B" w14:textId="77777777" w:rsidR="00623C9A" w:rsidRPr="00110C8E" w:rsidRDefault="00623C9A" w:rsidP="00EE7AE9">
      <w:pPr>
        <w:pStyle w:val="ListParagraph"/>
        <w:numPr>
          <w:ilvl w:val="0"/>
          <w:numId w:val="10"/>
        </w:numPr>
        <w:spacing w:before="120" w:after="120" w:line="240" w:lineRule="auto"/>
        <w:ind w:left="426" w:hanging="426"/>
        <w:rPr>
          <w:rFonts w:ascii="Open Sans" w:eastAsia="Open Sans" w:hAnsi="Open Sans" w:cs="Open Sans"/>
          <w:color w:val="434343"/>
        </w:rPr>
      </w:pPr>
      <w:r w:rsidRPr="00110C8E">
        <w:rPr>
          <w:rFonts w:ascii="Open Sans" w:eastAsia="Open Sans" w:hAnsi="Open Sans" w:cs="Open Sans"/>
          <w:color w:val="434343"/>
        </w:rPr>
        <w:t xml:space="preserve">The current </w:t>
      </w:r>
      <w:r>
        <w:rPr>
          <w:rFonts w:ascii="Open Sans" w:eastAsia="Open Sans" w:hAnsi="Open Sans" w:cs="Open Sans"/>
          <w:color w:val="434343"/>
        </w:rPr>
        <w:t xml:space="preserve">methodology </w:t>
      </w:r>
      <w:r w:rsidRPr="00110C8E">
        <w:rPr>
          <w:rFonts w:ascii="Open Sans" w:eastAsia="Open Sans" w:hAnsi="Open Sans" w:cs="Open Sans"/>
          <w:color w:val="434343"/>
        </w:rPr>
        <w:t>basis puts undue burden on developers and will restrict the growth of the market</w:t>
      </w:r>
    </w:p>
    <w:p w14:paraId="00CE22E5" w14:textId="31D72CCA" w:rsidR="007C05F9" w:rsidRPr="00110C8E" w:rsidRDefault="00623C9A" w:rsidP="00EE7AE9">
      <w:pPr>
        <w:pStyle w:val="ListParagraph"/>
        <w:numPr>
          <w:ilvl w:val="0"/>
          <w:numId w:val="10"/>
        </w:numPr>
        <w:spacing w:before="120" w:after="120" w:line="240" w:lineRule="auto"/>
        <w:ind w:left="426" w:hanging="426"/>
        <w:rPr>
          <w:rFonts w:ascii="Open Sans" w:eastAsia="Open Sans" w:hAnsi="Open Sans" w:cs="Open Sans"/>
          <w:color w:val="434343"/>
        </w:rPr>
      </w:pPr>
      <w:r>
        <w:rPr>
          <w:rFonts w:ascii="Open Sans" w:eastAsia="Open Sans" w:hAnsi="Open Sans" w:cs="Open Sans"/>
          <w:color w:val="434343"/>
        </w:rPr>
        <w:t>T</w:t>
      </w:r>
      <w:r w:rsidRPr="00110C8E">
        <w:rPr>
          <w:rFonts w:ascii="Open Sans" w:eastAsia="Open Sans" w:hAnsi="Open Sans" w:cs="Open Sans"/>
          <w:color w:val="434343"/>
        </w:rPr>
        <w:t xml:space="preserve">he capacity for biomethane is </w:t>
      </w:r>
      <w:r w:rsidR="007C05F9">
        <w:rPr>
          <w:rFonts w:ascii="Open Sans" w:eastAsia="Open Sans" w:hAnsi="Open Sans" w:cs="Open Sans"/>
          <w:color w:val="434343"/>
        </w:rPr>
        <w:t xml:space="preserve">currently </w:t>
      </w:r>
      <w:r w:rsidRPr="00110C8E">
        <w:rPr>
          <w:rFonts w:ascii="Open Sans" w:eastAsia="Open Sans" w:hAnsi="Open Sans" w:cs="Open Sans"/>
          <w:color w:val="434343"/>
        </w:rPr>
        <w:t>limited</w:t>
      </w:r>
      <w:r w:rsidR="007C05F9" w:rsidRPr="007C05F9">
        <w:rPr>
          <w:rFonts w:ascii="Open Sans" w:eastAsia="Open Sans" w:hAnsi="Open Sans" w:cs="Open Sans"/>
          <w:color w:val="434343"/>
        </w:rPr>
        <w:t xml:space="preserve"> </w:t>
      </w:r>
      <w:r w:rsidR="007C05F9">
        <w:rPr>
          <w:rFonts w:ascii="Open Sans" w:eastAsia="Open Sans" w:hAnsi="Open Sans" w:cs="Open Sans"/>
          <w:color w:val="434343"/>
        </w:rPr>
        <w:t>/ t</w:t>
      </w:r>
      <w:r w:rsidR="007C05F9" w:rsidRPr="00110C8E">
        <w:rPr>
          <w:rFonts w:ascii="Open Sans" w:eastAsia="Open Sans" w:hAnsi="Open Sans" w:cs="Open Sans"/>
          <w:color w:val="434343"/>
        </w:rPr>
        <w:t xml:space="preserve">he evidence is that biomethane plants are struggling to find low-pressure connections and over the years have had to apply to further higher pressures due to lack of availability. </w:t>
      </w:r>
    </w:p>
    <w:p w14:paraId="1A4DC56F" w14:textId="010051A9" w:rsidR="00623C9A" w:rsidRPr="00CE0200" w:rsidRDefault="00A36C47" w:rsidP="00EE7AE9">
      <w:pPr>
        <w:pStyle w:val="ListParagraph"/>
        <w:numPr>
          <w:ilvl w:val="0"/>
          <w:numId w:val="10"/>
        </w:numPr>
        <w:spacing w:before="120" w:after="120" w:line="240" w:lineRule="auto"/>
        <w:ind w:left="426" w:hanging="426"/>
        <w:rPr>
          <w:rFonts w:ascii="Open Sans" w:eastAsia="Open Sans" w:hAnsi="Open Sans" w:cs="Open Sans"/>
          <w:color w:val="434343"/>
        </w:rPr>
      </w:pPr>
      <w:r>
        <w:rPr>
          <w:rFonts w:ascii="Open Sans" w:eastAsia="Open Sans" w:hAnsi="Open Sans" w:cs="Open Sans"/>
          <w:color w:val="434343"/>
        </w:rPr>
        <w:t>T</w:t>
      </w:r>
      <w:r w:rsidR="007C05F9">
        <w:rPr>
          <w:rFonts w:ascii="Open Sans" w:eastAsia="Open Sans" w:hAnsi="Open Sans" w:cs="Open Sans"/>
          <w:color w:val="434343"/>
        </w:rPr>
        <w:t xml:space="preserve">he </w:t>
      </w:r>
      <w:r w:rsidR="00623C9A">
        <w:rPr>
          <w:rFonts w:ascii="Open Sans" w:eastAsia="Open Sans" w:hAnsi="Open Sans" w:cs="Open Sans"/>
          <w:color w:val="434343"/>
        </w:rPr>
        <w:t>c</w:t>
      </w:r>
      <w:r w:rsidR="00623C9A" w:rsidRPr="00CE0200">
        <w:rPr>
          <w:rFonts w:ascii="Open Sans" w:eastAsia="Open Sans" w:hAnsi="Open Sans" w:cs="Open Sans"/>
          <w:color w:val="434343"/>
        </w:rPr>
        <w:t>ost of connection for green gas is often too expensive</w:t>
      </w:r>
      <w:r>
        <w:rPr>
          <w:rFonts w:ascii="Open Sans" w:eastAsia="Open Sans" w:hAnsi="Open Sans" w:cs="Open Sans"/>
          <w:color w:val="434343"/>
        </w:rPr>
        <w:t xml:space="preserve"> or it is not available</w:t>
      </w:r>
      <w:r w:rsidR="00623C9A" w:rsidRPr="00CE0200">
        <w:rPr>
          <w:rFonts w:ascii="Open Sans" w:eastAsia="Open Sans" w:hAnsi="Open Sans" w:cs="Open Sans"/>
          <w:color w:val="434343"/>
        </w:rPr>
        <w:t>.</w:t>
      </w:r>
    </w:p>
    <w:p w14:paraId="5B8D7CAB" w14:textId="77777777" w:rsidR="00623C9A" w:rsidRDefault="00623C9A" w:rsidP="00EE7AE9">
      <w:pPr>
        <w:pStyle w:val="ListParagraph"/>
        <w:numPr>
          <w:ilvl w:val="0"/>
          <w:numId w:val="10"/>
        </w:numPr>
        <w:spacing w:before="120" w:after="120" w:line="240" w:lineRule="auto"/>
        <w:ind w:left="426" w:hanging="426"/>
        <w:rPr>
          <w:rFonts w:ascii="Open Sans" w:eastAsia="Open Sans" w:hAnsi="Open Sans" w:cs="Open Sans"/>
          <w:color w:val="434343"/>
        </w:rPr>
      </w:pPr>
      <w:r>
        <w:rPr>
          <w:rFonts w:ascii="Open Sans" w:eastAsia="Open Sans" w:hAnsi="Open Sans" w:cs="Open Sans"/>
          <w:color w:val="434343"/>
        </w:rPr>
        <w:t>There is a c</w:t>
      </w:r>
      <w:r w:rsidRPr="00110C8E">
        <w:rPr>
          <w:rFonts w:ascii="Open Sans" w:eastAsia="Open Sans" w:hAnsi="Open Sans" w:cs="Open Sans"/>
          <w:color w:val="434343"/>
        </w:rPr>
        <w:t>lear barrier to entry for connections on a country-wide basis</w:t>
      </w:r>
    </w:p>
    <w:p w14:paraId="0D10EE83" w14:textId="77777777" w:rsidR="00623C9A" w:rsidRPr="00EA0791" w:rsidRDefault="00623C9A" w:rsidP="00EE7AE9">
      <w:pPr>
        <w:pStyle w:val="ListParagraph"/>
        <w:numPr>
          <w:ilvl w:val="0"/>
          <w:numId w:val="10"/>
        </w:numPr>
        <w:spacing w:before="120" w:after="120" w:line="240" w:lineRule="auto"/>
        <w:ind w:left="426" w:hanging="426"/>
        <w:rPr>
          <w:rFonts w:ascii="Open Sans" w:eastAsia="Open Sans" w:hAnsi="Open Sans" w:cs="Open Sans"/>
          <w:color w:val="434343"/>
        </w:rPr>
      </w:pPr>
      <w:r w:rsidRPr="00EA0791">
        <w:rPr>
          <w:rFonts w:ascii="Open Sans" w:eastAsia="Open Sans" w:hAnsi="Open Sans" w:cs="Open Sans"/>
          <w:color w:val="434343"/>
        </w:rPr>
        <w:t xml:space="preserve">It is now extremely difficult to find locations where it is economically viable to connect, planning and permitting are realistically achievable, and </w:t>
      </w:r>
      <w:r>
        <w:rPr>
          <w:rFonts w:ascii="Open Sans" w:eastAsia="Open Sans" w:hAnsi="Open Sans" w:cs="Open Sans"/>
          <w:color w:val="434343"/>
        </w:rPr>
        <w:t xml:space="preserve">where </w:t>
      </w:r>
      <w:r w:rsidRPr="00EA0791">
        <w:rPr>
          <w:rFonts w:ascii="Open Sans" w:eastAsia="Open Sans" w:hAnsi="Open Sans" w:cs="Open Sans"/>
          <w:color w:val="434343"/>
        </w:rPr>
        <w:t xml:space="preserve">there is sufficient waste derived feedstock. </w:t>
      </w:r>
    </w:p>
    <w:p w14:paraId="158A0711" w14:textId="062E7B10" w:rsidR="00623C9A" w:rsidRPr="00EA0791" w:rsidRDefault="00623C9A" w:rsidP="00EE7AE9">
      <w:pPr>
        <w:pStyle w:val="ListParagraph"/>
        <w:numPr>
          <w:ilvl w:val="0"/>
          <w:numId w:val="10"/>
        </w:numPr>
        <w:spacing w:before="120" w:after="120" w:line="240" w:lineRule="auto"/>
        <w:ind w:left="426" w:hanging="426"/>
        <w:rPr>
          <w:rFonts w:ascii="Open Sans" w:eastAsia="Open Sans" w:hAnsi="Open Sans" w:cs="Open Sans"/>
          <w:color w:val="434343"/>
        </w:rPr>
      </w:pPr>
      <w:r w:rsidRPr="00EA0791">
        <w:rPr>
          <w:rFonts w:ascii="Open Sans" w:eastAsia="Open Sans" w:hAnsi="Open Sans" w:cs="Open Sans"/>
          <w:color w:val="434343"/>
        </w:rPr>
        <w:t xml:space="preserve">We need to help smaller plants enter the </w:t>
      </w:r>
      <w:proofErr w:type="gramStart"/>
      <w:r w:rsidRPr="00EA0791">
        <w:rPr>
          <w:rFonts w:ascii="Open Sans" w:eastAsia="Open Sans" w:hAnsi="Open Sans" w:cs="Open Sans"/>
          <w:color w:val="434343"/>
        </w:rPr>
        <w:t>grid</w:t>
      </w:r>
      <w:proofErr w:type="gramEnd"/>
      <w:r w:rsidRPr="00EA0791">
        <w:rPr>
          <w:rFonts w:ascii="Open Sans" w:eastAsia="Open Sans" w:hAnsi="Open Sans" w:cs="Open Sans"/>
          <w:color w:val="434343"/>
        </w:rPr>
        <w:t xml:space="preserve"> but we also need to provide support for off-grid biomethane for use on-site and as HGV fuel </w:t>
      </w:r>
    </w:p>
    <w:p w14:paraId="6B3DDCDB" w14:textId="77777777" w:rsidR="00623C9A" w:rsidRPr="00EA0791" w:rsidRDefault="00623C9A" w:rsidP="00EE7AE9">
      <w:pPr>
        <w:pStyle w:val="ListParagraph"/>
        <w:numPr>
          <w:ilvl w:val="0"/>
          <w:numId w:val="10"/>
        </w:numPr>
        <w:spacing w:before="120" w:after="120" w:line="240" w:lineRule="auto"/>
        <w:ind w:left="426" w:hanging="426"/>
        <w:rPr>
          <w:rFonts w:ascii="Open Sans" w:eastAsia="Open Sans" w:hAnsi="Open Sans" w:cs="Open Sans"/>
          <w:color w:val="434343"/>
        </w:rPr>
      </w:pPr>
      <w:r w:rsidRPr="00EA0791">
        <w:rPr>
          <w:rFonts w:ascii="Open Sans" w:eastAsia="Open Sans" w:hAnsi="Open Sans" w:cs="Open Sans"/>
          <w:color w:val="434343"/>
        </w:rPr>
        <w:t>The gas grid is too high carbon, it needs to further incentivise the injection of green gases at multiple locations if it is to be part of the net zero energy system.</w:t>
      </w:r>
    </w:p>
    <w:p w14:paraId="3F4EBAEA" w14:textId="77777777" w:rsidR="00623C9A" w:rsidRPr="00EA0791" w:rsidRDefault="00623C9A" w:rsidP="00EE7AE9">
      <w:pPr>
        <w:pStyle w:val="ListParagraph"/>
        <w:numPr>
          <w:ilvl w:val="0"/>
          <w:numId w:val="10"/>
        </w:numPr>
        <w:spacing w:before="120" w:after="120" w:line="240" w:lineRule="auto"/>
        <w:ind w:left="426" w:hanging="426"/>
        <w:rPr>
          <w:rFonts w:ascii="Open Sans" w:eastAsia="Open Sans" w:hAnsi="Open Sans" w:cs="Open Sans"/>
          <w:color w:val="434343"/>
        </w:rPr>
      </w:pPr>
      <w:r w:rsidRPr="00EA0791">
        <w:rPr>
          <w:rFonts w:ascii="Open Sans" w:eastAsia="Open Sans" w:hAnsi="Open Sans" w:cs="Open Sans"/>
          <w:color w:val="434343"/>
        </w:rPr>
        <w:lastRenderedPageBreak/>
        <w:t xml:space="preserve">It should be the responsibility of the network provider to ensure </w:t>
      </w:r>
      <w:r>
        <w:rPr>
          <w:rFonts w:ascii="Open Sans" w:eastAsia="Open Sans" w:hAnsi="Open Sans" w:cs="Open Sans"/>
          <w:color w:val="434343"/>
        </w:rPr>
        <w:t>they</w:t>
      </w:r>
      <w:r w:rsidRPr="00EA0791">
        <w:rPr>
          <w:rFonts w:ascii="Open Sans" w:eastAsia="Open Sans" w:hAnsi="Open Sans" w:cs="Open Sans"/>
          <w:color w:val="434343"/>
        </w:rPr>
        <w:t xml:space="preserve"> can accept </w:t>
      </w:r>
      <w:r>
        <w:rPr>
          <w:rFonts w:ascii="Open Sans" w:eastAsia="Open Sans" w:hAnsi="Open Sans" w:cs="Open Sans"/>
          <w:color w:val="434343"/>
        </w:rPr>
        <w:t>biomethane</w:t>
      </w:r>
      <w:r w:rsidRPr="00EA0791">
        <w:rPr>
          <w:rFonts w:ascii="Open Sans" w:eastAsia="Open Sans" w:hAnsi="Open Sans" w:cs="Open Sans"/>
          <w:color w:val="434343"/>
        </w:rPr>
        <w:t xml:space="preserve"> and this should be set out in their overall funding/cap-ex arrangements. Prioritising green gas should be part of the gas networks future commitment. Any costs associated with this should be shared or funded to an extent that it enables green gas to be accepted anywhere within the network unless in very extreme circumstances.  </w:t>
      </w:r>
    </w:p>
    <w:p w14:paraId="4A657880" w14:textId="13BA1196" w:rsidR="00623C9A" w:rsidRDefault="00623C9A" w:rsidP="00EE7AE9">
      <w:pPr>
        <w:pStyle w:val="ListParagraph"/>
        <w:numPr>
          <w:ilvl w:val="0"/>
          <w:numId w:val="10"/>
        </w:numPr>
        <w:spacing w:before="120" w:after="120" w:line="240" w:lineRule="auto"/>
        <w:ind w:left="426" w:hanging="426"/>
        <w:rPr>
          <w:rFonts w:ascii="Open Sans" w:eastAsia="Open Sans" w:hAnsi="Open Sans" w:cs="Open Sans"/>
          <w:color w:val="434343"/>
        </w:rPr>
      </w:pPr>
      <w:r w:rsidRPr="00EA0791">
        <w:rPr>
          <w:rFonts w:ascii="Open Sans" w:eastAsia="Open Sans" w:hAnsi="Open Sans" w:cs="Open Sans"/>
          <w:color w:val="434343"/>
        </w:rPr>
        <w:t>The current basis puts undue burden on developers and will restrict the growth of the market</w:t>
      </w:r>
    </w:p>
    <w:p w14:paraId="1A337F62" w14:textId="2BFAF38F" w:rsidR="00CC11A6" w:rsidRPr="00B03EA5" w:rsidRDefault="00CC11A6" w:rsidP="00EE7AE9">
      <w:pPr>
        <w:spacing w:before="120" w:after="120" w:line="240" w:lineRule="auto"/>
        <w:rPr>
          <w:rFonts w:ascii="Open Sans" w:eastAsia="Open Sans" w:hAnsi="Open Sans" w:cs="Open Sans"/>
          <w:color w:val="434343"/>
        </w:rPr>
      </w:pPr>
      <w:r w:rsidRPr="00B03EA5">
        <w:rPr>
          <w:rFonts w:ascii="Open Sans" w:eastAsia="Open Sans" w:hAnsi="Open Sans" w:cs="Open Sans"/>
          <w:color w:val="434343"/>
        </w:rPr>
        <w:t xml:space="preserve">A member of both trade associations, Future Biogas, noted that many of the methodologies and regulations across the UK gas sector are outdated, designed when gas demand could be fulfilled by 100% fossil natural gas injected into a small number of grid entry connections. As a result, gas now accounts for a third of all UK emissions and is deeply embedded within the UK’s energy network, making it very difficult to decarbonise. The Net Zero target requires immediate decarbonisation across all sectors. At present, around 4 </w:t>
      </w:r>
      <w:proofErr w:type="spellStart"/>
      <w:r w:rsidRPr="00B03EA5">
        <w:rPr>
          <w:rFonts w:ascii="Open Sans" w:eastAsia="Open Sans" w:hAnsi="Open Sans" w:cs="Open Sans"/>
          <w:color w:val="434343"/>
        </w:rPr>
        <w:t>TWh</w:t>
      </w:r>
      <w:proofErr w:type="spellEnd"/>
      <w:r w:rsidRPr="00B03EA5">
        <w:rPr>
          <w:rFonts w:ascii="Open Sans" w:eastAsia="Open Sans" w:hAnsi="Open Sans" w:cs="Open Sans"/>
          <w:color w:val="434343"/>
        </w:rPr>
        <w:t xml:space="preserve"> of biomethane is injected into the grid each year, representing the only process in place to cut the grid’s current carbon intensity. This green gas is injected by 122 anaerobic digestion (AD) plants distributed across the UK, decentralising the provision of gas nationwide.  The Government’s Net Zero Strategy indicates that biomethane injection must be scaled up five-fold (~20 </w:t>
      </w:r>
      <w:proofErr w:type="spellStart"/>
      <w:r w:rsidRPr="00B03EA5">
        <w:rPr>
          <w:rFonts w:ascii="Open Sans" w:eastAsia="Open Sans" w:hAnsi="Open Sans" w:cs="Open Sans"/>
          <w:color w:val="434343"/>
        </w:rPr>
        <w:t>TWh</w:t>
      </w:r>
      <w:proofErr w:type="spellEnd"/>
      <w:r w:rsidRPr="00B03EA5">
        <w:rPr>
          <w:rFonts w:ascii="Open Sans" w:eastAsia="Open Sans" w:hAnsi="Open Sans" w:cs="Open Sans"/>
          <w:color w:val="434343"/>
        </w:rPr>
        <w:t xml:space="preserve">) to successfully deliver its </w:t>
      </w:r>
      <w:proofErr w:type="gramStart"/>
      <w:r w:rsidRPr="00B03EA5">
        <w:rPr>
          <w:rFonts w:ascii="Open Sans" w:eastAsia="Open Sans" w:hAnsi="Open Sans" w:cs="Open Sans"/>
          <w:color w:val="434343"/>
        </w:rPr>
        <w:t>legally-binding</w:t>
      </w:r>
      <w:proofErr w:type="gramEnd"/>
      <w:r w:rsidRPr="00B03EA5">
        <w:rPr>
          <w:rFonts w:ascii="Open Sans" w:eastAsia="Open Sans" w:hAnsi="Open Sans" w:cs="Open Sans"/>
          <w:color w:val="434343"/>
        </w:rPr>
        <w:t xml:space="preserve"> target. Moreover, this represents a fraction of the industry’s full potential of 54-76 </w:t>
      </w:r>
      <w:proofErr w:type="spellStart"/>
      <w:r w:rsidRPr="00B03EA5">
        <w:rPr>
          <w:rFonts w:ascii="Open Sans" w:eastAsia="Open Sans" w:hAnsi="Open Sans" w:cs="Open Sans"/>
          <w:color w:val="434343"/>
        </w:rPr>
        <w:t>TWh</w:t>
      </w:r>
      <w:proofErr w:type="spellEnd"/>
      <w:r w:rsidRPr="00B03EA5">
        <w:rPr>
          <w:rFonts w:ascii="Open Sans" w:eastAsia="Open Sans" w:hAnsi="Open Sans" w:cs="Open Sans"/>
          <w:color w:val="434343"/>
        </w:rPr>
        <w:t>. The location of a new biomethane plant is determined by several constraints, primarily proximity to feedstock and energy infrastructure. To generate sufficient biomethane for Net Zero, AD plants must be constructed in new areas, accessing untapped sources of feedstock, and potentially connecting to less favourable portions of the gas grid. As presented within the consultation document, around 40% of prospective new plants are being prevented by grid capacity concerns. Connecting to the gas grid accounts for a significant proportion of a plant’s capital expenditure. It is critical that, if the local grid requires reinforcement, additional costs do not stop the development of a project altogether. To deliver Net Zero, it is critical that the GDNs actively support the injection of green gas whenever and wherever possible.</w:t>
      </w:r>
    </w:p>
    <w:p w14:paraId="5A7CA065" w14:textId="77777777" w:rsidR="004A1EE7" w:rsidRPr="004A1EE7" w:rsidRDefault="004A1EE7" w:rsidP="00EE7AE9">
      <w:pPr>
        <w:pStyle w:val="ListParagraph"/>
        <w:spacing w:before="120" w:after="120" w:line="240" w:lineRule="auto"/>
        <w:ind w:left="426" w:hanging="426"/>
        <w:rPr>
          <w:rFonts w:ascii="Open Sans" w:eastAsia="Open Sans" w:hAnsi="Open Sans" w:cs="Open Sans"/>
          <w:b/>
          <w:color w:val="2F5496"/>
        </w:rPr>
      </w:pPr>
    </w:p>
    <w:p w14:paraId="63407E03" w14:textId="77777777" w:rsidR="002F166B" w:rsidRDefault="00333DFE" w:rsidP="00EE7AE9">
      <w:pPr>
        <w:pStyle w:val="ListParagraph"/>
        <w:numPr>
          <w:ilvl w:val="0"/>
          <w:numId w:val="9"/>
        </w:numPr>
        <w:spacing w:before="120" w:after="120" w:line="240" w:lineRule="auto"/>
        <w:ind w:left="426" w:hanging="426"/>
        <w:rPr>
          <w:rFonts w:ascii="Open Sans" w:eastAsia="Open Sans" w:hAnsi="Open Sans" w:cs="Open Sans"/>
          <w:b/>
          <w:color w:val="2F5496"/>
        </w:rPr>
      </w:pPr>
      <w:r w:rsidRPr="004A1EE7">
        <w:rPr>
          <w:rFonts w:ascii="Open Sans" w:eastAsia="Open Sans" w:hAnsi="Open Sans" w:cs="Open Sans"/>
          <w:b/>
          <w:color w:val="2F5496"/>
        </w:rPr>
        <w:t xml:space="preserve">Do you agree that the preferred option better achieves the relevant objectives as set out in Standard Licence Condition 4B compared to the current framework or other options? a. Explain your reasoning b. Supporting evidence </w:t>
      </w:r>
    </w:p>
    <w:p w14:paraId="4DBD21BA" w14:textId="7EFAC571" w:rsidR="005072F2" w:rsidRDefault="005072F2"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t>Yes, we agree</w:t>
      </w:r>
      <w:r w:rsidR="00A23B1D">
        <w:rPr>
          <w:rFonts w:ascii="Open Sans" w:eastAsia="Open Sans" w:hAnsi="Open Sans" w:cs="Open Sans"/>
          <w:color w:val="434343"/>
        </w:rPr>
        <w:t xml:space="preserve">, on condition this change can be made swiftly. </w:t>
      </w:r>
    </w:p>
    <w:p w14:paraId="5BE8CD52" w14:textId="77777777" w:rsidR="00623C9A" w:rsidRPr="005072F2" w:rsidRDefault="00623C9A"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t>82</w:t>
      </w:r>
      <w:r w:rsidRPr="005072F2">
        <w:rPr>
          <w:rFonts w:ascii="Open Sans" w:eastAsia="Open Sans" w:hAnsi="Open Sans" w:cs="Open Sans"/>
          <w:color w:val="434343"/>
        </w:rPr>
        <w:t xml:space="preserve">% </w:t>
      </w:r>
      <w:r>
        <w:rPr>
          <w:rFonts w:ascii="Open Sans" w:eastAsia="Open Sans" w:hAnsi="Open Sans" w:cs="Open Sans"/>
          <w:color w:val="434343"/>
        </w:rPr>
        <w:t xml:space="preserve">of members who responded to the above survey indicated that they strongly prefer the option recommended by the gas distribution networks (the </w:t>
      </w:r>
      <w:proofErr w:type="gramStart"/>
      <w:r w:rsidRPr="00CE0200">
        <w:rPr>
          <w:rFonts w:ascii="Open Sans" w:eastAsia="Open Sans" w:hAnsi="Open Sans" w:cs="Open Sans"/>
          <w:i/>
          <w:iCs/>
          <w:color w:val="434343"/>
        </w:rPr>
        <w:t>High Cost</w:t>
      </w:r>
      <w:proofErr w:type="gramEnd"/>
      <w:r w:rsidRPr="00CE0200">
        <w:rPr>
          <w:rFonts w:ascii="Open Sans" w:eastAsia="Open Sans" w:hAnsi="Open Sans" w:cs="Open Sans"/>
          <w:i/>
          <w:iCs/>
          <w:color w:val="434343"/>
        </w:rPr>
        <w:t xml:space="preserve"> Cap</w:t>
      </w:r>
      <w:r>
        <w:rPr>
          <w:rFonts w:ascii="Open Sans" w:eastAsia="Open Sans" w:hAnsi="Open Sans" w:cs="Open Sans"/>
          <w:color w:val="434343"/>
        </w:rPr>
        <w:t xml:space="preserve">). The reasons mentioned by the respondents are summarised below:  </w:t>
      </w:r>
    </w:p>
    <w:p w14:paraId="0D19A626" w14:textId="77777777" w:rsidR="00623C9A" w:rsidRDefault="00623C9A" w:rsidP="00EE7AE9">
      <w:pPr>
        <w:pStyle w:val="ListParagraph"/>
        <w:numPr>
          <w:ilvl w:val="0"/>
          <w:numId w:val="10"/>
        </w:numPr>
        <w:spacing w:before="120" w:after="120" w:line="240" w:lineRule="auto"/>
        <w:ind w:left="284" w:hanging="284"/>
        <w:rPr>
          <w:rFonts w:ascii="Open Sans" w:eastAsia="Open Sans" w:hAnsi="Open Sans" w:cs="Open Sans"/>
          <w:color w:val="434343"/>
        </w:rPr>
      </w:pPr>
      <w:r w:rsidRPr="00CE0200">
        <w:rPr>
          <w:rFonts w:ascii="Open Sans" w:eastAsia="Open Sans" w:hAnsi="Open Sans" w:cs="Open Sans"/>
          <w:color w:val="434343"/>
        </w:rPr>
        <w:t xml:space="preserve">The </w:t>
      </w:r>
      <w:proofErr w:type="gramStart"/>
      <w:r w:rsidRPr="00CE0200">
        <w:rPr>
          <w:rFonts w:ascii="Open Sans" w:eastAsia="Open Sans" w:hAnsi="Open Sans" w:cs="Open Sans"/>
          <w:i/>
          <w:iCs/>
          <w:color w:val="434343"/>
        </w:rPr>
        <w:t>High Cost</w:t>
      </w:r>
      <w:proofErr w:type="gramEnd"/>
      <w:r w:rsidRPr="00CE0200">
        <w:rPr>
          <w:rFonts w:ascii="Open Sans" w:eastAsia="Open Sans" w:hAnsi="Open Sans" w:cs="Open Sans"/>
          <w:i/>
          <w:iCs/>
          <w:color w:val="434343"/>
        </w:rPr>
        <w:t xml:space="preserve"> Cap</w:t>
      </w:r>
      <w:r w:rsidRPr="00CE0200">
        <w:rPr>
          <w:rFonts w:ascii="Open Sans" w:eastAsia="Open Sans" w:hAnsi="Open Sans" w:cs="Open Sans"/>
          <w:color w:val="434343"/>
        </w:rPr>
        <w:t xml:space="preserve"> presents a fair and equitable option to the socialisation of grid reinforcement costs. Setting a </w:t>
      </w:r>
      <w:proofErr w:type="gramStart"/>
      <w:r w:rsidRPr="00CE0200">
        <w:rPr>
          <w:rFonts w:ascii="Open Sans" w:eastAsia="Open Sans" w:hAnsi="Open Sans" w:cs="Open Sans"/>
          <w:color w:val="434343"/>
        </w:rPr>
        <w:t>nationally-consistent</w:t>
      </w:r>
      <w:proofErr w:type="gramEnd"/>
      <w:r w:rsidRPr="00CE0200">
        <w:rPr>
          <w:rFonts w:ascii="Open Sans" w:eastAsia="Open Sans" w:hAnsi="Open Sans" w:cs="Open Sans"/>
          <w:color w:val="434343"/>
        </w:rPr>
        <w:t xml:space="preserve"> cap promotes competition in gas supply, while supporting the increased injection of green gas into the grid. The cap further protects customers from excessive connection costs.</w:t>
      </w:r>
    </w:p>
    <w:p w14:paraId="2C07ADBD" w14:textId="2FEDEEC0" w:rsidR="00623C9A" w:rsidRPr="008D29D9" w:rsidRDefault="00CC11A6" w:rsidP="00EE7AE9">
      <w:pPr>
        <w:pStyle w:val="ListParagraph"/>
        <w:numPr>
          <w:ilvl w:val="0"/>
          <w:numId w:val="10"/>
        </w:numPr>
        <w:spacing w:before="120" w:after="120" w:line="240" w:lineRule="auto"/>
        <w:ind w:left="284" w:hanging="284"/>
        <w:rPr>
          <w:rFonts w:ascii="Open Sans" w:eastAsia="Open Sans" w:hAnsi="Open Sans" w:cs="Open Sans"/>
          <w:color w:val="434343"/>
        </w:rPr>
      </w:pPr>
      <w:r>
        <w:rPr>
          <w:rFonts w:ascii="Open Sans" w:eastAsia="Open Sans" w:hAnsi="Open Sans" w:cs="Open Sans"/>
          <w:color w:val="434343"/>
        </w:rPr>
        <w:lastRenderedPageBreak/>
        <w:t>It is r</w:t>
      </w:r>
      <w:r w:rsidR="00623C9A" w:rsidRPr="008D29D9">
        <w:rPr>
          <w:rFonts w:ascii="Open Sans" w:eastAsia="Open Sans" w:hAnsi="Open Sans" w:cs="Open Sans"/>
          <w:color w:val="434343"/>
        </w:rPr>
        <w:t xml:space="preserve">easonably simple to understand and transparent calculation process. </w:t>
      </w:r>
      <w:r w:rsidR="00623C9A">
        <w:rPr>
          <w:rFonts w:ascii="Open Sans" w:eastAsia="Open Sans" w:hAnsi="Open Sans" w:cs="Open Sans"/>
          <w:color w:val="434343"/>
        </w:rPr>
        <w:t>It w</w:t>
      </w:r>
      <w:r w:rsidR="00623C9A" w:rsidRPr="008D29D9">
        <w:rPr>
          <w:rFonts w:ascii="Open Sans" w:eastAsia="Open Sans" w:hAnsi="Open Sans" w:cs="Open Sans"/>
          <w:color w:val="434343"/>
        </w:rPr>
        <w:t>ill not incentivise connection requests that are clearly uneconomic.</w:t>
      </w:r>
    </w:p>
    <w:p w14:paraId="3DA0EC66" w14:textId="77777777" w:rsidR="00623C9A" w:rsidRPr="008D29D9" w:rsidRDefault="00623C9A" w:rsidP="00EE7AE9">
      <w:pPr>
        <w:pStyle w:val="ListParagraph"/>
        <w:numPr>
          <w:ilvl w:val="0"/>
          <w:numId w:val="10"/>
        </w:numPr>
        <w:spacing w:before="120" w:after="120" w:line="240" w:lineRule="auto"/>
        <w:ind w:left="284" w:hanging="284"/>
        <w:rPr>
          <w:rFonts w:ascii="Open Sans" w:eastAsia="Open Sans" w:hAnsi="Open Sans" w:cs="Open Sans"/>
          <w:color w:val="434343"/>
        </w:rPr>
      </w:pPr>
      <w:r w:rsidRPr="008D29D9">
        <w:rPr>
          <w:rFonts w:ascii="Open Sans" w:eastAsia="Open Sans" w:hAnsi="Open Sans" w:cs="Open Sans"/>
          <w:color w:val="434343"/>
        </w:rPr>
        <w:t>It is a good balance between socialising a sensible level of costs and making developers pay if the costs are excessive</w:t>
      </w:r>
    </w:p>
    <w:p w14:paraId="66ACCD00" w14:textId="6AF0648C" w:rsidR="00623C9A" w:rsidRPr="00BC520E" w:rsidRDefault="00623C9A" w:rsidP="00EE7AE9">
      <w:pPr>
        <w:pStyle w:val="ListParagraph"/>
        <w:numPr>
          <w:ilvl w:val="0"/>
          <w:numId w:val="10"/>
        </w:numPr>
        <w:spacing w:before="120" w:after="120" w:line="240" w:lineRule="auto"/>
        <w:ind w:left="284" w:hanging="284"/>
        <w:rPr>
          <w:rFonts w:ascii="Open Sans" w:eastAsia="Open Sans" w:hAnsi="Open Sans" w:cs="Open Sans"/>
          <w:color w:val="434343"/>
        </w:rPr>
      </w:pPr>
      <w:r>
        <w:rPr>
          <w:rFonts w:ascii="Open Sans" w:eastAsia="Open Sans" w:hAnsi="Open Sans" w:cs="Open Sans"/>
          <w:color w:val="434343"/>
        </w:rPr>
        <w:t>T</w:t>
      </w:r>
      <w:r w:rsidRPr="00BC520E">
        <w:rPr>
          <w:rFonts w:ascii="Open Sans" w:eastAsia="Open Sans" w:hAnsi="Open Sans" w:cs="Open Sans"/>
          <w:color w:val="434343"/>
        </w:rPr>
        <w:t>his option would not affect existing customers</w:t>
      </w:r>
    </w:p>
    <w:p w14:paraId="426A41A3" w14:textId="6223D332" w:rsidR="009E6679" w:rsidRDefault="00CC11A6" w:rsidP="00EE7AE9">
      <w:pPr>
        <w:pStyle w:val="ListParagraph"/>
        <w:numPr>
          <w:ilvl w:val="0"/>
          <w:numId w:val="10"/>
        </w:numPr>
        <w:spacing w:before="120" w:after="120" w:line="240" w:lineRule="auto"/>
        <w:ind w:left="284" w:hanging="284"/>
        <w:rPr>
          <w:rFonts w:ascii="Open Sans" w:eastAsia="Open Sans" w:hAnsi="Open Sans" w:cs="Open Sans"/>
          <w:color w:val="434343"/>
        </w:rPr>
      </w:pPr>
      <w:r w:rsidRPr="00CC11A6">
        <w:rPr>
          <w:rFonts w:ascii="Open Sans" w:eastAsia="Open Sans" w:hAnsi="Open Sans" w:cs="Open Sans"/>
          <w:color w:val="434343"/>
        </w:rPr>
        <w:t xml:space="preserve">A member noted that it </w:t>
      </w:r>
      <w:r w:rsidR="00623C9A" w:rsidRPr="00CC11A6">
        <w:rPr>
          <w:rFonts w:ascii="Open Sans" w:eastAsia="Open Sans" w:hAnsi="Open Sans" w:cs="Open Sans"/>
          <w:color w:val="434343"/>
        </w:rPr>
        <w:t>need</w:t>
      </w:r>
      <w:r w:rsidRPr="00CC11A6">
        <w:rPr>
          <w:rFonts w:ascii="Open Sans" w:eastAsia="Open Sans" w:hAnsi="Open Sans" w:cs="Open Sans"/>
          <w:color w:val="434343"/>
        </w:rPr>
        <w:t>s</w:t>
      </w:r>
      <w:r w:rsidR="00623C9A" w:rsidRPr="00CC11A6">
        <w:rPr>
          <w:rFonts w:ascii="Open Sans" w:eastAsia="Open Sans" w:hAnsi="Open Sans" w:cs="Open Sans"/>
          <w:color w:val="434343"/>
        </w:rPr>
        <w:t xml:space="preserve"> to be flexible to accommodate smaller plants and this needs to be built into the system</w:t>
      </w:r>
      <w:r w:rsidRPr="00CC11A6">
        <w:rPr>
          <w:rFonts w:ascii="Open Sans" w:eastAsia="Open Sans" w:hAnsi="Open Sans" w:cs="Open Sans"/>
          <w:color w:val="434343"/>
        </w:rPr>
        <w:t xml:space="preserve"> </w:t>
      </w:r>
    </w:p>
    <w:p w14:paraId="746FC9F4" w14:textId="77777777" w:rsidR="009E6679" w:rsidRDefault="009E6679" w:rsidP="00EE7AE9">
      <w:pPr>
        <w:pStyle w:val="ListParagraph"/>
        <w:numPr>
          <w:ilvl w:val="0"/>
          <w:numId w:val="10"/>
        </w:numPr>
        <w:spacing w:before="120" w:after="120" w:line="240" w:lineRule="auto"/>
        <w:ind w:left="284" w:hanging="284"/>
        <w:rPr>
          <w:rFonts w:ascii="Open Sans" w:eastAsia="Open Sans" w:hAnsi="Open Sans" w:cs="Open Sans"/>
          <w:color w:val="434343"/>
        </w:rPr>
      </w:pPr>
      <w:r>
        <w:rPr>
          <w:rFonts w:ascii="Open Sans" w:eastAsia="Open Sans" w:hAnsi="Open Sans" w:cs="Open Sans"/>
          <w:color w:val="434343"/>
        </w:rPr>
        <w:t>A</w:t>
      </w:r>
      <w:r w:rsidR="00CC11A6" w:rsidRPr="00CC11A6">
        <w:rPr>
          <w:rFonts w:ascii="Open Sans" w:eastAsia="Open Sans" w:hAnsi="Open Sans" w:cs="Open Sans"/>
          <w:color w:val="434343"/>
        </w:rPr>
        <w:t>nother member suggested that it should be</w:t>
      </w:r>
      <w:r w:rsidR="00623C9A" w:rsidRPr="00CC11A6">
        <w:rPr>
          <w:rFonts w:ascii="Open Sans" w:eastAsia="Open Sans" w:hAnsi="Open Sans" w:cs="Open Sans"/>
          <w:color w:val="434343"/>
        </w:rPr>
        <w:t xml:space="preserve"> subject to </w:t>
      </w:r>
      <w:proofErr w:type="gramStart"/>
      <w:r w:rsidR="00623C9A" w:rsidRPr="00CC11A6">
        <w:rPr>
          <w:rFonts w:ascii="Open Sans" w:eastAsia="Open Sans" w:hAnsi="Open Sans" w:cs="Open Sans"/>
          <w:color w:val="434343"/>
        </w:rPr>
        <w:t>a</w:t>
      </w:r>
      <w:proofErr w:type="gramEnd"/>
      <w:r w:rsidR="00623C9A" w:rsidRPr="00CC11A6">
        <w:rPr>
          <w:rFonts w:ascii="Open Sans" w:eastAsia="Open Sans" w:hAnsi="Open Sans" w:cs="Open Sans"/>
          <w:color w:val="434343"/>
        </w:rPr>
        <w:t xml:space="preserve"> </w:t>
      </w:r>
      <w:r w:rsidR="00CC11A6" w:rsidRPr="00CC11A6">
        <w:rPr>
          <w:rFonts w:ascii="Open Sans" w:eastAsia="Open Sans" w:hAnsi="Open Sans" w:cs="Open Sans"/>
          <w:color w:val="434343"/>
        </w:rPr>
        <w:t>18–24</w:t>
      </w:r>
      <w:r w:rsidR="00CC11A6">
        <w:rPr>
          <w:rFonts w:ascii="Open Sans" w:eastAsia="Open Sans" w:hAnsi="Open Sans" w:cs="Open Sans"/>
          <w:color w:val="434343"/>
        </w:rPr>
        <w:t xml:space="preserve"> </w:t>
      </w:r>
      <w:r w:rsidR="00CC11A6" w:rsidRPr="00CC11A6">
        <w:rPr>
          <w:rFonts w:ascii="Open Sans" w:eastAsia="Open Sans" w:hAnsi="Open Sans" w:cs="Open Sans"/>
          <w:color w:val="434343"/>
        </w:rPr>
        <w:t>month</w:t>
      </w:r>
      <w:r w:rsidR="00623C9A" w:rsidRPr="00CC11A6">
        <w:rPr>
          <w:rFonts w:ascii="Open Sans" w:eastAsia="Open Sans" w:hAnsi="Open Sans" w:cs="Open Sans"/>
          <w:color w:val="434343"/>
        </w:rPr>
        <w:t xml:space="preserve"> review.</w:t>
      </w:r>
      <w:r w:rsidRPr="009E6679">
        <w:rPr>
          <w:rFonts w:ascii="Open Sans" w:eastAsia="Open Sans" w:hAnsi="Open Sans" w:cs="Open Sans"/>
          <w:color w:val="434343"/>
        </w:rPr>
        <w:t xml:space="preserve"> </w:t>
      </w:r>
    </w:p>
    <w:p w14:paraId="289AF6A4" w14:textId="33BCFE2D" w:rsidR="009E6679" w:rsidRDefault="009E6679" w:rsidP="00EE7AE9">
      <w:pPr>
        <w:pStyle w:val="ListParagraph"/>
        <w:numPr>
          <w:ilvl w:val="0"/>
          <w:numId w:val="10"/>
        </w:numPr>
        <w:spacing w:before="120" w:after="120" w:line="240" w:lineRule="auto"/>
        <w:ind w:left="284" w:hanging="284"/>
        <w:rPr>
          <w:rFonts w:ascii="Open Sans" w:eastAsia="Open Sans" w:hAnsi="Open Sans" w:cs="Open Sans"/>
          <w:color w:val="434343"/>
        </w:rPr>
      </w:pPr>
      <w:r>
        <w:rPr>
          <w:rFonts w:ascii="Open Sans" w:eastAsia="Open Sans" w:hAnsi="Open Sans" w:cs="Open Sans"/>
          <w:color w:val="434343"/>
        </w:rPr>
        <w:t>A member asked how t</w:t>
      </w:r>
      <w:r w:rsidRPr="008D29D9">
        <w:rPr>
          <w:rFonts w:ascii="Open Sans" w:eastAsia="Open Sans" w:hAnsi="Open Sans" w:cs="Open Sans"/>
          <w:color w:val="434343"/>
        </w:rPr>
        <w:t xml:space="preserve">his </w:t>
      </w:r>
      <w:r>
        <w:rPr>
          <w:rFonts w:ascii="Open Sans" w:eastAsia="Open Sans" w:hAnsi="Open Sans" w:cs="Open Sans"/>
          <w:color w:val="434343"/>
        </w:rPr>
        <w:t xml:space="preserve">is </w:t>
      </w:r>
      <w:r w:rsidRPr="008D29D9">
        <w:rPr>
          <w:rFonts w:ascii="Open Sans" w:eastAsia="Open Sans" w:hAnsi="Open Sans" w:cs="Open Sans"/>
          <w:color w:val="434343"/>
        </w:rPr>
        <w:t>handled on the electricity network</w:t>
      </w:r>
      <w:r>
        <w:rPr>
          <w:rFonts w:ascii="Open Sans" w:eastAsia="Open Sans" w:hAnsi="Open Sans" w:cs="Open Sans"/>
          <w:color w:val="434343"/>
        </w:rPr>
        <w:t xml:space="preserve"> and whether the cost is socialised i</w:t>
      </w:r>
      <w:r w:rsidRPr="008D29D9">
        <w:rPr>
          <w:rFonts w:ascii="Open Sans" w:eastAsia="Open Sans" w:hAnsi="Open Sans" w:cs="Open Sans"/>
          <w:color w:val="434343"/>
        </w:rPr>
        <w:t xml:space="preserve">f National Grid </w:t>
      </w:r>
      <w:proofErr w:type="gramStart"/>
      <w:r w:rsidRPr="008D29D9">
        <w:rPr>
          <w:rFonts w:ascii="Open Sans" w:eastAsia="Open Sans" w:hAnsi="Open Sans" w:cs="Open Sans"/>
          <w:color w:val="434343"/>
        </w:rPr>
        <w:t>has to</w:t>
      </w:r>
      <w:proofErr w:type="gramEnd"/>
      <w:r w:rsidRPr="008D29D9">
        <w:rPr>
          <w:rFonts w:ascii="Open Sans" w:eastAsia="Open Sans" w:hAnsi="Open Sans" w:cs="Open Sans"/>
          <w:color w:val="434343"/>
        </w:rPr>
        <w:t xml:space="preserve"> reinforce the network to allow more renewables</w:t>
      </w:r>
      <w:r>
        <w:rPr>
          <w:rFonts w:ascii="Open Sans" w:eastAsia="Open Sans" w:hAnsi="Open Sans" w:cs="Open Sans"/>
          <w:color w:val="434343"/>
        </w:rPr>
        <w:t xml:space="preserve">. </w:t>
      </w:r>
      <w:r w:rsidRPr="008D29D9">
        <w:rPr>
          <w:rFonts w:ascii="Open Sans" w:eastAsia="Open Sans" w:hAnsi="Open Sans" w:cs="Open Sans"/>
          <w:color w:val="434343"/>
        </w:rPr>
        <w:t xml:space="preserve">If so, then this is how we should follow for biomethane plants. </w:t>
      </w:r>
    </w:p>
    <w:p w14:paraId="7D867795" w14:textId="5BF4C5B9" w:rsidR="00623C9A" w:rsidRPr="00CC11A6" w:rsidRDefault="00623C9A" w:rsidP="00EE7AE9">
      <w:pPr>
        <w:pStyle w:val="ListParagraph"/>
        <w:spacing w:before="120" w:after="120" w:line="240" w:lineRule="auto"/>
        <w:ind w:left="284"/>
        <w:rPr>
          <w:rFonts w:ascii="Open Sans" w:eastAsia="Open Sans" w:hAnsi="Open Sans" w:cs="Open Sans"/>
          <w:color w:val="434343"/>
        </w:rPr>
      </w:pPr>
    </w:p>
    <w:p w14:paraId="505D1E14" w14:textId="0A448D49" w:rsidR="00623C9A" w:rsidRPr="00CC11A6" w:rsidRDefault="00623C9A" w:rsidP="00EE7AE9">
      <w:pPr>
        <w:spacing w:before="120" w:after="120" w:line="240" w:lineRule="auto"/>
        <w:rPr>
          <w:rFonts w:ascii="Open Sans" w:eastAsia="Open Sans" w:hAnsi="Open Sans" w:cs="Open Sans"/>
          <w:bCs/>
        </w:rPr>
      </w:pPr>
      <w:r w:rsidRPr="00CC11A6">
        <w:rPr>
          <w:rFonts w:ascii="Open Sans" w:eastAsia="Open Sans" w:hAnsi="Open Sans" w:cs="Open Sans"/>
          <w:bCs/>
        </w:rPr>
        <w:t xml:space="preserve">Reasons highlighted by respondents that do not support this option: </w:t>
      </w:r>
    </w:p>
    <w:p w14:paraId="1F57B78A" w14:textId="07D2583A" w:rsidR="00623C9A" w:rsidRDefault="00623C9A" w:rsidP="00A23B1D">
      <w:pPr>
        <w:pStyle w:val="ListParagraph"/>
        <w:numPr>
          <w:ilvl w:val="0"/>
          <w:numId w:val="10"/>
        </w:numPr>
        <w:spacing w:before="120" w:after="120" w:line="240" w:lineRule="auto"/>
        <w:ind w:left="284" w:hanging="284"/>
        <w:rPr>
          <w:rFonts w:ascii="Open Sans" w:eastAsia="Open Sans" w:hAnsi="Open Sans" w:cs="Open Sans"/>
          <w:color w:val="434343"/>
        </w:rPr>
      </w:pPr>
      <w:r w:rsidRPr="00BC520E">
        <w:rPr>
          <w:rFonts w:ascii="Open Sans" w:eastAsia="Open Sans" w:hAnsi="Open Sans" w:cs="Open Sans"/>
          <w:color w:val="434343"/>
        </w:rPr>
        <w:t>This</w:t>
      </w:r>
      <w:r w:rsidR="00296E2C">
        <w:rPr>
          <w:rFonts w:ascii="Open Sans" w:eastAsia="Open Sans" w:hAnsi="Open Sans" w:cs="Open Sans"/>
          <w:color w:val="434343"/>
        </w:rPr>
        <w:t xml:space="preserve"> option</w:t>
      </w:r>
      <w:r w:rsidRPr="00BC520E">
        <w:rPr>
          <w:rFonts w:ascii="Open Sans" w:eastAsia="Open Sans" w:hAnsi="Open Sans" w:cs="Open Sans"/>
          <w:color w:val="434343"/>
        </w:rPr>
        <w:t xml:space="preserve"> does not really resolve the issue of high reinforcement cost put onto potential projects, </w:t>
      </w:r>
      <w:proofErr w:type="gramStart"/>
      <w:r w:rsidRPr="00BC520E">
        <w:rPr>
          <w:rFonts w:ascii="Open Sans" w:eastAsia="Open Sans" w:hAnsi="Open Sans" w:cs="Open Sans"/>
          <w:color w:val="434343"/>
        </w:rPr>
        <w:t>and also</w:t>
      </w:r>
      <w:proofErr w:type="gramEnd"/>
      <w:r w:rsidRPr="00BC520E">
        <w:rPr>
          <w:rFonts w:ascii="Open Sans" w:eastAsia="Open Sans" w:hAnsi="Open Sans" w:cs="Open Sans"/>
          <w:color w:val="434343"/>
        </w:rPr>
        <w:t xml:space="preserve"> encourages the GDN to produce the cheapest solution for a potential injection rate with no contractual guarantee. We have plants which are severely constrained in injection rates because of the GDN's operational parameters, meaning that injection rates rarely achieve the GDN's predicted injection potential.  </w:t>
      </w:r>
    </w:p>
    <w:p w14:paraId="2B8F6384" w14:textId="77777777" w:rsidR="00296E2C" w:rsidRPr="00BC520E" w:rsidRDefault="00296E2C" w:rsidP="00EE7AE9">
      <w:pPr>
        <w:pStyle w:val="ListParagraph"/>
        <w:spacing w:before="120" w:after="120" w:line="240" w:lineRule="auto"/>
        <w:rPr>
          <w:rFonts w:ascii="Open Sans" w:eastAsia="Open Sans" w:hAnsi="Open Sans" w:cs="Open Sans"/>
          <w:color w:val="434343"/>
        </w:rPr>
      </w:pPr>
    </w:p>
    <w:p w14:paraId="54BDB8C0" w14:textId="57A1FE0B" w:rsidR="002F166B" w:rsidRDefault="00333DFE" w:rsidP="00EE7AE9">
      <w:pPr>
        <w:pStyle w:val="ListParagraph"/>
        <w:numPr>
          <w:ilvl w:val="0"/>
          <w:numId w:val="9"/>
        </w:numPr>
        <w:spacing w:before="120" w:after="120" w:line="240" w:lineRule="auto"/>
        <w:ind w:left="284" w:hanging="284"/>
        <w:rPr>
          <w:rFonts w:ascii="Open Sans" w:eastAsia="Open Sans" w:hAnsi="Open Sans" w:cs="Open Sans"/>
          <w:b/>
          <w:bCs/>
          <w:color w:val="2F5496"/>
        </w:rPr>
      </w:pPr>
      <w:r w:rsidRPr="60426288">
        <w:rPr>
          <w:rFonts w:ascii="Open Sans" w:eastAsia="Open Sans" w:hAnsi="Open Sans" w:cs="Open Sans"/>
          <w:b/>
          <w:bCs/>
          <w:color w:val="2F5496"/>
        </w:rPr>
        <w:t xml:space="preserve">Are there any alternative approaches to the </w:t>
      </w:r>
      <w:bookmarkStart w:id="0" w:name="_Int_g3vxNSuU"/>
      <w:proofErr w:type="gramStart"/>
      <w:r w:rsidRPr="60426288">
        <w:rPr>
          <w:rFonts w:ascii="Open Sans" w:eastAsia="Open Sans" w:hAnsi="Open Sans" w:cs="Open Sans"/>
          <w:b/>
          <w:bCs/>
          <w:color w:val="2F5496"/>
        </w:rPr>
        <w:t>High Cost</w:t>
      </w:r>
      <w:bookmarkEnd w:id="0"/>
      <w:proofErr w:type="gramEnd"/>
      <w:r w:rsidRPr="60426288">
        <w:rPr>
          <w:rFonts w:ascii="Open Sans" w:eastAsia="Open Sans" w:hAnsi="Open Sans" w:cs="Open Sans"/>
          <w:b/>
          <w:bCs/>
          <w:color w:val="2F5496"/>
        </w:rPr>
        <w:t xml:space="preserve"> Cap that address the barrier and achieve our relevant objectives that we have not considered? </w:t>
      </w:r>
    </w:p>
    <w:p w14:paraId="1FC8E710" w14:textId="6AF0841C" w:rsidR="005E2A90" w:rsidRDefault="00875175" w:rsidP="00EE7AE9">
      <w:pPr>
        <w:spacing w:before="120" w:after="120" w:line="240" w:lineRule="auto"/>
        <w:rPr>
          <w:rFonts w:ascii="Open Sans" w:eastAsia="Open Sans" w:hAnsi="Open Sans" w:cs="Open Sans"/>
          <w:color w:val="434343"/>
        </w:rPr>
      </w:pPr>
      <w:r w:rsidRPr="00875175">
        <w:rPr>
          <w:rFonts w:ascii="Open Sans" w:eastAsia="Open Sans" w:hAnsi="Open Sans" w:cs="Open Sans"/>
          <w:color w:val="434343"/>
        </w:rPr>
        <w:t>1</w:t>
      </w:r>
      <w:r w:rsidR="00B11B25">
        <w:rPr>
          <w:rFonts w:ascii="Open Sans" w:eastAsia="Open Sans" w:hAnsi="Open Sans" w:cs="Open Sans"/>
          <w:color w:val="434343"/>
        </w:rPr>
        <w:t>8</w:t>
      </w:r>
      <w:r w:rsidRPr="00875175">
        <w:rPr>
          <w:rFonts w:ascii="Open Sans" w:eastAsia="Open Sans" w:hAnsi="Open Sans" w:cs="Open Sans"/>
          <w:color w:val="434343"/>
        </w:rPr>
        <w:t>% of respondents did not support the GDNs preferred option</w:t>
      </w:r>
      <w:r w:rsidR="005E2A90">
        <w:rPr>
          <w:rFonts w:ascii="Open Sans" w:eastAsia="Open Sans" w:hAnsi="Open Sans" w:cs="Open Sans"/>
          <w:color w:val="434343"/>
        </w:rPr>
        <w:t xml:space="preserve">, supporting the following three options in order of preference (as illustrated in the chart below). </w:t>
      </w:r>
    </w:p>
    <w:p w14:paraId="3C8437DB" w14:textId="19DCFBF3" w:rsidR="005E2A90" w:rsidRPr="00B11B25" w:rsidRDefault="005E2A90" w:rsidP="00EE7AE9">
      <w:pPr>
        <w:pStyle w:val="ListParagraph"/>
        <w:numPr>
          <w:ilvl w:val="0"/>
          <w:numId w:val="15"/>
        </w:numPr>
        <w:spacing w:before="120" w:after="120" w:line="240" w:lineRule="auto"/>
        <w:rPr>
          <w:rFonts w:ascii="Open Sans" w:eastAsia="Open Sans" w:hAnsi="Open Sans" w:cs="Open Sans"/>
          <w:color w:val="434343"/>
        </w:rPr>
      </w:pPr>
      <w:r w:rsidRPr="00B11B25">
        <w:rPr>
          <w:rFonts w:ascii="Open Sans" w:eastAsia="Open Sans" w:hAnsi="Open Sans" w:cs="Open Sans"/>
          <w:color w:val="434343"/>
        </w:rPr>
        <w:t>Reinforcement prices</w:t>
      </w:r>
      <w:r w:rsidR="00B11B25" w:rsidRPr="00B11B25">
        <w:rPr>
          <w:rFonts w:ascii="Open Sans" w:eastAsia="Open Sans" w:hAnsi="Open Sans" w:cs="Open Sans"/>
          <w:color w:val="434343"/>
        </w:rPr>
        <w:t xml:space="preserve"> and </w:t>
      </w:r>
      <w:r w:rsidRPr="00B11B25">
        <w:rPr>
          <w:rFonts w:ascii="Open Sans" w:eastAsia="Open Sans" w:hAnsi="Open Sans" w:cs="Open Sans"/>
          <w:color w:val="434343"/>
        </w:rPr>
        <w:t>Entry test</w:t>
      </w:r>
      <w:r w:rsidR="00B11B25">
        <w:rPr>
          <w:rFonts w:ascii="Open Sans" w:eastAsia="Open Sans" w:hAnsi="Open Sans" w:cs="Open Sans"/>
          <w:color w:val="434343"/>
        </w:rPr>
        <w:t xml:space="preserve"> (ranked equally) </w:t>
      </w:r>
    </w:p>
    <w:p w14:paraId="2C75086F" w14:textId="5E2C2EE7" w:rsidR="005E2A90" w:rsidRPr="00E615E2" w:rsidRDefault="005E2A90" w:rsidP="00EE7AE9">
      <w:pPr>
        <w:pStyle w:val="ListParagraph"/>
        <w:numPr>
          <w:ilvl w:val="0"/>
          <w:numId w:val="15"/>
        </w:numPr>
        <w:spacing w:before="120" w:after="120" w:line="240" w:lineRule="auto"/>
        <w:rPr>
          <w:rFonts w:ascii="Open Sans" w:eastAsia="Open Sans" w:hAnsi="Open Sans" w:cs="Open Sans"/>
          <w:color w:val="434343"/>
        </w:rPr>
      </w:pPr>
      <w:r w:rsidRPr="00E615E2">
        <w:rPr>
          <w:rFonts w:ascii="Open Sans" w:eastAsia="Open Sans" w:hAnsi="Open Sans" w:cs="Open Sans"/>
          <w:color w:val="434343"/>
        </w:rPr>
        <w:t>All or Nothing Cap</w:t>
      </w:r>
    </w:p>
    <w:p w14:paraId="3FCF18FC" w14:textId="273B8676" w:rsidR="00875175" w:rsidRPr="00875175" w:rsidRDefault="00623C9A" w:rsidP="00EE7AE9">
      <w:pPr>
        <w:spacing w:before="120" w:after="120" w:line="240" w:lineRule="auto"/>
        <w:rPr>
          <w:rFonts w:ascii="Open Sans" w:eastAsia="Open Sans" w:hAnsi="Open Sans" w:cs="Open Sans"/>
          <w:b/>
          <w:color w:val="2F5496"/>
        </w:rPr>
      </w:pPr>
      <w:r w:rsidRPr="00A46FCA">
        <w:rPr>
          <w:rFonts w:ascii="Open Sans" w:eastAsia="Open Sans" w:hAnsi="Open Sans" w:cs="Open Sans"/>
          <w:b/>
          <w:noProof/>
          <w:color w:val="2F5496"/>
        </w:rPr>
        <w:drawing>
          <wp:inline distT="0" distB="0" distL="0" distR="0" wp14:anchorId="31A22B18" wp14:editId="72C520DA">
            <wp:extent cx="5731510" cy="2922905"/>
            <wp:effectExtent l="0" t="0" r="2540"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0DF1FC" w14:textId="765EAD63" w:rsidR="002F166B" w:rsidRDefault="002F166B" w:rsidP="00EE7AE9">
      <w:pPr>
        <w:pStyle w:val="ListParagraph"/>
        <w:spacing w:before="120" w:after="120" w:line="240" w:lineRule="auto"/>
        <w:rPr>
          <w:rFonts w:ascii="Open Sans" w:eastAsia="Open Sans" w:hAnsi="Open Sans" w:cs="Open Sans"/>
          <w:b/>
          <w:color w:val="2F5496"/>
        </w:rPr>
      </w:pPr>
    </w:p>
    <w:p w14:paraId="0E87FAED" w14:textId="216C1CAD" w:rsidR="00A23B1D" w:rsidRPr="00EE7AE9" w:rsidRDefault="00A23B1D" w:rsidP="00A23B1D">
      <w:pPr>
        <w:tabs>
          <w:tab w:val="num" w:pos="720"/>
        </w:tabs>
        <w:spacing w:before="120" w:after="120" w:line="240" w:lineRule="auto"/>
        <w:rPr>
          <w:rFonts w:ascii="Open Sans" w:eastAsia="Open Sans" w:hAnsi="Open Sans" w:cs="Open Sans"/>
          <w:b/>
          <w:bCs/>
          <w:color w:val="434343"/>
        </w:rPr>
      </w:pPr>
      <w:r>
        <w:rPr>
          <w:rFonts w:ascii="Open Sans" w:eastAsia="Open Sans" w:hAnsi="Open Sans" w:cs="Open Sans"/>
          <w:b/>
          <w:bCs/>
          <w:color w:val="434343"/>
        </w:rPr>
        <w:lastRenderedPageBreak/>
        <w:t xml:space="preserve">As previously highlighted, changes need to be made at the pace required to achieve the scale of growth required to meet net zero and address energy security. </w:t>
      </w:r>
    </w:p>
    <w:p w14:paraId="11B21C9C" w14:textId="77777777" w:rsidR="00A23B1D" w:rsidRPr="00CA5C9C" w:rsidRDefault="00A23B1D" w:rsidP="00A23B1D">
      <w:pPr>
        <w:spacing w:before="120" w:after="120" w:line="240" w:lineRule="auto"/>
        <w:rPr>
          <w:rFonts w:ascii="Open Sans" w:eastAsia="Open Sans" w:hAnsi="Open Sans" w:cs="Open Sans"/>
          <w:color w:val="434343"/>
        </w:rPr>
      </w:pPr>
      <w:r>
        <w:rPr>
          <w:rFonts w:ascii="Open Sans" w:eastAsia="Open Sans" w:hAnsi="Open Sans" w:cs="Open Sans"/>
          <w:color w:val="434343"/>
        </w:rPr>
        <w:t>An alternative, swifter option would be for the</w:t>
      </w:r>
      <w:r w:rsidRPr="00CA5C9C">
        <w:rPr>
          <w:rFonts w:ascii="Open Sans" w:eastAsia="Open Sans" w:hAnsi="Open Sans" w:cs="Open Sans"/>
          <w:color w:val="434343"/>
        </w:rPr>
        <w:t xml:space="preserve"> developer </w:t>
      </w:r>
      <w:r>
        <w:rPr>
          <w:rFonts w:ascii="Open Sans" w:eastAsia="Open Sans" w:hAnsi="Open Sans" w:cs="Open Sans"/>
          <w:color w:val="434343"/>
        </w:rPr>
        <w:t>to</w:t>
      </w:r>
      <w:r w:rsidRPr="00CA5C9C">
        <w:rPr>
          <w:rFonts w:ascii="Open Sans" w:eastAsia="Open Sans" w:hAnsi="Open Sans" w:cs="Open Sans"/>
          <w:color w:val="434343"/>
        </w:rPr>
        <w:t xml:space="preserve"> be given an allowance equal to the value of the socialised costs which they could then use to fund investment by a </w:t>
      </w:r>
      <w:proofErr w:type="gramStart"/>
      <w:r w:rsidRPr="00CA5C9C">
        <w:rPr>
          <w:rFonts w:ascii="Open Sans" w:eastAsia="Open Sans" w:hAnsi="Open Sans" w:cs="Open Sans"/>
          <w:color w:val="434343"/>
        </w:rPr>
        <w:t>third party</w:t>
      </w:r>
      <w:proofErr w:type="gramEnd"/>
      <w:r>
        <w:rPr>
          <w:rFonts w:ascii="Open Sans" w:eastAsia="Open Sans" w:hAnsi="Open Sans" w:cs="Open Sans"/>
          <w:color w:val="434343"/>
        </w:rPr>
        <w:t xml:space="preserve"> specialist</w:t>
      </w:r>
      <w:r w:rsidRPr="00CA5C9C">
        <w:rPr>
          <w:rFonts w:ascii="Open Sans" w:eastAsia="Open Sans" w:hAnsi="Open Sans" w:cs="Open Sans"/>
          <w:color w:val="434343"/>
        </w:rPr>
        <w:t xml:space="preserve"> with a view to delivering the required capacity on a shorter timeframe. This would ensure that competitive forces are relied on to ensure efficient and timely delivery of developer’s requirements rather than all investment necessarily sitting with the regulated networks. We believe this is consistent with GDNs Licence obligations and is in the interest of consumers.</w:t>
      </w:r>
      <w:r>
        <w:rPr>
          <w:rFonts w:ascii="Open Sans" w:eastAsia="Open Sans" w:hAnsi="Open Sans" w:cs="Open Sans"/>
          <w:color w:val="434343"/>
        </w:rPr>
        <w:t xml:space="preserve"> </w:t>
      </w:r>
      <w:r w:rsidRPr="00CA5C9C">
        <w:rPr>
          <w:rFonts w:ascii="Open Sans" w:eastAsia="Open Sans" w:hAnsi="Open Sans" w:cs="Open Sans"/>
          <w:color w:val="434343"/>
        </w:rPr>
        <w:t>This is substantially a hybrid approach with socialising costs where only the GDN can do the work (</w:t>
      </w:r>
      <w:proofErr w:type="spellStart"/>
      <w:proofErr w:type="gramStart"/>
      <w:r w:rsidRPr="00CA5C9C">
        <w:rPr>
          <w:rFonts w:ascii="Open Sans" w:eastAsia="Open Sans" w:hAnsi="Open Sans" w:cs="Open Sans"/>
          <w:color w:val="434343"/>
        </w:rPr>
        <w:t>eg</w:t>
      </w:r>
      <w:proofErr w:type="spellEnd"/>
      <w:proofErr w:type="gramEnd"/>
      <w:r w:rsidRPr="00CA5C9C">
        <w:rPr>
          <w:rFonts w:ascii="Open Sans" w:eastAsia="Open Sans" w:hAnsi="Open Sans" w:cs="Open Sans"/>
          <w:color w:val="434343"/>
        </w:rPr>
        <w:t xml:space="preserve"> adjusting system pressures) and an allowance system to facilitate capacity via 3</w:t>
      </w:r>
      <w:r w:rsidRPr="00CA5C9C">
        <w:rPr>
          <w:rFonts w:ascii="Open Sans" w:eastAsia="Open Sans" w:hAnsi="Open Sans" w:cs="Open Sans"/>
          <w:color w:val="434343"/>
          <w:vertAlign w:val="superscript"/>
        </w:rPr>
        <w:t>rd</w:t>
      </w:r>
      <w:r>
        <w:rPr>
          <w:rFonts w:ascii="Open Sans" w:eastAsia="Open Sans" w:hAnsi="Open Sans" w:cs="Open Sans"/>
          <w:color w:val="434343"/>
        </w:rPr>
        <w:t xml:space="preserve"> </w:t>
      </w:r>
      <w:r w:rsidRPr="00CA5C9C">
        <w:rPr>
          <w:rFonts w:ascii="Open Sans" w:eastAsia="Open Sans" w:hAnsi="Open Sans" w:cs="Open Sans"/>
          <w:color w:val="434343"/>
        </w:rPr>
        <w:t>party investment.</w:t>
      </w:r>
    </w:p>
    <w:p w14:paraId="79003D39" w14:textId="77777777" w:rsidR="00A23B1D" w:rsidRPr="000A4A48" w:rsidRDefault="00A23B1D" w:rsidP="00A23B1D">
      <w:pPr>
        <w:spacing w:before="120" w:after="120" w:line="240" w:lineRule="auto"/>
        <w:rPr>
          <w:rFonts w:ascii="Open Sans" w:eastAsia="Open Sans" w:hAnsi="Open Sans" w:cs="Open Sans"/>
          <w:b/>
          <w:bCs/>
          <w:color w:val="FF0000"/>
        </w:rPr>
      </w:pPr>
      <w:r w:rsidRPr="000A4A48">
        <w:rPr>
          <w:rFonts w:ascii="Open Sans" w:eastAsia="Open Sans" w:hAnsi="Open Sans" w:cs="Open Sans"/>
          <w:b/>
          <w:bCs/>
          <w:color w:val="FF0000"/>
        </w:rPr>
        <w:t xml:space="preserve">This option would support a competitive market which may be more effective in delivering the changes required at a faster pace. </w:t>
      </w:r>
    </w:p>
    <w:p w14:paraId="5A80BE24" w14:textId="77777777" w:rsidR="00A23B1D" w:rsidRPr="00DB5D1F" w:rsidRDefault="00A23B1D" w:rsidP="00EE7AE9">
      <w:pPr>
        <w:spacing w:before="120" w:after="120" w:line="240" w:lineRule="auto"/>
        <w:rPr>
          <w:rFonts w:ascii="Open Sans" w:eastAsia="Open Sans" w:hAnsi="Open Sans" w:cs="Open Sans"/>
          <w:b/>
          <w:color w:val="2F5496"/>
        </w:rPr>
      </w:pPr>
    </w:p>
    <w:p w14:paraId="24D63ADF" w14:textId="572FECE1" w:rsidR="002F166B" w:rsidRPr="005E2A90" w:rsidRDefault="00333DFE" w:rsidP="00EE7AE9">
      <w:pPr>
        <w:spacing w:before="120" w:after="120" w:line="240" w:lineRule="auto"/>
        <w:rPr>
          <w:rFonts w:ascii="Open Sans" w:eastAsia="Open Sans" w:hAnsi="Open Sans" w:cs="Open Sans"/>
          <w:b/>
          <w:bCs/>
          <w:color w:val="2F5496"/>
        </w:rPr>
      </w:pPr>
      <w:r w:rsidRPr="60426288">
        <w:rPr>
          <w:rFonts w:ascii="Open Sans" w:eastAsia="Open Sans" w:hAnsi="Open Sans" w:cs="Open Sans"/>
          <w:b/>
          <w:bCs/>
          <w:color w:val="2F5496"/>
        </w:rPr>
        <w:t xml:space="preserve">4. Do you think the </w:t>
      </w:r>
      <w:bookmarkStart w:id="1" w:name="_Int_J0f3S8gF"/>
      <w:proofErr w:type="gramStart"/>
      <w:r w:rsidRPr="60426288">
        <w:rPr>
          <w:rFonts w:ascii="Open Sans" w:eastAsia="Open Sans" w:hAnsi="Open Sans" w:cs="Open Sans"/>
          <w:b/>
          <w:bCs/>
          <w:color w:val="2F5496"/>
        </w:rPr>
        <w:t>High Cost</w:t>
      </w:r>
      <w:bookmarkEnd w:id="1"/>
      <w:proofErr w:type="gramEnd"/>
      <w:r w:rsidRPr="60426288">
        <w:rPr>
          <w:rFonts w:ascii="Open Sans" w:eastAsia="Open Sans" w:hAnsi="Open Sans" w:cs="Open Sans"/>
          <w:b/>
          <w:bCs/>
          <w:color w:val="2F5496"/>
        </w:rPr>
        <w:t xml:space="preserve"> Cap level that we are proposing to set initially is the right level? a. Explain your reasoning b. Supporting evidence that can help inform the cap </w:t>
      </w:r>
    </w:p>
    <w:p w14:paraId="65C6CAFA" w14:textId="77777777" w:rsidR="00B11B25" w:rsidRDefault="00623C9A" w:rsidP="00EE7AE9">
      <w:pPr>
        <w:spacing w:before="120" w:after="120" w:line="240" w:lineRule="auto"/>
        <w:rPr>
          <w:rFonts w:ascii="Open Sans" w:eastAsia="Open Sans" w:hAnsi="Open Sans" w:cs="Open Sans"/>
          <w:color w:val="434343"/>
        </w:rPr>
      </w:pPr>
      <w:r w:rsidRPr="00B21EC1">
        <w:rPr>
          <w:rFonts w:ascii="Open Sans" w:eastAsia="Open Sans" w:hAnsi="Open Sans" w:cs="Open Sans"/>
          <w:color w:val="434343"/>
        </w:rPr>
        <w:t xml:space="preserve">Yes. </w:t>
      </w:r>
    </w:p>
    <w:p w14:paraId="6142C6B2" w14:textId="33DFCE1F" w:rsidR="00623C9A" w:rsidRDefault="00623C9A"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t>69</w:t>
      </w:r>
      <w:r w:rsidRPr="00B21EC1">
        <w:rPr>
          <w:rFonts w:ascii="Open Sans" w:eastAsia="Open Sans" w:hAnsi="Open Sans" w:cs="Open Sans"/>
          <w:color w:val="434343"/>
        </w:rPr>
        <w:t xml:space="preserve">% of respondents </w:t>
      </w:r>
      <w:r>
        <w:rPr>
          <w:rFonts w:ascii="Open Sans" w:eastAsia="Open Sans" w:hAnsi="Open Sans" w:cs="Open Sans"/>
          <w:color w:val="434343"/>
        </w:rPr>
        <w:t xml:space="preserve">have said it is set at the right level. </w:t>
      </w:r>
      <w:r w:rsidR="00EA4CEF">
        <w:rPr>
          <w:rFonts w:ascii="Open Sans" w:eastAsia="Open Sans" w:hAnsi="Open Sans" w:cs="Open Sans"/>
          <w:color w:val="434343"/>
        </w:rPr>
        <w:t>They said it</w:t>
      </w:r>
      <w:r>
        <w:rPr>
          <w:rFonts w:ascii="Open Sans" w:eastAsia="Open Sans" w:hAnsi="Open Sans" w:cs="Open Sans"/>
          <w:color w:val="434343"/>
        </w:rPr>
        <w:t xml:space="preserve"> s</w:t>
      </w:r>
      <w:r w:rsidRPr="00B21EC1">
        <w:rPr>
          <w:rFonts w:ascii="Open Sans" w:eastAsia="Open Sans" w:hAnsi="Open Sans" w:cs="Open Sans"/>
          <w:color w:val="434343"/>
        </w:rPr>
        <w:t xml:space="preserve">eems like a reasonable approach, incentivising connections but protecting customers from bearing socialised costs of very </w:t>
      </w:r>
      <w:r w:rsidR="00EA4CEF" w:rsidRPr="00B21EC1">
        <w:rPr>
          <w:rFonts w:ascii="Open Sans" w:eastAsia="Open Sans" w:hAnsi="Open Sans" w:cs="Open Sans"/>
          <w:color w:val="434343"/>
        </w:rPr>
        <w:t>high-cost</w:t>
      </w:r>
      <w:r w:rsidRPr="00B21EC1">
        <w:rPr>
          <w:rFonts w:ascii="Open Sans" w:eastAsia="Open Sans" w:hAnsi="Open Sans" w:cs="Open Sans"/>
          <w:color w:val="434343"/>
        </w:rPr>
        <w:t xml:space="preserve"> connections.</w:t>
      </w:r>
      <w:r w:rsidRPr="008C59CD">
        <w:rPr>
          <w:rFonts w:ascii="Open Sans" w:eastAsia="Open Sans" w:hAnsi="Open Sans" w:cs="Open Sans"/>
          <w:color w:val="434343"/>
        </w:rPr>
        <w:t xml:space="preserve"> A member suggested that </w:t>
      </w:r>
      <w:r>
        <w:rPr>
          <w:rFonts w:ascii="Open Sans" w:eastAsia="Open Sans" w:hAnsi="Open Sans" w:cs="Open Sans"/>
          <w:color w:val="434343"/>
        </w:rPr>
        <w:t>a</w:t>
      </w:r>
      <w:r w:rsidRPr="008F654C">
        <w:rPr>
          <w:rFonts w:ascii="Open Sans" w:eastAsia="Open Sans" w:hAnsi="Open Sans" w:cs="Open Sans"/>
          <w:color w:val="434343"/>
        </w:rPr>
        <w:t>n alternative to mitigate th</w:t>
      </w:r>
      <w:r>
        <w:rPr>
          <w:rFonts w:ascii="Open Sans" w:eastAsia="Open Sans" w:hAnsi="Open Sans" w:cs="Open Sans"/>
          <w:color w:val="434343"/>
        </w:rPr>
        <w:t>ese</w:t>
      </w:r>
      <w:r w:rsidRPr="008F654C">
        <w:rPr>
          <w:rFonts w:ascii="Open Sans" w:eastAsia="Open Sans" w:hAnsi="Open Sans" w:cs="Open Sans"/>
          <w:color w:val="434343"/>
        </w:rPr>
        <w:t xml:space="preserve"> costs on existing users would be to set it at a lower level </w:t>
      </w:r>
      <w:proofErr w:type="gramStart"/>
      <w:r w:rsidRPr="008F654C">
        <w:rPr>
          <w:rFonts w:ascii="Open Sans" w:eastAsia="Open Sans" w:hAnsi="Open Sans" w:cs="Open Sans"/>
          <w:color w:val="434343"/>
        </w:rPr>
        <w:t>e.g.</w:t>
      </w:r>
      <w:proofErr w:type="gramEnd"/>
      <w:r w:rsidRPr="008F654C">
        <w:rPr>
          <w:rFonts w:ascii="Open Sans" w:eastAsia="Open Sans" w:hAnsi="Open Sans" w:cs="Open Sans"/>
          <w:color w:val="434343"/>
        </w:rPr>
        <w:t xml:space="preserve"> 80</w:t>
      </w:r>
      <w:r w:rsidRPr="00EA4CEF">
        <w:rPr>
          <w:rFonts w:ascii="Open Sans" w:eastAsia="Open Sans" w:hAnsi="Open Sans" w:cs="Open Sans"/>
          <w:color w:val="434343"/>
          <w:vertAlign w:val="superscript"/>
        </w:rPr>
        <w:t>th</w:t>
      </w:r>
      <w:r w:rsidR="00EA4CEF">
        <w:rPr>
          <w:rFonts w:ascii="Open Sans" w:eastAsia="Open Sans" w:hAnsi="Open Sans" w:cs="Open Sans"/>
          <w:color w:val="434343"/>
        </w:rPr>
        <w:t xml:space="preserve"> </w:t>
      </w:r>
      <w:r w:rsidRPr="008F654C">
        <w:rPr>
          <w:rFonts w:ascii="Open Sans" w:eastAsia="Open Sans" w:hAnsi="Open Sans" w:cs="Open Sans"/>
          <w:color w:val="434343"/>
        </w:rPr>
        <w:t>percentile.</w:t>
      </w:r>
    </w:p>
    <w:p w14:paraId="59CD825D" w14:textId="77777777" w:rsidR="00623C9A" w:rsidRPr="00B21EC1" w:rsidRDefault="00623C9A"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t>However, some members noted that there isn’t</w:t>
      </w:r>
      <w:r w:rsidRPr="00B21EC1">
        <w:rPr>
          <w:rFonts w:ascii="Open Sans" w:eastAsia="Open Sans" w:hAnsi="Open Sans" w:cs="Open Sans"/>
          <w:color w:val="434343"/>
        </w:rPr>
        <w:t xml:space="preserve"> sufficient information </w:t>
      </w:r>
      <w:r>
        <w:rPr>
          <w:rFonts w:ascii="Open Sans" w:eastAsia="Open Sans" w:hAnsi="Open Sans" w:cs="Open Sans"/>
          <w:color w:val="434343"/>
        </w:rPr>
        <w:t xml:space="preserve">in the consultation on the cost of providing capacity or reinforcements </w:t>
      </w:r>
      <w:r w:rsidRPr="00B21EC1">
        <w:rPr>
          <w:rFonts w:ascii="Open Sans" w:eastAsia="Open Sans" w:hAnsi="Open Sans" w:cs="Open Sans"/>
          <w:color w:val="434343"/>
        </w:rPr>
        <w:t xml:space="preserve">to </w:t>
      </w:r>
      <w:proofErr w:type="gramStart"/>
      <w:r w:rsidRPr="00B21EC1">
        <w:rPr>
          <w:rFonts w:ascii="Open Sans" w:eastAsia="Open Sans" w:hAnsi="Open Sans" w:cs="Open Sans"/>
          <w:color w:val="434343"/>
        </w:rPr>
        <w:t>make a decision</w:t>
      </w:r>
      <w:proofErr w:type="gramEnd"/>
      <w:r>
        <w:rPr>
          <w:rFonts w:ascii="Open Sans" w:eastAsia="Open Sans" w:hAnsi="Open Sans" w:cs="Open Sans"/>
          <w:color w:val="434343"/>
        </w:rPr>
        <w:t xml:space="preserve"> on whether the cap is appropriate. </w:t>
      </w:r>
    </w:p>
    <w:p w14:paraId="3C0F129C" w14:textId="77777777" w:rsidR="00623C9A" w:rsidRDefault="00623C9A" w:rsidP="00EE7AE9">
      <w:pPr>
        <w:spacing w:before="120" w:after="120" w:line="240" w:lineRule="auto"/>
        <w:rPr>
          <w:rFonts w:ascii="Open Sans" w:eastAsia="Open Sans" w:hAnsi="Open Sans" w:cs="Open Sans"/>
          <w:color w:val="434343"/>
        </w:rPr>
      </w:pPr>
      <w:r w:rsidRPr="005E6A48">
        <w:rPr>
          <w:rFonts w:ascii="Open Sans" w:eastAsia="Open Sans" w:hAnsi="Open Sans" w:cs="Open Sans"/>
          <w:color w:val="434343"/>
        </w:rPr>
        <w:t xml:space="preserve">It is also crucial that the </w:t>
      </w:r>
      <w:proofErr w:type="gramStart"/>
      <w:r w:rsidRPr="005E6A48">
        <w:rPr>
          <w:rFonts w:ascii="Open Sans" w:eastAsia="Open Sans" w:hAnsi="Open Sans" w:cs="Open Sans"/>
          <w:i/>
          <w:iCs/>
          <w:color w:val="434343"/>
        </w:rPr>
        <w:t>High Cost</w:t>
      </w:r>
      <w:proofErr w:type="gramEnd"/>
      <w:r w:rsidRPr="005E6A48">
        <w:rPr>
          <w:rFonts w:ascii="Open Sans" w:eastAsia="Open Sans" w:hAnsi="Open Sans" w:cs="Open Sans"/>
          <w:i/>
          <w:iCs/>
          <w:color w:val="434343"/>
        </w:rPr>
        <w:t xml:space="preserve"> Cap</w:t>
      </w:r>
      <w:r w:rsidRPr="005E6A48">
        <w:rPr>
          <w:rFonts w:ascii="Open Sans" w:eastAsia="Open Sans" w:hAnsi="Open Sans" w:cs="Open Sans"/>
          <w:color w:val="434343"/>
        </w:rPr>
        <w:t xml:space="preserve"> level consider recent market trends for increasingly larger plants. </w:t>
      </w:r>
    </w:p>
    <w:p w14:paraId="224EB111" w14:textId="62073A7C" w:rsidR="00382378" w:rsidRDefault="00623C9A" w:rsidP="00EE7AE9">
      <w:pPr>
        <w:spacing w:before="120" w:after="120" w:line="240" w:lineRule="auto"/>
        <w:rPr>
          <w:rFonts w:ascii="Open Sans" w:eastAsia="Open Sans" w:hAnsi="Open Sans" w:cs="Open Sans"/>
          <w:b/>
          <w:color w:val="2F5496"/>
        </w:rPr>
      </w:pPr>
      <w:r>
        <w:rPr>
          <w:rFonts w:ascii="Open Sans" w:eastAsia="Open Sans" w:hAnsi="Open Sans" w:cs="Open Sans"/>
          <w:color w:val="434343"/>
        </w:rPr>
        <w:t xml:space="preserve">A member of both associations, Future Biogas, highlighted that </w:t>
      </w:r>
      <w:r w:rsidRPr="00A46FCA">
        <w:rPr>
          <w:rFonts w:ascii="Open Sans" w:eastAsia="Open Sans" w:hAnsi="Open Sans" w:cs="Open Sans"/>
          <w:color w:val="434343"/>
        </w:rPr>
        <w:t>more data on reinforcement costs for larger biomethane plants (&gt;1,000m</w:t>
      </w:r>
      <w:r w:rsidRPr="008C59CD">
        <w:rPr>
          <w:rFonts w:ascii="Open Sans" w:eastAsia="Open Sans" w:hAnsi="Open Sans" w:cs="Open Sans"/>
          <w:color w:val="434343"/>
          <w:vertAlign w:val="superscript"/>
        </w:rPr>
        <w:t>3</w:t>
      </w:r>
      <w:r w:rsidRPr="00A46FCA">
        <w:rPr>
          <w:rFonts w:ascii="Open Sans" w:eastAsia="Open Sans" w:hAnsi="Open Sans" w:cs="Open Sans"/>
          <w:color w:val="434343"/>
        </w:rPr>
        <w:t xml:space="preserve">/h) is required. Current market trends indicate that biomethane plants have, and continue, to </w:t>
      </w:r>
      <w:proofErr w:type="gramStart"/>
      <w:r w:rsidRPr="00A46FCA">
        <w:rPr>
          <w:rFonts w:ascii="Open Sans" w:eastAsia="Open Sans" w:hAnsi="Open Sans" w:cs="Open Sans"/>
          <w:color w:val="434343"/>
        </w:rPr>
        <w:t>grow in size</w:t>
      </w:r>
      <w:proofErr w:type="gramEnd"/>
      <w:r>
        <w:rPr>
          <w:rFonts w:ascii="Open Sans" w:eastAsia="Open Sans" w:hAnsi="Open Sans" w:cs="Open Sans"/>
          <w:color w:val="434343"/>
        </w:rPr>
        <w:t xml:space="preserve">. </w:t>
      </w:r>
      <w:r w:rsidRPr="00A46FCA">
        <w:rPr>
          <w:rFonts w:ascii="Open Sans" w:eastAsia="Open Sans" w:hAnsi="Open Sans" w:cs="Open Sans"/>
          <w:color w:val="434343"/>
        </w:rPr>
        <w:t>Under the RHI, biomethane plants were typically developed with a capacity greater than 500 m</w:t>
      </w:r>
      <w:r w:rsidRPr="008C59CD">
        <w:rPr>
          <w:rFonts w:ascii="Open Sans" w:eastAsia="Open Sans" w:hAnsi="Open Sans" w:cs="Open Sans"/>
          <w:color w:val="434343"/>
          <w:vertAlign w:val="superscript"/>
        </w:rPr>
        <w:t>3</w:t>
      </w:r>
      <w:r w:rsidRPr="00A46FCA">
        <w:rPr>
          <w:rFonts w:ascii="Open Sans" w:eastAsia="Open Sans" w:hAnsi="Open Sans" w:cs="Open Sans"/>
          <w:color w:val="434343"/>
        </w:rPr>
        <w:t>/h, in line with tier 1 limits. Under the G</w:t>
      </w:r>
      <w:r w:rsidR="00EA4CEF">
        <w:rPr>
          <w:rFonts w:ascii="Open Sans" w:eastAsia="Open Sans" w:hAnsi="Open Sans" w:cs="Open Sans"/>
          <w:color w:val="434343"/>
        </w:rPr>
        <w:t>reen Gas Support Scheme (GGSS)</w:t>
      </w:r>
      <w:r w:rsidRPr="00A46FCA">
        <w:rPr>
          <w:rFonts w:ascii="Open Sans" w:eastAsia="Open Sans" w:hAnsi="Open Sans" w:cs="Open Sans"/>
          <w:color w:val="434343"/>
        </w:rPr>
        <w:t xml:space="preserve">, </w:t>
      </w:r>
      <w:r>
        <w:rPr>
          <w:rFonts w:ascii="Open Sans" w:eastAsia="Open Sans" w:hAnsi="Open Sans" w:cs="Open Sans"/>
          <w:color w:val="434343"/>
        </w:rPr>
        <w:t xml:space="preserve">however, </w:t>
      </w:r>
      <w:r w:rsidRPr="00A46FCA">
        <w:rPr>
          <w:rFonts w:ascii="Open Sans" w:eastAsia="Open Sans" w:hAnsi="Open Sans" w:cs="Open Sans"/>
          <w:color w:val="434343"/>
        </w:rPr>
        <w:t>biomethane plants are being constructed with a capacity greater than 750 m</w:t>
      </w:r>
      <w:r w:rsidRPr="008C59CD">
        <w:rPr>
          <w:rFonts w:ascii="Open Sans" w:eastAsia="Open Sans" w:hAnsi="Open Sans" w:cs="Open Sans"/>
          <w:color w:val="434343"/>
          <w:vertAlign w:val="superscript"/>
        </w:rPr>
        <w:t>3</w:t>
      </w:r>
      <w:r w:rsidRPr="00A46FCA">
        <w:rPr>
          <w:rFonts w:ascii="Open Sans" w:eastAsia="Open Sans" w:hAnsi="Open Sans" w:cs="Open Sans"/>
          <w:color w:val="434343"/>
        </w:rPr>
        <w:t>/h, in response to the Scheme</w:t>
      </w:r>
      <w:r>
        <w:rPr>
          <w:rFonts w:ascii="Open Sans" w:eastAsia="Open Sans" w:hAnsi="Open Sans" w:cs="Open Sans"/>
          <w:color w:val="434343"/>
        </w:rPr>
        <w:t>’s</w:t>
      </w:r>
      <w:r w:rsidRPr="00A46FCA">
        <w:rPr>
          <w:rFonts w:ascii="Open Sans" w:eastAsia="Open Sans" w:hAnsi="Open Sans" w:cs="Open Sans"/>
          <w:color w:val="434343"/>
        </w:rPr>
        <w:t xml:space="preserve"> higher tier 1 limit compared to the RHI</w:t>
      </w:r>
      <w:r>
        <w:rPr>
          <w:rFonts w:ascii="Open Sans" w:eastAsia="Open Sans" w:hAnsi="Open Sans" w:cs="Open Sans"/>
          <w:color w:val="434343"/>
        </w:rPr>
        <w:t xml:space="preserve">. </w:t>
      </w:r>
      <w:r w:rsidRPr="00A46FCA">
        <w:rPr>
          <w:rFonts w:ascii="Open Sans" w:eastAsia="Open Sans" w:hAnsi="Open Sans" w:cs="Open Sans"/>
          <w:color w:val="434343"/>
        </w:rPr>
        <w:t>For the next generation of biomethane plants, Future Biogas is aiming to develop around 25 new plants with a capacity of either 1,000 or 1,500 m</w:t>
      </w:r>
      <w:r w:rsidRPr="008C59CD">
        <w:rPr>
          <w:rFonts w:ascii="Open Sans" w:eastAsia="Open Sans" w:hAnsi="Open Sans" w:cs="Open Sans"/>
          <w:color w:val="434343"/>
          <w:vertAlign w:val="superscript"/>
        </w:rPr>
        <w:t>3</w:t>
      </w:r>
      <w:r w:rsidRPr="00A46FCA">
        <w:rPr>
          <w:rFonts w:ascii="Open Sans" w:eastAsia="Open Sans" w:hAnsi="Open Sans" w:cs="Open Sans"/>
          <w:color w:val="434343"/>
        </w:rPr>
        <w:t>/h. These plants will deliver BECCS producing unsubsidised biomethane and capturing bio-CO</w:t>
      </w:r>
      <w:r w:rsidRPr="008C59CD">
        <w:rPr>
          <w:rFonts w:ascii="Open Sans" w:eastAsia="Open Sans" w:hAnsi="Open Sans" w:cs="Open Sans"/>
          <w:color w:val="434343"/>
          <w:vertAlign w:val="subscript"/>
        </w:rPr>
        <w:t xml:space="preserve">2 </w:t>
      </w:r>
      <w:r w:rsidRPr="00A46FCA">
        <w:rPr>
          <w:rFonts w:ascii="Open Sans" w:eastAsia="Open Sans" w:hAnsi="Open Sans" w:cs="Open Sans"/>
          <w:color w:val="434343"/>
        </w:rPr>
        <w:t xml:space="preserve">for storage. The </w:t>
      </w:r>
      <w:r w:rsidR="00EA4CEF" w:rsidRPr="00A46FCA">
        <w:rPr>
          <w:rFonts w:ascii="Open Sans" w:eastAsia="Open Sans" w:hAnsi="Open Sans" w:cs="Open Sans"/>
          <w:color w:val="434343"/>
        </w:rPr>
        <w:t>High-Cost</w:t>
      </w:r>
      <w:r w:rsidRPr="00A46FCA">
        <w:rPr>
          <w:rFonts w:ascii="Open Sans" w:eastAsia="Open Sans" w:hAnsi="Open Sans" w:cs="Open Sans"/>
          <w:color w:val="434343"/>
        </w:rPr>
        <w:t xml:space="preserve"> Cap level must consider this market trend for increasingly large plants. Within the consultation, the proposed cap is set at 200/kW based on 21 recent applications to connect to </w:t>
      </w:r>
      <w:proofErr w:type="spellStart"/>
      <w:r w:rsidRPr="00A46FCA">
        <w:rPr>
          <w:rFonts w:ascii="Open Sans" w:eastAsia="Open Sans" w:hAnsi="Open Sans" w:cs="Open Sans"/>
          <w:color w:val="434343"/>
        </w:rPr>
        <w:t>Cadent</w:t>
      </w:r>
      <w:r>
        <w:rPr>
          <w:rFonts w:ascii="Open Sans" w:eastAsia="Open Sans" w:hAnsi="Open Sans" w:cs="Open Sans"/>
          <w:color w:val="434343"/>
        </w:rPr>
        <w:t>’s</w:t>
      </w:r>
      <w:proofErr w:type="spellEnd"/>
      <w:r>
        <w:rPr>
          <w:rFonts w:ascii="Open Sans" w:eastAsia="Open Sans" w:hAnsi="Open Sans" w:cs="Open Sans"/>
          <w:color w:val="434343"/>
        </w:rPr>
        <w:t xml:space="preserve"> </w:t>
      </w:r>
      <w:r w:rsidRPr="00A46FCA">
        <w:rPr>
          <w:rFonts w:ascii="Open Sans" w:eastAsia="Open Sans" w:hAnsi="Open Sans" w:cs="Open Sans"/>
          <w:color w:val="434343"/>
        </w:rPr>
        <w:t xml:space="preserve">grid. However, it is not clear when these applications were </w:t>
      </w:r>
      <w:r w:rsidRPr="00A46FCA">
        <w:rPr>
          <w:rFonts w:ascii="Open Sans" w:eastAsia="Open Sans" w:hAnsi="Open Sans" w:cs="Open Sans"/>
          <w:color w:val="434343"/>
        </w:rPr>
        <w:lastRenderedPageBreak/>
        <w:t xml:space="preserve">submitted, nor the installed capacity of these connections. </w:t>
      </w:r>
      <w:r>
        <w:rPr>
          <w:rFonts w:ascii="Open Sans" w:eastAsia="Open Sans" w:hAnsi="Open Sans" w:cs="Open Sans"/>
          <w:color w:val="434343"/>
        </w:rPr>
        <w:t>A</w:t>
      </w:r>
      <w:r w:rsidRPr="00A46FCA">
        <w:rPr>
          <w:rFonts w:ascii="Open Sans" w:eastAsia="Open Sans" w:hAnsi="Open Sans" w:cs="Open Sans"/>
          <w:color w:val="434343"/>
        </w:rPr>
        <w:t xml:space="preserve">s </w:t>
      </w:r>
      <w:proofErr w:type="spellStart"/>
      <w:r>
        <w:rPr>
          <w:rFonts w:ascii="Open Sans" w:eastAsia="Open Sans" w:hAnsi="Open Sans" w:cs="Open Sans"/>
          <w:color w:val="434343"/>
        </w:rPr>
        <w:t>Cadent’s</w:t>
      </w:r>
      <w:proofErr w:type="spellEnd"/>
      <w:r>
        <w:rPr>
          <w:rFonts w:ascii="Open Sans" w:eastAsia="Open Sans" w:hAnsi="Open Sans" w:cs="Open Sans"/>
          <w:color w:val="434343"/>
        </w:rPr>
        <w:t xml:space="preserve"> </w:t>
      </w:r>
      <w:r w:rsidRPr="00A46FCA">
        <w:rPr>
          <w:rFonts w:ascii="Open Sans" w:eastAsia="Open Sans" w:hAnsi="Open Sans" w:cs="Open Sans"/>
          <w:color w:val="434343"/>
        </w:rPr>
        <w:t>data demonstrates, reinforcement costs increase exponentially with capacity. This reinforcement cost often depends on the relative difference between the local grid capacity and the biomethane injection capacity; for example, the difference is more likely to be smaller at connections with a lower injection capacity, thus reducing the relative cost of reinforcement. Consequently, if the consultatio</w:t>
      </w:r>
      <w:r>
        <w:rPr>
          <w:rFonts w:ascii="Open Sans" w:eastAsia="Open Sans" w:hAnsi="Open Sans" w:cs="Open Sans"/>
          <w:color w:val="434343"/>
        </w:rPr>
        <w:t>n’s</w:t>
      </w:r>
      <w:r w:rsidRPr="00A46FCA">
        <w:rPr>
          <w:rFonts w:ascii="Open Sans" w:eastAsia="Open Sans" w:hAnsi="Open Sans" w:cs="Open Sans"/>
          <w:color w:val="434343"/>
        </w:rPr>
        <w:t xml:space="preserve"> analysis is derived from older RHI-based applications, data may be skewed to smaller biomethane connections, and thus fail to represent the reinforcement costs of toda</w:t>
      </w:r>
      <w:r>
        <w:rPr>
          <w:rFonts w:ascii="Open Sans" w:eastAsia="Open Sans" w:hAnsi="Open Sans" w:cs="Open Sans"/>
          <w:color w:val="434343"/>
        </w:rPr>
        <w:t>y’s</w:t>
      </w:r>
      <w:r w:rsidRPr="00A46FCA">
        <w:rPr>
          <w:rFonts w:ascii="Open Sans" w:eastAsia="Open Sans" w:hAnsi="Open Sans" w:cs="Open Sans"/>
          <w:color w:val="434343"/>
        </w:rPr>
        <w:t xml:space="preserve"> larger plants. As plants scale up in size and the optimal connection sites are taken, greater levels of grid reinforcement could be required. Consequently, the £200/kW cap proposed may not be sufficient to overcome the financial barrier to grid connections risking the development of new biomethane production.  Internal analysis from Future Biogas suggests that additional costs exceeding £4.5m would likely prevent the development of 1,100 m</w:t>
      </w:r>
      <w:r w:rsidRPr="008C59CD">
        <w:rPr>
          <w:rFonts w:ascii="Open Sans" w:eastAsia="Open Sans" w:hAnsi="Open Sans" w:cs="Open Sans"/>
          <w:color w:val="434343"/>
          <w:vertAlign w:val="superscript"/>
        </w:rPr>
        <w:t>3</w:t>
      </w:r>
      <w:r w:rsidRPr="00A46FCA">
        <w:rPr>
          <w:rFonts w:ascii="Open Sans" w:eastAsia="Open Sans" w:hAnsi="Open Sans" w:cs="Open Sans"/>
          <w:color w:val="434343"/>
        </w:rPr>
        <w:t xml:space="preserve">/h biomethane plant. Based on the proposed cap, the first £2.2m would be socialised by the GDNs and the remaining would be covered by Future Biogas. In this example, if the total reinforcement costs exceeded £6.7m, the development would be stopped. Consequently, analysis must consider the average cost of reinforcements for projects of this capacity. Based on </w:t>
      </w:r>
      <w:proofErr w:type="spellStart"/>
      <w:r w:rsidRPr="00A46FCA">
        <w:rPr>
          <w:rFonts w:ascii="Open Sans" w:eastAsia="Open Sans" w:hAnsi="Open Sans" w:cs="Open Sans"/>
          <w:color w:val="434343"/>
        </w:rPr>
        <w:t>Cadent</w:t>
      </w:r>
      <w:r>
        <w:rPr>
          <w:rFonts w:ascii="Open Sans" w:eastAsia="Open Sans" w:hAnsi="Open Sans" w:cs="Open Sans"/>
          <w:color w:val="434343"/>
        </w:rPr>
        <w:t>’</w:t>
      </w:r>
      <w:r w:rsidRPr="00A46FCA">
        <w:rPr>
          <w:rFonts w:ascii="Open Sans" w:eastAsia="Open Sans" w:hAnsi="Open Sans" w:cs="Open Sans"/>
          <w:color w:val="434343"/>
        </w:rPr>
        <w:t>s</w:t>
      </w:r>
      <w:proofErr w:type="spellEnd"/>
      <w:r w:rsidRPr="00A46FCA">
        <w:rPr>
          <w:rFonts w:ascii="Open Sans" w:eastAsia="Open Sans" w:hAnsi="Open Sans" w:cs="Open Sans"/>
          <w:color w:val="434343"/>
        </w:rPr>
        <w:t xml:space="preserve"> two applications costing more than the £200/kW cap (£427 and 1,203/kW), reinforcement costs could add an additional £2-10 million to a 1,000 m</w:t>
      </w:r>
      <w:r w:rsidRPr="008C59CD">
        <w:rPr>
          <w:rFonts w:ascii="Open Sans" w:eastAsia="Open Sans" w:hAnsi="Open Sans" w:cs="Open Sans"/>
          <w:color w:val="434343"/>
          <w:vertAlign w:val="superscript"/>
        </w:rPr>
        <w:t>3</w:t>
      </w:r>
      <w:r w:rsidRPr="00A46FCA">
        <w:rPr>
          <w:rFonts w:ascii="Open Sans" w:eastAsia="Open Sans" w:hAnsi="Open Sans" w:cs="Open Sans"/>
          <w:color w:val="434343"/>
        </w:rPr>
        <w:t xml:space="preserve">/h capacity plant capex (accounting for costs covered by the GDNs). </w:t>
      </w:r>
      <w:r>
        <w:rPr>
          <w:rFonts w:ascii="Open Sans" w:eastAsia="Open Sans" w:hAnsi="Open Sans" w:cs="Open Sans"/>
          <w:color w:val="434343"/>
        </w:rPr>
        <w:t>Under</w:t>
      </w:r>
      <w:r w:rsidRPr="00A46FCA">
        <w:rPr>
          <w:rFonts w:ascii="Open Sans" w:eastAsia="Open Sans" w:hAnsi="Open Sans" w:cs="Open Sans"/>
          <w:color w:val="434343"/>
        </w:rPr>
        <w:t xml:space="preserve"> these conditions, the development of Future Biogas</w:t>
      </w:r>
      <w:r>
        <w:rPr>
          <w:rFonts w:ascii="Open Sans" w:eastAsia="Open Sans" w:hAnsi="Open Sans" w:cs="Open Sans"/>
          <w:color w:val="434343"/>
        </w:rPr>
        <w:t>’</w:t>
      </w:r>
      <w:r w:rsidRPr="00A46FCA">
        <w:rPr>
          <w:rFonts w:ascii="Open Sans" w:eastAsia="Open Sans" w:hAnsi="Open Sans" w:cs="Open Sans"/>
          <w:color w:val="434343"/>
        </w:rPr>
        <w:t xml:space="preserve"> new plants could be blocked.     Again, this proposed methodology will be redundant if it fails to address connection barriers specific to large-scale biomethane plants.  </w:t>
      </w:r>
    </w:p>
    <w:p w14:paraId="34E3C9C1" w14:textId="6DC771B4" w:rsidR="002F166B" w:rsidRDefault="002F166B" w:rsidP="00EE7AE9">
      <w:pPr>
        <w:pStyle w:val="ListParagraph"/>
        <w:spacing w:before="120" w:after="120" w:line="240" w:lineRule="auto"/>
        <w:ind w:left="0"/>
        <w:rPr>
          <w:rFonts w:ascii="Open Sans" w:eastAsia="Open Sans" w:hAnsi="Open Sans" w:cs="Open Sans"/>
          <w:b/>
          <w:bCs/>
          <w:color w:val="2F5496"/>
        </w:rPr>
      </w:pPr>
    </w:p>
    <w:p w14:paraId="21EDAF40" w14:textId="4A5B8049" w:rsidR="00DB4BC3" w:rsidRDefault="281A8288" w:rsidP="00EE7AE9">
      <w:pPr>
        <w:pStyle w:val="ListParagraph"/>
        <w:numPr>
          <w:ilvl w:val="0"/>
          <w:numId w:val="14"/>
        </w:numPr>
        <w:spacing w:before="120" w:after="120" w:line="240" w:lineRule="auto"/>
        <w:rPr>
          <w:rFonts w:ascii="Open Sans" w:eastAsia="Open Sans" w:hAnsi="Open Sans" w:cs="Open Sans"/>
          <w:b/>
          <w:bCs/>
          <w:color w:val="2F5496"/>
        </w:rPr>
      </w:pPr>
      <w:r w:rsidRPr="009B74CA">
        <w:rPr>
          <w:rFonts w:ascii="Open Sans" w:eastAsia="Open Sans" w:hAnsi="Open Sans" w:cs="Open Sans"/>
          <w:b/>
          <w:bCs/>
          <w:color w:val="2F5496"/>
        </w:rPr>
        <w:t xml:space="preserve">Are there any other unintended consequences that you foresee with this approach that we have not already considered? </w:t>
      </w:r>
    </w:p>
    <w:p w14:paraId="488FE8C1" w14:textId="4DD3DF92" w:rsidR="00EA4CEF" w:rsidRPr="00EA4CEF" w:rsidRDefault="00EA4CEF" w:rsidP="00EE7AE9">
      <w:pPr>
        <w:spacing w:before="120" w:after="120" w:line="240" w:lineRule="auto"/>
        <w:rPr>
          <w:rFonts w:ascii="Open Sans" w:eastAsia="Open Sans" w:hAnsi="Open Sans" w:cs="Open Sans"/>
          <w:color w:val="434343"/>
        </w:rPr>
      </w:pPr>
      <w:r w:rsidRPr="00EA4CEF">
        <w:rPr>
          <w:rFonts w:ascii="Open Sans" w:eastAsia="Open Sans" w:hAnsi="Open Sans" w:cs="Open Sans"/>
          <w:color w:val="434343"/>
        </w:rPr>
        <w:t xml:space="preserve">See </w:t>
      </w:r>
      <w:r>
        <w:rPr>
          <w:rFonts w:ascii="Open Sans" w:eastAsia="Open Sans" w:hAnsi="Open Sans" w:cs="Open Sans"/>
          <w:color w:val="434343"/>
        </w:rPr>
        <w:t xml:space="preserve">our response to </w:t>
      </w:r>
      <w:r w:rsidRPr="00EA4CEF">
        <w:rPr>
          <w:rFonts w:ascii="Open Sans" w:eastAsia="Open Sans" w:hAnsi="Open Sans" w:cs="Open Sans"/>
          <w:color w:val="434343"/>
        </w:rPr>
        <w:t xml:space="preserve">Q4 – risk of only supporting the connection of smaller biomethane plants, which doesn’t reflect the current market trends showing increasingly larger biomethane sites. </w:t>
      </w:r>
    </w:p>
    <w:p w14:paraId="49AFD90B" w14:textId="2701F73B" w:rsidR="00EA4CEF" w:rsidRDefault="00EA4CEF" w:rsidP="00A23B1D">
      <w:pPr>
        <w:tabs>
          <w:tab w:val="left" w:pos="8016"/>
        </w:tabs>
        <w:spacing w:before="120" w:after="120" w:line="240" w:lineRule="auto"/>
        <w:rPr>
          <w:rFonts w:ascii="Open Sans" w:eastAsia="Open Sans" w:hAnsi="Open Sans" w:cs="Open Sans"/>
          <w:color w:val="434343"/>
        </w:rPr>
      </w:pPr>
      <w:r w:rsidRPr="00EA4CEF">
        <w:rPr>
          <w:rFonts w:ascii="Open Sans" w:eastAsia="Open Sans" w:hAnsi="Open Sans" w:cs="Open Sans"/>
          <w:color w:val="434343"/>
        </w:rPr>
        <w:t xml:space="preserve">We would also recommend that the cost socialisation </w:t>
      </w:r>
      <w:r>
        <w:rPr>
          <w:rFonts w:ascii="Open Sans" w:eastAsia="Open Sans" w:hAnsi="Open Sans" w:cs="Open Sans"/>
          <w:color w:val="434343"/>
        </w:rPr>
        <w:t>is applied</w:t>
      </w:r>
      <w:r w:rsidRPr="00EA4CEF">
        <w:rPr>
          <w:rFonts w:ascii="Open Sans" w:eastAsia="Open Sans" w:hAnsi="Open Sans" w:cs="Open Sans"/>
          <w:color w:val="434343"/>
        </w:rPr>
        <w:t xml:space="preserve"> to existing plants so that they can inject all summer and not flare</w:t>
      </w:r>
      <w:r>
        <w:rPr>
          <w:rFonts w:ascii="Open Sans" w:eastAsia="Open Sans" w:hAnsi="Open Sans" w:cs="Open Sans"/>
          <w:color w:val="434343"/>
        </w:rPr>
        <w:t xml:space="preserve"> gas. </w:t>
      </w:r>
      <w:r w:rsidR="00353B90">
        <w:rPr>
          <w:rFonts w:ascii="Open Sans" w:eastAsia="Open Sans" w:hAnsi="Open Sans" w:cs="Open Sans"/>
          <w:color w:val="434343"/>
        </w:rPr>
        <w:t>Members who are operating existing plants have said they</w:t>
      </w:r>
      <w:r w:rsidR="00353B90" w:rsidRPr="00886444">
        <w:rPr>
          <w:rFonts w:ascii="Open Sans" w:eastAsia="Open Sans" w:hAnsi="Open Sans" w:cs="Open Sans"/>
          <w:color w:val="434343"/>
        </w:rPr>
        <w:t xml:space="preserve"> have restricted flow issues at some </w:t>
      </w:r>
      <w:r w:rsidR="00353B90">
        <w:rPr>
          <w:rFonts w:ascii="Open Sans" w:eastAsia="Open Sans" w:hAnsi="Open Sans" w:cs="Open Sans"/>
          <w:color w:val="434343"/>
        </w:rPr>
        <w:t xml:space="preserve">of these </w:t>
      </w:r>
      <w:r w:rsidR="00353B90" w:rsidRPr="00886444">
        <w:rPr>
          <w:rFonts w:ascii="Open Sans" w:eastAsia="Open Sans" w:hAnsi="Open Sans" w:cs="Open Sans"/>
          <w:color w:val="434343"/>
        </w:rPr>
        <w:t>plants and alleviating these would help drive biomethane injection.</w:t>
      </w:r>
    </w:p>
    <w:p w14:paraId="11765978" w14:textId="77777777" w:rsidR="00A23B1D" w:rsidRPr="00EA4CEF" w:rsidRDefault="00A23B1D" w:rsidP="00A23B1D">
      <w:pPr>
        <w:tabs>
          <w:tab w:val="left" w:pos="8016"/>
        </w:tabs>
        <w:spacing w:before="120" w:after="120" w:line="240" w:lineRule="auto"/>
        <w:rPr>
          <w:rFonts w:ascii="Open Sans" w:eastAsia="Open Sans" w:hAnsi="Open Sans" w:cs="Open Sans"/>
          <w:b/>
          <w:bCs/>
          <w:color w:val="2F5496"/>
        </w:rPr>
      </w:pPr>
    </w:p>
    <w:p w14:paraId="549AB2AB" w14:textId="4983F2AD" w:rsidR="002F166B" w:rsidRPr="009B74CA" w:rsidRDefault="281A8288" w:rsidP="00EE7AE9">
      <w:pPr>
        <w:pStyle w:val="ListParagraph"/>
        <w:numPr>
          <w:ilvl w:val="0"/>
          <w:numId w:val="14"/>
        </w:numPr>
        <w:spacing w:before="120" w:after="120" w:line="240" w:lineRule="auto"/>
        <w:rPr>
          <w:rFonts w:ascii="Open Sans" w:eastAsia="Open Sans" w:hAnsi="Open Sans" w:cs="Open Sans"/>
          <w:b/>
          <w:bCs/>
          <w:color w:val="2F5496"/>
        </w:rPr>
      </w:pPr>
      <w:r w:rsidRPr="009B74CA">
        <w:rPr>
          <w:rFonts w:ascii="Open Sans" w:eastAsia="Open Sans" w:hAnsi="Open Sans" w:cs="Open Sans"/>
          <w:b/>
          <w:bCs/>
          <w:color w:val="2F5496"/>
        </w:rPr>
        <w:t xml:space="preserve">Are there any significant implications of the proposed changes that we have not identified? What impact do you think these could have and how could they impact our preferred option? a. Explain your reasoning b. Supporting evidence </w:t>
      </w:r>
    </w:p>
    <w:p w14:paraId="562C64E4" w14:textId="370CD20B" w:rsidR="008C460F" w:rsidRDefault="00B96D4E"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t xml:space="preserve">There is also a risk of extra delays to </w:t>
      </w:r>
      <w:r w:rsidR="00725855">
        <w:rPr>
          <w:rFonts w:ascii="Open Sans" w:eastAsia="Open Sans" w:hAnsi="Open Sans" w:cs="Open Sans"/>
          <w:color w:val="434343"/>
        </w:rPr>
        <w:t xml:space="preserve">grid reinforcement and grid connection work. If </w:t>
      </w:r>
      <w:r w:rsidR="006769C9">
        <w:rPr>
          <w:rFonts w:ascii="Open Sans" w:eastAsia="Open Sans" w:hAnsi="Open Sans" w:cs="Open Sans"/>
          <w:color w:val="434343"/>
        </w:rPr>
        <w:t xml:space="preserve">the proposal is </w:t>
      </w:r>
      <w:r w:rsidR="00725855">
        <w:rPr>
          <w:rFonts w:ascii="Open Sans" w:eastAsia="Open Sans" w:hAnsi="Open Sans" w:cs="Open Sans"/>
          <w:color w:val="434343"/>
        </w:rPr>
        <w:t>approved</w:t>
      </w:r>
      <w:r w:rsidR="00611D6A">
        <w:rPr>
          <w:rFonts w:ascii="Open Sans" w:eastAsia="Open Sans" w:hAnsi="Open Sans" w:cs="Open Sans"/>
          <w:color w:val="434343"/>
        </w:rPr>
        <w:t>, there must be an efficient process in place so that reinforcement work can be assessed, costed</w:t>
      </w:r>
      <w:r w:rsidR="00CA58E3">
        <w:rPr>
          <w:rFonts w:ascii="Open Sans" w:eastAsia="Open Sans" w:hAnsi="Open Sans" w:cs="Open Sans"/>
          <w:color w:val="434343"/>
        </w:rPr>
        <w:t xml:space="preserve"> and the</w:t>
      </w:r>
      <w:r w:rsidR="000038BF">
        <w:rPr>
          <w:rFonts w:ascii="Open Sans" w:eastAsia="Open Sans" w:hAnsi="Open Sans" w:cs="Open Sans"/>
          <w:color w:val="434343"/>
        </w:rPr>
        <w:t>n</w:t>
      </w:r>
      <w:r w:rsidR="00CA58E3">
        <w:rPr>
          <w:rFonts w:ascii="Open Sans" w:eastAsia="Open Sans" w:hAnsi="Open Sans" w:cs="Open Sans"/>
          <w:color w:val="434343"/>
        </w:rPr>
        <w:t xml:space="preserve"> approved rapidly. </w:t>
      </w:r>
      <w:r w:rsidR="00486D4D">
        <w:rPr>
          <w:rFonts w:ascii="Open Sans" w:eastAsia="Open Sans" w:hAnsi="Open Sans" w:cs="Open Sans"/>
          <w:color w:val="434343"/>
        </w:rPr>
        <w:t>Inefficiencies and slow response could significantly delay a project</w:t>
      </w:r>
      <w:r w:rsidR="000A3A27">
        <w:rPr>
          <w:rFonts w:ascii="Open Sans" w:eastAsia="Open Sans" w:hAnsi="Open Sans" w:cs="Open Sans"/>
          <w:color w:val="434343"/>
        </w:rPr>
        <w:t xml:space="preserve"> and have knock-on impacts on meeting GGSS (or other) deadlines. </w:t>
      </w:r>
    </w:p>
    <w:p w14:paraId="43F0C018" w14:textId="682416AA" w:rsidR="00623C9A" w:rsidRDefault="00987052"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lastRenderedPageBreak/>
        <w:t xml:space="preserve">Similarly, once </w:t>
      </w:r>
      <w:r w:rsidR="00C96C8C">
        <w:rPr>
          <w:rFonts w:ascii="Open Sans" w:eastAsia="Open Sans" w:hAnsi="Open Sans" w:cs="Open Sans"/>
          <w:color w:val="434343"/>
        </w:rPr>
        <w:t>reinforcement work has been approved</w:t>
      </w:r>
      <w:r w:rsidR="00EA4CEF">
        <w:rPr>
          <w:rFonts w:ascii="Open Sans" w:eastAsia="Open Sans" w:hAnsi="Open Sans" w:cs="Open Sans"/>
          <w:color w:val="434343"/>
        </w:rPr>
        <w:t xml:space="preserve">, </w:t>
      </w:r>
      <w:r w:rsidR="00C96C8C">
        <w:rPr>
          <w:rFonts w:ascii="Open Sans" w:eastAsia="Open Sans" w:hAnsi="Open Sans" w:cs="Open Sans"/>
          <w:color w:val="434343"/>
        </w:rPr>
        <w:t xml:space="preserve">the GDNs must be able to </w:t>
      </w:r>
      <w:r w:rsidR="00DF7628">
        <w:rPr>
          <w:rFonts w:ascii="Open Sans" w:eastAsia="Open Sans" w:hAnsi="Open Sans" w:cs="Open Sans"/>
          <w:color w:val="434343"/>
        </w:rPr>
        <w:t>complete</w:t>
      </w:r>
      <w:r w:rsidR="00C96C8C">
        <w:rPr>
          <w:rFonts w:ascii="Open Sans" w:eastAsia="Open Sans" w:hAnsi="Open Sans" w:cs="Open Sans"/>
          <w:color w:val="434343"/>
        </w:rPr>
        <w:t xml:space="preserve"> </w:t>
      </w:r>
      <w:r w:rsidR="00F241AA">
        <w:rPr>
          <w:rFonts w:ascii="Open Sans" w:eastAsia="Open Sans" w:hAnsi="Open Sans" w:cs="Open Sans"/>
          <w:color w:val="434343"/>
        </w:rPr>
        <w:t xml:space="preserve">the work without delay. </w:t>
      </w:r>
      <w:r w:rsidR="00FD2CA4">
        <w:rPr>
          <w:rFonts w:ascii="Open Sans" w:eastAsia="Open Sans" w:hAnsi="Open Sans" w:cs="Open Sans"/>
          <w:color w:val="434343"/>
        </w:rPr>
        <w:t xml:space="preserve">We suggest that the GDNs, where possible, should </w:t>
      </w:r>
      <w:r w:rsidR="006E39C1">
        <w:rPr>
          <w:rFonts w:ascii="Open Sans" w:eastAsia="Open Sans" w:hAnsi="Open Sans" w:cs="Open Sans"/>
          <w:color w:val="434343"/>
        </w:rPr>
        <w:t xml:space="preserve">standardise the process so that work can be completed quickly and not hold up new biomethane projects. </w:t>
      </w:r>
      <w:r w:rsidR="0085343A">
        <w:rPr>
          <w:rFonts w:ascii="Open Sans" w:eastAsia="Open Sans" w:hAnsi="Open Sans" w:cs="Open Sans"/>
          <w:color w:val="434343"/>
        </w:rPr>
        <w:t>This may include a dedicated delivery team</w:t>
      </w:r>
      <w:r w:rsidR="00684A84">
        <w:rPr>
          <w:rFonts w:ascii="Open Sans" w:eastAsia="Open Sans" w:hAnsi="Open Sans" w:cs="Open Sans"/>
          <w:color w:val="434343"/>
        </w:rPr>
        <w:t xml:space="preserve"> and </w:t>
      </w:r>
      <w:r w:rsidR="0085343A">
        <w:rPr>
          <w:rFonts w:ascii="Open Sans" w:eastAsia="Open Sans" w:hAnsi="Open Sans" w:cs="Open Sans"/>
          <w:color w:val="434343"/>
        </w:rPr>
        <w:t>standard design</w:t>
      </w:r>
      <w:r w:rsidR="00EC0214">
        <w:rPr>
          <w:rFonts w:ascii="Open Sans" w:eastAsia="Open Sans" w:hAnsi="Open Sans" w:cs="Open Sans"/>
          <w:color w:val="434343"/>
        </w:rPr>
        <w:t xml:space="preserve"> and</w:t>
      </w:r>
      <w:r w:rsidR="00684A84">
        <w:rPr>
          <w:rFonts w:ascii="Open Sans" w:eastAsia="Open Sans" w:hAnsi="Open Sans" w:cs="Open Sans"/>
          <w:color w:val="434343"/>
        </w:rPr>
        <w:t xml:space="preserve"> infrastructure. </w:t>
      </w:r>
    </w:p>
    <w:p w14:paraId="4DC52096" w14:textId="77777777" w:rsidR="002F166B" w:rsidRPr="002F166B" w:rsidRDefault="002F166B" w:rsidP="00EE7AE9">
      <w:pPr>
        <w:pStyle w:val="ListParagraph"/>
        <w:spacing w:before="120" w:after="120" w:line="240" w:lineRule="auto"/>
        <w:rPr>
          <w:rFonts w:ascii="Open Sans" w:eastAsia="Open Sans" w:hAnsi="Open Sans" w:cs="Open Sans"/>
          <w:b/>
          <w:color w:val="2F5496"/>
        </w:rPr>
      </w:pPr>
    </w:p>
    <w:p w14:paraId="44776D46" w14:textId="30022318" w:rsidR="002F166B" w:rsidRPr="009B74CA" w:rsidRDefault="281A8288" w:rsidP="00EE7AE9">
      <w:pPr>
        <w:pStyle w:val="ListParagraph"/>
        <w:numPr>
          <w:ilvl w:val="0"/>
          <w:numId w:val="14"/>
        </w:numPr>
        <w:spacing w:before="120" w:after="120" w:line="240" w:lineRule="auto"/>
        <w:rPr>
          <w:rFonts w:ascii="Open Sans" w:eastAsia="Open Sans" w:hAnsi="Open Sans" w:cs="Open Sans"/>
          <w:b/>
          <w:color w:val="2F5496"/>
        </w:rPr>
      </w:pPr>
      <w:r w:rsidRPr="009B74CA">
        <w:rPr>
          <w:rFonts w:ascii="Open Sans" w:eastAsia="Open Sans" w:hAnsi="Open Sans" w:cs="Open Sans"/>
          <w:b/>
          <w:bCs/>
          <w:color w:val="2F5496"/>
        </w:rPr>
        <w:t xml:space="preserve">Do you agree with the proposed implementation approach, or have you identified any additional steps that would need to be undertaken to implement the preferred option? a. Supporting evidence </w:t>
      </w:r>
    </w:p>
    <w:p w14:paraId="77D613EE" w14:textId="77777777" w:rsidR="006E64C3" w:rsidRPr="006E64C3" w:rsidRDefault="006E64C3" w:rsidP="00EE7AE9">
      <w:pPr>
        <w:spacing w:before="120" w:after="120" w:line="240" w:lineRule="auto"/>
        <w:rPr>
          <w:rFonts w:ascii="Open Sans" w:eastAsia="Open Sans" w:hAnsi="Open Sans" w:cs="Open Sans"/>
          <w:color w:val="434343"/>
        </w:rPr>
      </w:pPr>
      <w:r w:rsidRPr="006E64C3">
        <w:rPr>
          <w:rFonts w:ascii="Open Sans" w:eastAsia="Open Sans" w:hAnsi="Open Sans" w:cs="Open Sans"/>
          <w:color w:val="434343"/>
        </w:rPr>
        <w:t xml:space="preserve">Connection agreements must prioritise the production and use of biomethane. While grid reinforcements can address concerns over maintaining flow rates and pressure, the GDN’s should reassess their approach to connection agreements, increasing the minimum guaranteed injection rates and accepting some liability for extensive periods preventing injection. The latter would help share operational risk, demonstrating to developers than both parties are motivated to maximise biomethane production.  </w:t>
      </w:r>
    </w:p>
    <w:p w14:paraId="4BB0E8D6" w14:textId="782381ED" w:rsidR="002F166B" w:rsidRDefault="281A8288" w:rsidP="00EE7AE9">
      <w:pPr>
        <w:pStyle w:val="ListParagraph"/>
        <w:numPr>
          <w:ilvl w:val="0"/>
          <w:numId w:val="14"/>
        </w:numPr>
        <w:spacing w:before="120" w:after="120" w:line="240" w:lineRule="auto"/>
        <w:rPr>
          <w:rFonts w:ascii="Open Sans" w:eastAsia="Open Sans" w:hAnsi="Open Sans" w:cs="Open Sans"/>
          <w:b/>
          <w:bCs/>
          <w:color w:val="2F5496"/>
        </w:rPr>
      </w:pPr>
      <w:r w:rsidRPr="74C8A615">
        <w:rPr>
          <w:rFonts w:ascii="Open Sans" w:eastAsia="Open Sans" w:hAnsi="Open Sans" w:cs="Open Sans"/>
          <w:b/>
          <w:bCs/>
          <w:color w:val="2F5496"/>
        </w:rPr>
        <w:t xml:space="preserve">Do you think there is value in initiating a broader review across industry at this time into distribution charges that could address both entry and exit? </w:t>
      </w:r>
    </w:p>
    <w:p w14:paraId="6EBFA953" w14:textId="5FEE7E8E" w:rsidR="00157A34" w:rsidRPr="00157A34" w:rsidRDefault="00B065C8" w:rsidP="00EE7AE9">
      <w:pPr>
        <w:spacing w:before="120" w:after="120" w:line="240" w:lineRule="auto"/>
        <w:rPr>
          <w:rFonts w:ascii="Open Sans" w:eastAsia="Open Sans" w:hAnsi="Open Sans" w:cs="Open Sans"/>
          <w:color w:val="434343"/>
        </w:rPr>
      </w:pPr>
      <w:r>
        <w:rPr>
          <w:rFonts w:ascii="Open Sans" w:eastAsia="Open Sans" w:hAnsi="Open Sans" w:cs="Open Sans"/>
          <w:color w:val="434343"/>
        </w:rPr>
        <w:t>We</w:t>
      </w:r>
      <w:r w:rsidR="00157A34" w:rsidRPr="00157A34">
        <w:rPr>
          <w:rFonts w:ascii="Open Sans" w:eastAsia="Open Sans" w:hAnsi="Open Sans" w:cs="Open Sans"/>
          <w:color w:val="434343"/>
        </w:rPr>
        <w:t xml:space="preserve"> would recommend that the focus of the review is kept narrow. The broader the review the more time it takes </w:t>
      </w:r>
      <w:r>
        <w:rPr>
          <w:rFonts w:ascii="Open Sans" w:eastAsia="Open Sans" w:hAnsi="Open Sans" w:cs="Open Sans"/>
          <w:color w:val="434343"/>
        </w:rPr>
        <w:t xml:space="preserve">longer </w:t>
      </w:r>
      <w:r w:rsidR="00157A34" w:rsidRPr="00157A34">
        <w:rPr>
          <w:rFonts w:ascii="Open Sans" w:eastAsia="Open Sans" w:hAnsi="Open Sans" w:cs="Open Sans"/>
          <w:color w:val="434343"/>
        </w:rPr>
        <w:t xml:space="preserve">and the less likely we are to get a </w:t>
      </w:r>
      <w:r>
        <w:rPr>
          <w:rFonts w:ascii="Open Sans" w:eastAsia="Open Sans" w:hAnsi="Open Sans" w:cs="Open Sans"/>
          <w:color w:val="434343"/>
        </w:rPr>
        <w:t xml:space="preserve">swift </w:t>
      </w:r>
      <w:r w:rsidR="00157A34" w:rsidRPr="00157A34">
        <w:rPr>
          <w:rFonts w:ascii="Open Sans" w:eastAsia="Open Sans" w:hAnsi="Open Sans" w:cs="Open Sans"/>
          <w:color w:val="434343"/>
        </w:rPr>
        <w:t xml:space="preserve">change. </w:t>
      </w:r>
    </w:p>
    <w:p w14:paraId="0DD232AF" w14:textId="77777777" w:rsidR="005602B7" w:rsidRDefault="005602B7" w:rsidP="00EE7AE9">
      <w:pPr>
        <w:pStyle w:val="ListParagraph"/>
        <w:spacing w:before="120" w:after="120" w:line="240" w:lineRule="auto"/>
        <w:ind w:left="426"/>
        <w:rPr>
          <w:rFonts w:ascii="Open Sans" w:eastAsia="Open Sans" w:hAnsi="Open Sans" w:cs="Open Sans"/>
          <w:b/>
          <w:color w:val="2F5496"/>
        </w:rPr>
      </w:pPr>
    </w:p>
    <w:p w14:paraId="7BA7C2F3" w14:textId="5D45C2CB" w:rsidR="00333DFE" w:rsidRDefault="281A8288" w:rsidP="00EE7AE9">
      <w:pPr>
        <w:pStyle w:val="ListParagraph"/>
        <w:numPr>
          <w:ilvl w:val="0"/>
          <w:numId w:val="14"/>
        </w:numPr>
        <w:spacing w:before="120" w:after="120" w:line="240" w:lineRule="auto"/>
        <w:rPr>
          <w:rFonts w:ascii="Open Sans" w:eastAsia="Open Sans" w:hAnsi="Open Sans" w:cs="Open Sans"/>
          <w:b/>
          <w:color w:val="2F5496"/>
        </w:rPr>
      </w:pPr>
      <w:r w:rsidRPr="74C8A615">
        <w:rPr>
          <w:rFonts w:ascii="Open Sans" w:eastAsia="Open Sans" w:hAnsi="Open Sans" w:cs="Open Sans"/>
          <w:b/>
          <w:bCs/>
          <w:color w:val="2F5496"/>
        </w:rPr>
        <w:t>Do you have any other information relevant to the subject matter of this consultation that we should consider in developing our proposal for Ofgem?</w:t>
      </w:r>
    </w:p>
    <w:p w14:paraId="584ECAAC" w14:textId="68C782B9" w:rsidR="0076334F" w:rsidRDefault="006E2B0D" w:rsidP="00EE7AE9">
      <w:pPr>
        <w:tabs>
          <w:tab w:val="left" w:pos="8016"/>
        </w:tabs>
        <w:spacing w:before="120" w:after="120" w:line="240" w:lineRule="auto"/>
        <w:rPr>
          <w:rFonts w:ascii="Open Sans" w:eastAsia="Open Sans" w:hAnsi="Open Sans" w:cs="Open Sans"/>
          <w:color w:val="434343"/>
        </w:rPr>
      </w:pPr>
      <w:r>
        <w:rPr>
          <w:rFonts w:ascii="Open Sans" w:eastAsia="Open Sans" w:hAnsi="Open Sans" w:cs="Open Sans"/>
          <w:color w:val="434343"/>
        </w:rPr>
        <w:t>As highlighted above, t</w:t>
      </w:r>
      <w:r w:rsidR="0076334F" w:rsidRPr="0076334F">
        <w:rPr>
          <w:rFonts w:ascii="Open Sans" w:eastAsia="Open Sans" w:hAnsi="Open Sans" w:cs="Open Sans"/>
          <w:color w:val="434343"/>
        </w:rPr>
        <w:t xml:space="preserve">he consultation proposal must establish timelines for project delivery. Plants applying for the GGSS are set strict deadlines to start injecting biomethane into the grid. </w:t>
      </w:r>
      <w:r w:rsidR="00353B90">
        <w:rPr>
          <w:rFonts w:ascii="Open Sans" w:eastAsia="Open Sans" w:hAnsi="Open Sans" w:cs="Open Sans"/>
          <w:color w:val="434343"/>
        </w:rPr>
        <w:t>As highlighted above, s</w:t>
      </w:r>
      <w:r w:rsidR="0076334F" w:rsidRPr="0076334F">
        <w:rPr>
          <w:rFonts w:ascii="Open Sans" w:eastAsia="Open Sans" w:hAnsi="Open Sans" w:cs="Open Sans"/>
          <w:color w:val="434343"/>
        </w:rPr>
        <w:t xml:space="preserve">ignificant delays to grid reinforcement could potentially risk </w:t>
      </w:r>
      <w:r w:rsidR="00184B7A">
        <w:rPr>
          <w:rFonts w:ascii="Open Sans" w:eastAsia="Open Sans" w:hAnsi="Open Sans" w:cs="Open Sans"/>
          <w:color w:val="434343"/>
        </w:rPr>
        <w:t>accreditation under the Green Gas Support scheme</w:t>
      </w:r>
      <w:r w:rsidR="0076334F" w:rsidRPr="0076334F">
        <w:rPr>
          <w:rFonts w:ascii="Open Sans" w:eastAsia="Open Sans" w:hAnsi="Open Sans" w:cs="Open Sans"/>
          <w:color w:val="434343"/>
        </w:rPr>
        <w:t xml:space="preserve">, potentially </w:t>
      </w:r>
      <w:r w:rsidR="00184B7A">
        <w:rPr>
          <w:rFonts w:ascii="Open Sans" w:eastAsia="Open Sans" w:hAnsi="Open Sans" w:cs="Open Sans"/>
          <w:color w:val="434343"/>
        </w:rPr>
        <w:t xml:space="preserve">slowing or stalling </w:t>
      </w:r>
      <w:r w:rsidR="0076334F" w:rsidRPr="0076334F">
        <w:rPr>
          <w:rFonts w:ascii="Open Sans" w:eastAsia="Open Sans" w:hAnsi="Open Sans" w:cs="Open Sans"/>
          <w:color w:val="434343"/>
        </w:rPr>
        <w:t xml:space="preserve">the project’s development. </w:t>
      </w:r>
    </w:p>
    <w:p w14:paraId="1F2E83BA" w14:textId="21A18D7D" w:rsidR="007E49B2" w:rsidRPr="009E6679" w:rsidRDefault="006E2B0D" w:rsidP="00EE7AE9">
      <w:pPr>
        <w:tabs>
          <w:tab w:val="left" w:pos="8016"/>
        </w:tabs>
        <w:spacing w:before="120" w:after="120" w:line="240" w:lineRule="auto"/>
        <w:rPr>
          <w:rFonts w:ascii="Open Sans" w:eastAsia="Open Sans" w:hAnsi="Open Sans" w:cs="Open Sans"/>
          <w:color w:val="434343"/>
        </w:rPr>
      </w:pPr>
      <w:r>
        <w:rPr>
          <w:rFonts w:ascii="Open Sans" w:eastAsia="Open Sans" w:hAnsi="Open Sans" w:cs="Open Sans"/>
          <w:color w:val="434343"/>
        </w:rPr>
        <w:t xml:space="preserve">It </w:t>
      </w:r>
      <w:r w:rsidR="007E49B2" w:rsidRPr="009E6679">
        <w:rPr>
          <w:rFonts w:ascii="Open Sans" w:eastAsia="Open Sans" w:hAnsi="Open Sans" w:cs="Open Sans"/>
          <w:color w:val="434343"/>
        </w:rPr>
        <w:t xml:space="preserve">is </w:t>
      </w:r>
      <w:r>
        <w:rPr>
          <w:rFonts w:ascii="Open Sans" w:eastAsia="Open Sans" w:hAnsi="Open Sans" w:cs="Open Sans"/>
          <w:color w:val="434343"/>
        </w:rPr>
        <w:t xml:space="preserve">also </w:t>
      </w:r>
      <w:r w:rsidR="007E49B2" w:rsidRPr="009E6679">
        <w:rPr>
          <w:rFonts w:ascii="Open Sans" w:eastAsia="Open Sans" w:hAnsi="Open Sans" w:cs="Open Sans"/>
          <w:color w:val="434343"/>
        </w:rPr>
        <w:t xml:space="preserve">not clear from the consultation proposal when money will become available during a connection application. For Future Biogas’ experience, engineering designs for grid reinforcement can cost upwards of £100,000. By transitioning to a shallower connection boundary, this cost should fall within the socialised support. However, the work must be completed prior to the finalisation of a contract agreement, as the engineering plans will determine the total reinforcement costs and final connection offer. Only if both aspects are agreeable the project </w:t>
      </w:r>
      <w:r>
        <w:rPr>
          <w:rFonts w:ascii="Open Sans" w:eastAsia="Open Sans" w:hAnsi="Open Sans" w:cs="Open Sans"/>
          <w:color w:val="434343"/>
        </w:rPr>
        <w:t xml:space="preserve">will </w:t>
      </w:r>
      <w:r w:rsidR="007E49B2" w:rsidRPr="009E6679">
        <w:rPr>
          <w:rFonts w:ascii="Open Sans" w:eastAsia="Open Sans" w:hAnsi="Open Sans" w:cs="Open Sans"/>
          <w:color w:val="434343"/>
        </w:rPr>
        <w:t>continue its development</w:t>
      </w:r>
      <w:r>
        <w:rPr>
          <w:rFonts w:ascii="Open Sans" w:eastAsia="Open Sans" w:hAnsi="Open Sans" w:cs="Open Sans"/>
          <w:color w:val="434343"/>
        </w:rPr>
        <w:t xml:space="preserve">. </w:t>
      </w:r>
    </w:p>
    <w:p w14:paraId="0EEDD39F" w14:textId="77777777" w:rsidR="007E49B2" w:rsidRPr="006157FA" w:rsidRDefault="007E49B2" w:rsidP="00EE7AE9">
      <w:pPr>
        <w:tabs>
          <w:tab w:val="left" w:pos="8016"/>
        </w:tabs>
        <w:spacing w:before="120" w:after="120" w:line="240" w:lineRule="auto"/>
        <w:rPr>
          <w:rFonts w:ascii="Open Sans" w:eastAsia="Open Sans" w:hAnsi="Open Sans" w:cs="Open Sans"/>
          <w:color w:val="434343"/>
        </w:rPr>
      </w:pPr>
      <w:r w:rsidRPr="006157FA">
        <w:rPr>
          <w:rFonts w:ascii="Open Sans" w:eastAsia="Open Sans" w:hAnsi="Open Sans" w:cs="Open Sans"/>
          <w:color w:val="434343"/>
        </w:rPr>
        <w:t xml:space="preserve">The GDNs must account for costs incurred from connection proposals. Note that the engineering work or consultancy can provide GDN’s with valuable cost-benefit analysis on network modernisation. Therefore, the costs incurred from this preliminary work are not wasted if a new biomethane plant does not progress. </w:t>
      </w:r>
    </w:p>
    <w:p w14:paraId="5764C922" w14:textId="77777777" w:rsidR="007E49B2" w:rsidRPr="006157FA" w:rsidRDefault="007E49B2" w:rsidP="00EE7AE9">
      <w:pPr>
        <w:tabs>
          <w:tab w:val="left" w:pos="8016"/>
        </w:tabs>
        <w:spacing w:before="120" w:after="120" w:line="240" w:lineRule="auto"/>
        <w:rPr>
          <w:rFonts w:ascii="Open Sans" w:eastAsia="Open Sans" w:hAnsi="Open Sans" w:cs="Open Sans"/>
          <w:color w:val="434343"/>
        </w:rPr>
      </w:pPr>
      <w:r w:rsidRPr="006157FA">
        <w:rPr>
          <w:rFonts w:ascii="Open Sans" w:eastAsia="Open Sans" w:hAnsi="Open Sans" w:cs="Open Sans"/>
          <w:color w:val="434343"/>
        </w:rPr>
        <w:t xml:space="preserve">GDNs and connectees must agree on completion date and this timeline is fed into construction costs. The development of new biomethane capacity should not be unfairly impacted by avoidable delays, indecision, and overzealous cost-saving measures from the GDNs or other external parties. </w:t>
      </w:r>
    </w:p>
    <w:p w14:paraId="174E2D03" w14:textId="77777777" w:rsidR="007E49B2" w:rsidRPr="006157FA" w:rsidRDefault="007E49B2" w:rsidP="00EE7AE9">
      <w:pPr>
        <w:tabs>
          <w:tab w:val="left" w:pos="8016"/>
        </w:tabs>
        <w:spacing w:before="120" w:after="120" w:line="240" w:lineRule="auto"/>
        <w:rPr>
          <w:rFonts w:ascii="Open Sans" w:eastAsia="Open Sans" w:hAnsi="Open Sans" w:cs="Open Sans"/>
          <w:color w:val="434343"/>
        </w:rPr>
      </w:pPr>
      <w:r w:rsidRPr="006157FA">
        <w:rPr>
          <w:rFonts w:ascii="Open Sans" w:eastAsia="Open Sans" w:hAnsi="Open Sans" w:cs="Open Sans"/>
          <w:color w:val="434343"/>
        </w:rPr>
        <w:lastRenderedPageBreak/>
        <w:t xml:space="preserve">Unavoidable delays to grid reinforcement should be communicated to Ofgem from the GDNs, ensuring that GGSS deadlines are appropriately extended. </w:t>
      </w:r>
    </w:p>
    <w:p w14:paraId="63024856" w14:textId="39034353" w:rsidR="006157FA" w:rsidRDefault="006E2B0D" w:rsidP="00EE7AE9">
      <w:pPr>
        <w:tabs>
          <w:tab w:val="left" w:pos="8016"/>
        </w:tabs>
        <w:spacing w:before="120" w:after="120" w:line="240" w:lineRule="auto"/>
        <w:rPr>
          <w:rFonts w:ascii="Open Sans" w:eastAsia="Open Sans" w:hAnsi="Open Sans" w:cs="Open Sans"/>
          <w:color w:val="434343"/>
        </w:rPr>
      </w:pPr>
      <w:r>
        <w:rPr>
          <w:rFonts w:ascii="Open Sans" w:eastAsia="Open Sans" w:hAnsi="Open Sans" w:cs="Open Sans"/>
          <w:color w:val="434343"/>
        </w:rPr>
        <w:t xml:space="preserve">Some members commented that they </w:t>
      </w:r>
      <w:r w:rsidR="006157FA" w:rsidRPr="00886444">
        <w:rPr>
          <w:rFonts w:ascii="Open Sans" w:eastAsia="Open Sans" w:hAnsi="Open Sans" w:cs="Open Sans"/>
          <w:color w:val="434343"/>
        </w:rPr>
        <w:t xml:space="preserve">have </w:t>
      </w:r>
      <w:proofErr w:type="gramStart"/>
      <w:r w:rsidR="006157FA" w:rsidRPr="00886444">
        <w:rPr>
          <w:rFonts w:ascii="Open Sans" w:eastAsia="Open Sans" w:hAnsi="Open Sans" w:cs="Open Sans"/>
          <w:color w:val="434343"/>
        </w:rPr>
        <w:t>a number of</w:t>
      </w:r>
      <w:proofErr w:type="gramEnd"/>
      <w:r w:rsidR="006157FA" w:rsidRPr="00886444">
        <w:rPr>
          <w:rFonts w:ascii="Open Sans" w:eastAsia="Open Sans" w:hAnsi="Open Sans" w:cs="Open Sans"/>
          <w:color w:val="434343"/>
        </w:rPr>
        <w:t xml:space="preserve"> plants which are routinely kicked out of the grid due to either high grid CV or high grid pressure.  There is little point in supporting low carbon options such as biomethane, unless the GDNs are actively required to facilitate the connection and injection of biomethane.  Otherwise, the GDNs will always do what is more operationally convenient to facilitate the flow of fossil gas from Norway or LNG.  </w:t>
      </w:r>
    </w:p>
    <w:p w14:paraId="2A839285" w14:textId="52C3C9E0" w:rsidR="006E2B0D" w:rsidRDefault="006E2B0D" w:rsidP="00EE7AE9">
      <w:pPr>
        <w:tabs>
          <w:tab w:val="left" w:pos="8016"/>
        </w:tabs>
        <w:spacing w:before="120" w:after="120" w:line="240" w:lineRule="auto"/>
        <w:rPr>
          <w:rFonts w:ascii="Open Sans" w:eastAsia="Open Sans" w:hAnsi="Open Sans" w:cs="Open Sans"/>
          <w:color w:val="434343"/>
        </w:rPr>
      </w:pPr>
      <w:r>
        <w:rPr>
          <w:rFonts w:ascii="Open Sans" w:eastAsia="Open Sans" w:hAnsi="Open Sans" w:cs="Open Sans"/>
          <w:color w:val="434343"/>
        </w:rPr>
        <w:t xml:space="preserve">Finally, members have said they would be happy to provide case studies of smaller on site biomethane plants to support the proposed changes. </w:t>
      </w:r>
      <w:r w:rsidRPr="00886444">
        <w:rPr>
          <w:rFonts w:ascii="Open Sans" w:eastAsia="Open Sans" w:hAnsi="Open Sans" w:cs="Open Sans"/>
          <w:color w:val="434343"/>
        </w:rPr>
        <w:t>Even for a smaller upgrade plant grid access is still an issue.</w:t>
      </w:r>
    </w:p>
    <w:p w14:paraId="1FBCD6A7" w14:textId="77777777" w:rsidR="006E2B0D" w:rsidRPr="00886444" w:rsidRDefault="006E2B0D" w:rsidP="00EE7AE9">
      <w:pPr>
        <w:tabs>
          <w:tab w:val="left" w:pos="8016"/>
        </w:tabs>
        <w:spacing w:before="120" w:after="120" w:line="240" w:lineRule="auto"/>
        <w:rPr>
          <w:rFonts w:ascii="Open Sans" w:eastAsia="Open Sans" w:hAnsi="Open Sans" w:cs="Open Sans"/>
          <w:color w:val="434343"/>
        </w:rPr>
      </w:pPr>
    </w:p>
    <w:p w14:paraId="1949F7FD" w14:textId="77777777" w:rsidR="007E49B2" w:rsidRPr="00886444" w:rsidRDefault="007E49B2" w:rsidP="00EE7AE9">
      <w:pPr>
        <w:tabs>
          <w:tab w:val="left" w:pos="8016"/>
        </w:tabs>
        <w:spacing w:before="120" w:after="120" w:line="240" w:lineRule="auto"/>
        <w:rPr>
          <w:rFonts w:ascii="Open Sans" w:eastAsia="Open Sans" w:hAnsi="Open Sans" w:cs="Open Sans"/>
          <w:color w:val="434343"/>
        </w:rPr>
      </w:pPr>
    </w:p>
    <w:sectPr w:rsidR="007E49B2" w:rsidRPr="00886444" w:rsidSect="0033597A">
      <w:headerReference w:type="default" r:id="rId13"/>
      <w:footerReference w:type="default" r:id="rId14"/>
      <w:headerReference w:type="first" r:id="rId15"/>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178F" w14:textId="77777777" w:rsidR="0088276B" w:rsidRDefault="0088276B">
      <w:pPr>
        <w:spacing w:after="0" w:line="240" w:lineRule="auto"/>
      </w:pPr>
      <w:r>
        <w:separator/>
      </w:r>
    </w:p>
  </w:endnote>
  <w:endnote w:type="continuationSeparator" w:id="0">
    <w:p w14:paraId="3A28FF8A" w14:textId="77777777" w:rsidR="0088276B" w:rsidRDefault="0088276B">
      <w:pPr>
        <w:spacing w:after="0" w:line="240" w:lineRule="auto"/>
      </w:pPr>
      <w:r>
        <w:continuationSeparator/>
      </w:r>
    </w:p>
  </w:endnote>
  <w:endnote w:type="continuationNotice" w:id="1">
    <w:p w14:paraId="53ABCF90" w14:textId="77777777" w:rsidR="009A217E" w:rsidRDefault="009A2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rebri Sans Book">
    <w:altName w:val="Calibri"/>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908087"/>
      <w:docPartObj>
        <w:docPartGallery w:val="Page Numbers (Bottom of Page)"/>
        <w:docPartUnique/>
      </w:docPartObj>
    </w:sdtPr>
    <w:sdtEndPr>
      <w:rPr>
        <w:noProof/>
      </w:rPr>
    </w:sdtEndPr>
    <w:sdtContent>
      <w:p w14:paraId="6C09ACA5" w14:textId="2F3E0B3A" w:rsidR="007C05F9" w:rsidRDefault="007C0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F1A72" w14:textId="77777777" w:rsidR="00BC5602" w:rsidRDefault="00BC560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072F" w14:textId="77777777" w:rsidR="0088276B" w:rsidRDefault="0088276B">
      <w:pPr>
        <w:spacing w:after="0" w:line="240" w:lineRule="auto"/>
      </w:pPr>
      <w:r>
        <w:separator/>
      </w:r>
    </w:p>
  </w:footnote>
  <w:footnote w:type="continuationSeparator" w:id="0">
    <w:p w14:paraId="4D11A393" w14:textId="77777777" w:rsidR="0088276B" w:rsidRDefault="0088276B">
      <w:pPr>
        <w:spacing w:after="0" w:line="240" w:lineRule="auto"/>
      </w:pPr>
      <w:r>
        <w:continuationSeparator/>
      </w:r>
    </w:p>
  </w:footnote>
  <w:footnote w:type="continuationNotice" w:id="1">
    <w:p w14:paraId="2842D706" w14:textId="77777777" w:rsidR="009A217E" w:rsidRDefault="009A21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6572" w14:textId="5FC00239" w:rsidR="00BC5602" w:rsidRDefault="0006647D">
    <w:pPr>
      <w:pBdr>
        <w:top w:val="nil"/>
        <w:left w:val="nil"/>
        <w:bottom w:val="nil"/>
        <w:right w:val="nil"/>
        <w:between w:val="nil"/>
      </w:pBdr>
      <w:tabs>
        <w:tab w:val="center" w:pos="4513"/>
        <w:tab w:val="right" w:pos="9026"/>
      </w:tabs>
      <w:spacing w:after="0" w:line="240" w:lineRule="auto"/>
      <w:rPr>
        <w:i/>
        <w:color w:val="000000"/>
        <w:sz w:val="20"/>
        <w:szCs w:val="20"/>
      </w:rPr>
    </w:pPr>
    <w:r>
      <w:rPr>
        <w:color w:val="000000"/>
        <w:sz w:val="18"/>
        <w:szCs w:val="18"/>
      </w:rPr>
      <w:tab/>
    </w:r>
    <w:r>
      <w:rPr>
        <w:i/>
        <w:color w:val="000000"/>
        <w:sz w:val="20"/>
        <w:szCs w:val="20"/>
      </w:rPr>
      <w:t>REA</w:t>
    </w:r>
    <w:r w:rsidR="005072F2">
      <w:rPr>
        <w:i/>
        <w:color w:val="000000"/>
        <w:sz w:val="20"/>
        <w:szCs w:val="20"/>
      </w:rPr>
      <w:t xml:space="preserve">&amp;ADBA </w:t>
    </w:r>
    <w:r>
      <w:rPr>
        <w:i/>
        <w:color w:val="000000"/>
        <w:sz w:val="20"/>
        <w:szCs w:val="20"/>
      </w:rPr>
      <w:t>Response to</w:t>
    </w:r>
    <w:r>
      <w:rPr>
        <w:i/>
        <w:sz w:val="20"/>
        <w:szCs w:val="20"/>
      </w:rPr>
      <w:t xml:space="preserve"> </w:t>
    </w:r>
    <w:r w:rsidR="005072F2" w:rsidRPr="005072F2">
      <w:rPr>
        <w:i/>
        <w:sz w:val="20"/>
        <w:szCs w:val="20"/>
      </w:rPr>
      <w:t>consultation on proposed change to gas distribution entry charging arrangements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9471" w14:textId="1EC309C2" w:rsidR="00BC5602" w:rsidRPr="005F679D" w:rsidRDefault="00E615E2" w:rsidP="005F679D">
    <w:pPr>
      <w:pBdr>
        <w:top w:val="nil"/>
        <w:left w:val="nil"/>
        <w:bottom w:val="nil"/>
        <w:right w:val="nil"/>
        <w:between w:val="nil"/>
      </w:pBdr>
      <w:tabs>
        <w:tab w:val="center" w:pos="4513"/>
        <w:tab w:val="right" w:pos="9026"/>
      </w:tabs>
      <w:spacing w:after="0" w:line="240" w:lineRule="auto"/>
      <w:rPr>
        <w:rFonts w:ascii="Open Sans" w:hAnsi="Open Sans" w:cs="Open Sans"/>
        <w:color w:val="000000"/>
      </w:rPr>
    </w:pPr>
    <w:r w:rsidRPr="005F679D">
      <w:rPr>
        <w:rFonts w:ascii="Open Sans" w:eastAsia="Open Sans" w:hAnsi="Open Sans" w:cs="Open Sans"/>
        <w:noProof/>
      </w:rPr>
      <w:drawing>
        <wp:anchor distT="0" distB="0" distL="114300" distR="114300" simplePos="0" relativeHeight="251658240" behindDoc="1" locked="0" layoutInCell="1" allowOverlap="1" wp14:anchorId="57216A9E" wp14:editId="7411B3BE">
          <wp:simplePos x="0" y="0"/>
          <wp:positionH relativeFrom="column">
            <wp:posOffset>3337560</wp:posOffset>
          </wp:positionH>
          <wp:positionV relativeFrom="topMargin">
            <wp:posOffset>114300</wp:posOffset>
          </wp:positionV>
          <wp:extent cx="944880" cy="1198245"/>
          <wp:effectExtent l="0" t="0" r="7620" b="1905"/>
          <wp:wrapTight wrapText="bothSides">
            <wp:wrapPolygon edited="0">
              <wp:start x="0" y="0"/>
              <wp:lineTo x="0" y="21291"/>
              <wp:lineTo x="21339" y="21291"/>
              <wp:lineTo x="21339"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1198245"/>
                  </a:xfrm>
                  <a:prstGeom prst="rect">
                    <a:avLst/>
                  </a:prstGeom>
                </pic:spPr>
              </pic:pic>
            </a:graphicData>
          </a:graphic>
          <wp14:sizeRelH relativeFrom="margin">
            <wp14:pctWidth>0</wp14:pctWidth>
          </wp14:sizeRelH>
          <wp14:sizeRelV relativeFrom="margin">
            <wp14:pctHeight>0</wp14:pctHeight>
          </wp14:sizeRelV>
        </wp:anchor>
      </w:drawing>
    </w:r>
    <w:r w:rsidR="00333DFE" w:rsidRPr="005F679D">
      <w:rPr>
        <w:rFonts w:ascii="Open Sans" w:hAnsi="Open Sans" w:cs="Open Sans"/>
        <w:noProof/>
      </w:rPr>
      <w:drawing>
        <wp:anchor distT="0" distB="0" distL="114300" distR="114300" simplePos="0" relativeHeight="251657216" behindDoc="1" locked="0" layoutInCell="1" hidden="0" allowOverlap="1" wp14:anchorId="4F11E309" wp14:editId="71C12572">
          <wp:simplePos x="0" y="0"/>
          <wp:positionH relativeFrom="margin">
            <wp:align>right</wp:align>
          </wp:positionH>
          <wp:positionV relativeFrom="paragraph">
            <wp:posOffset>-252095</wp:posOffset>
          </wp:positionV>
          <wp:extent cx="1378585" cy="716915"/>
          <wp:effectExtent l="0" t="0" r="0" b="0"/>
          <wp:wrapTight wrapText="bothSides">
            <wp:wrapPolygon edited="0">
              <wp:start x="895" y="1722"/>
              <wp:lineTo x="895" y="18367"/>
              <wp:lineTo x="20894" y="18367"/>
              <wp:lineTo x="19401" y="12053"/>
              <wp:lineTo x="19700" y="6888"/>
              <wp:lineTo x="16416" y="2870"/>
              <wp:lineTo x="12238" y="1722"/>
              <wp:lineTo x="895" y="1722"/>
            </wp:wrapPolygon>
          </wp:wrapTight>
          <wp:docPr id="2"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2"/>
                  <a:srcRect/>
                  <a:stretch>
                    <a:fillRect/>
                  </a:stretch>
                </pic:blipFill>
                <pic:spPr>
                  <a:xfrm>
                    <a:off x="0" y="0"/>
                    <a:ext cx="1378585" cy="716915"/>
                  </a:xfrm>
                  <a:prstGeom prst="rect">
                    <a:avLst/>
                  </a:prstGeom>
                  <a:ln/>
                </pic:spPr>
              </pic:pic>
            </a:graphicData>
          </a:graphic>
        </wp:anchor>
      </w:drawing>
    </w:r>
    <w:r w:rsidR="005F679D" w:rsidRPr="005F679D">
      <w:rPr>
        <w:rFonts w:ascii="Open Sans" w:hAnsi="Open Sans" w:cs="Open Sans"/>
        <w:color w:val="000000"/>
      </w:rPr>
      <w:t>19/08/2022</w:t>
    </w:r>
  </w:p>
</w:hdr>
</file>

<file path=word/intelligence2.xml><?xml version="1.0" encoding="utf-8"?>
<int2:intelligence xmlns:int2="http://schemas.microsoft.com/office/intelligence/2020/intelligence" xmlns:oel="http://schemas.microsoft.com/office/2019/extlst">
  <int2:observations>
    <int2:textHash int2:hashCode="CJEFyy7F2Mshrn" int2:id="CzGrkVtS">
      <int2:state int2:value="Rejected" int2:type="LegacyProofing"/>
    </int2:textHash>
    <int2:textHash int2:hashCode="FxPUKJniil3hIC" int2:id="DXjbOYvB">
      <int2:state int2:value="Rejected" int2:type="LegacyProofing"/>
    </int2:textHash>
    <int2:textHash int2:hashCode="f9ZB7PdKKzANrx" int2:id="EllY5Qn3">
      <int2:state int2:value="Rejected" int2:type="LegacyProofing"/>
    </int2:textHash>
    <int2:textHash int2:hashCode="oUOOxvdlPSq5Nv" int2:id="exZ6f1SR">
      <int2:state int2:value="Rejected" int2:type="LegacyProofing"/>
    </int2:textHash>
    <int2:bookmark int2:bookmarkName="_Int_BBtHhgvP" int2:invalidationBookmarkName="" int2:hashCode="fjVd6EF37MJ1oF" int2:id="7BpV6SMK">
      <int2:state int2:value="Rejected" int2:type="LegacyProofing"/>
    </int2:bookmark>
    <int2:bookmark int2:bookmarkName="_Int_t8JPkPeR" int2:invalidationBookmarkName="" int2:hashCode="gaXnjVyG4WXzsd" int2:id="AAM8M69W">
      <int2:state int2:value="Rejected" int2:type="LegacyProofing"/>
    </int2:bookmark>
    <int2:bookmark int2:bookmarkName="_Int_J0f3S8gF" int2:invalidationBookmarkName="" int2:hashCode="gaXnjVyG4WXzsd" int2:id="BmMzjpXR">
      <int2:state int2:value="Rejected" int2:type="LegacyProofing"/>
    </int2:bookmark>
    <int2:bookmark int2:bookmarkName="_Int_JfiVIDnf" int2:invalidationBookmarkName="" int2:hashCode="gaXnjVyG4WXzsd" int2:id="C2eMSTeC">
      <int2:state int2:value="Rejected" int2:type="LegacyProofing"/>
    </int2:bookmark>
    <int2:bookmark int2:bookmarkName="_Int_g3vxNSuU" int2:invalidationBookmarkName="" int2:hashCode="gaXnjVyG4WXzsd" int2:id="E45zG93R">
      <int2:state int2:value="Rejected" int2:type="LegacyProofing"/>
    </int2:bookmark>
    <int2:bookmark int2:bookmarkName="_Int_pK8ehQy3" int2:invalidationBookmarkName="" int2:hashCode="gaXnjVyG4WXzsd" int2:id="MnVT5bq1">
      <int2:state int2:value="Rejected" int2:type="LegacyProofing"/>
    </int2:bookmark>
    <int2:bookmark int2:bookmarkName="_Int_eoWw2dUh" int2:invalidationBookmarkName="" int2:hashCode="jpuqBzpZL8Kw7G" int2:id="bYs6EV1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0B7"/>
    <w:multiLevelType w:val="hybridMultilevel"/>
    <w:tmpl w:val="0090FD26"/>
    <w:lvl w:ilvl="0" w:tplc="A9387C60">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C9D06CE"/>
    <w:multiLevelType w:val="hybridMultilevel"/>
    <w:tmpl w:val="DF06A426"/>
    <w:lvl w:ilvl="0" w:tplc="2A80DC9C">
      <w:numFmt w:val="bullet"/>
      <w:lvlText w:val="-"/>
      <w:lvlJc w:val="left"/>
      <w:pPr>
        <w:ind w:left="720" w:hanging="360"/>
      </w:pPr>
      <w:rPr>
        <w:rFonts w:ascii="Cerebri Sans Book" w:eastAsiaTheme="minorHAnsi" w:hAnsi="Cerebri Sans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A25B3"/>
    <w:multiLevelType w:val="hybridMultilevel"/>
    <w:tmpl w:val="F08272CA"/>
    <w:lvl w:ilvl="0" w:tplc="DE3AF354">
      <w:start w:val="5"/>
      <w:numFmt w:val="decimal"/>
      <w:lvlText w:val="%1."/>
      <w:lvlJc w:val="left"/>
      <w:pPr>
        <w:ind w:left="360" w:hanging="360"/>
      </w:pPr>
    </w:lvl>
    <w:lvl w:ilvl="1" w:tplc="A810E9A4" w:tentative="1">
      <w:start w:val="1"/>
      <w:numFmt w:val="lowerLetter"/>
      <w:lvlText w:val="%2."/>
      <w:lvlJc w:val="left"/>
      <w:pPr>
        <w:ind w:left="1014" w:hanging="360"/>
      </w:pPr>
    </w:lvl>
    <w:lvl w:ilvl="2" w:tplc="EDD6AD1C" w:tentative="1">
      <w:start w:val="1"/>
      <w:numFmt w:val="lowerRoman"/>
      <w:lvlText w:val="%3."/>
      <w:lvlJc w:val="right"/>
      <w:pPr>
        <w:ind w:left="1734" w:hanging="180"/>
      </w:pPr>
    </w:lvl>
    <w:lvl w:ilvl="3" w:tplc="8BDE5B16" w:tentative="1">
      <w:start w:val="1"/>
      <w:numFmt w:val="decimal"/>
      <w:lvlText w:val="%4."/>
      <w:lvlJc w:val="left"/>
      <w:pPr>
        <w:ind w:left="2454" w:hanging="360"/>
      </w:pPr>
    </w:lvl>
    <w:lvl w:ilvl="4" w:tplc="C0A6228A" w:tentative="1">
      <w:start w:val="1"/>
      <w:numFmt w:val="lowerLetter"/>
      <w:lvlText w:val="%5."/>
      <w:lvlJc w:val="left"/>
      <w:pPr>
        <w:ind w:left="3174" w:hanging="360"/>
      </w:pPr>
    </w:lvl>
    <w:lvl w:ilvl="5" w:tplc="65DE8D52" w:tentative="1">
      <w:start w:val="1"/>
      <w:numFmt w:val="lowerRoman"/>
      <w:lvlText w:val="%6."/>
      <w:lvlJc w:val="right"/>
      <w:pPr>
        <w:ind w:left="3894" w:hanging="180"/>
      </w:pPr>
    </w:lvl>
    <w:lvl w:ilvl="6" w:tplc="014AB5C6" w:tentative="1">
      <w:start w:val="1"/>
      <w:numFmt w:val="decimal"/>
      <w:lvlText w:val="%7."/>
      <w:lvlJc w:val="left"/>
      <w:pPr>
        <w:ind w:left="4614" w:hanging="360"/>
      </w:pPr>
    </w:lvl>
    <w:lvl w:ilvl="7" w:tplc="E0525944" w:tentative="1">
      <w:start w:val="1"/>
      <w:numFmt w:val="lowerLetter"/>
      <w:lvlText w:val="%8."/>
      <w:lvlJc w:val="left"/>
      <w:pPr>
        <w:ind w:left="5334" w:hanging="360"/>
      </w:pPr>
    </w:lvl>
    <w:lvl w:ilvl="8" w:tplc="E1B2FBA0" w:tentative="1">
      <w:start w:val="1"/>
      <w:numFmt w:val="lowerRoman"/>
      <w:lvlText w:val="%9."/>
      <w:lvlJc w:val="right"/>
      <w:pPr>
        <w:ind w:left="6054" w:hanging="180"/>
      </w:pPr>
    </w:lvl>
  </w:abstractNum>
  <w:abstractNum w:abstractNumId="3" w15:restartNumberingAfterBreak="0">
    <w:nsid w:val="27EC4CE1"/>
    <w:multiLevelType w:val="hybridMultilevel"/>
    <w:tmpl w:val="EB025EF8"/>
    <w:lvl w:ilvl="0" w:tplc="34E8F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2C4D15"/>
    <w:multiLevelType w:val="hybridMultilevel"/>
    <w:tmpl w:val="AEEE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5C2CE8"/>
    <w:multiLevelType w:val="hybridMultilevel"/>
    <w:tmpl w:val="BF86EA16"/>
    <w:lvl w:ilvl="0" w:tplc="92A08F80">
      <w:start w:val="1"/>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82A94"/>
    <w:multiLevelType w:val="hybridMultilevel"/>
    <w:tmpl w:val="37AC1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55E04"/>
    <w:multiLevelType w:val="hybridMultilevel"/>
    <w:tmpl w:val="A4E45FF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E515F8"/>
    <w:multiLevelType w:val="multilevel"/>
    <w:tmpl w:val="10FA8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36250"/>
    <w:multiLevelType w:val="hybridMultilevel"/>
    <w:tmpl w:val="DC4248C4"/>
    <w:lvl w:ilvl="0" w:tplc="0D8400E8">
      <w:start w:val="1"/>
      <w:numFmt w:val="bullet"/>
      <w:lvlText w:val="•"/>
      <w:lvlJc w:val="left"/>
      <w:pPr>
        <w:tabs>
          <w:tab w:val="num" w:pos="720"/>
        </w:tabs>
        <w:ind w:left="720" w:hanging="360"/>
      </w:pPr>
      <w:rPr>
        <w:rFonts w:ascii="Arial" w:hAnsi="Arial" w:hint="default"/>
      </w:rPr>
    </w:lvl>
    <w:lvl w:ilvl="1" w:tplc="4002EFEC" w:tentative="1">
      <w:start w:val="1"/>
      <w:numFmt w:val="bullet"/>
      <w:lvlText w:val="•"/>
      <w:lvlJc w:val="left"/>
      <w:pPr>
        <w:tabs>
          <w:tab w:val="num" w:pos="1440"/>
        </w:tabs>
        <w:ind w:left="1440" w:hanging="360"/>
      </w:pPr>
      <w:rPr>
        <w:rFonts w:ascii="Arial" w:hAnsi="Arial" w:hint="default"/>
      </w:rPr>
    </w:lvl>
    <w:lvl w:ilvl="2" w:tplc="B5B46872" w:tentative="1">
      <w:start w:val="1"/>
      <w:numFmt w:val="bullet"/>
      <w:lvlText w:val="•"/>
      <w:lvlJc w:val="left"/>
      <w:pPr>
        <w:tabs>
          <w:tab w:val="num" w:pos="2160"/>
        </w:tabs>
        <w:ind w:left="2160" w:hanging="360"/>
      </w:pPr>
      <w:rPr>
        <w:rFonts w:ascii="Arial" w:hAnsi="Arial" w:hint="default"/>
      </w:rPr>
    </w:lvl>
    <w:lvl w:ilvl="3" w:tplc="3E106C9A" w:tentative="1">
      <w:start w:val="1"/>
      <w:numFmt w:val="bullet"/>
      <w:lvlText w:val="•"/>
      <w:lvlJc w:val="left"/>
      <w:pPr>
        <w:tabs>
          <w:tab w:val="num" w:pos="2880"/>
        </w:tabs>
        <w:ind w:left="2880" w:hanging="360"/>
      </w:pPr>
      <w:rPr>
        <w:rFonts w:ascii="Arial" w:hAnsi="Arial" w:hint="default"/>
      </w:rPr>
    </w:lvl>
    <w:lvl w:ilvl="4" w:tplc="D59C5C1A" w:tentative="1">
      <w:start w:val="1"/>
      <w:numFmt w:val="bullet"/>
      <w:lvlText w:val="•"/>
      <w:lvlJc w:val="left"/>
      <w:pPr>
        <w:tabs>
          <w:tab w:val="num" w:pos="3600"/>
        </w:tabs>
        <w:ind w:left="3600" w:hanging="360"/>
      </w:pPr>
      <w:rPr>
        <w:rFonts w:ascii="Arial" w:hAnsi="Arial" w:hint="default"/>
      </w:rPr>
    </w:lvl>
    <w:lvl w:ilvl="5" w:tplc="A9A6E40C" w:tentative="1">
      <w:start w:val="1"/>
      <w:numFmt w:val="bullet"/>
      <w:lvlText w:val="•"/>
      <w:lvlJc w:val="left"/>
      <w:pPr>
        <w:tabs>
          <w:tab w:val="num" w:pos="4320"/>
        </w:tabs>
        <w:ind w:left="4320" w:hanging="360"/>
      </w:pPr>
      <w:rPr>
        <w:rFonts w:ascii="Arial" w:hAnsi="Arial" w:hint="default"/>
      </w:rPr>
    </w:lvl>
    <w:lvl w:ilvl="6" w:tplc="4C8C0E2E" w:tentative="1">
      <w:start w:val="1"/>
      <w:numFmt w:val="bullet"/>
      <w:lvlText w:val="•"/>
      <w:lvlJc w:val="left"/>
      <w:pPr>
        <w:tabs>
          <w:tab w:val="num" w:pos="5040"/>
        </w:tabs>
        <w:ind w:left="5040" w:hanging="360"/>
      </w:pPr>
      <w:rPr>
        <w:rFonts w:ascii="Arial" w:hAnsi="Arial" w:hint="default"/>
      </w:rPr>
    </w:lvl>
    <w:lvl w:ilvl="7" w:tplc="6890F248" w:tentative="1">
      <w:start w:val="1"/>
      <w:numFmt w:val="bullet"/>
      <w:lvlText w:val="•"/>
      <w:lvlJc w:val="left"/>
      <w:pPr>
        <w:tabs>
          <w:tab w:val="num" w:pos="5760"/>
        </w:tabs>
        <w:ind w:left="5760" w:hanging="360"/>
      </w:pPr>
      <w:rPr>
        <w:rFonts w:ascii="Arial" w:hAnsi="Arial" w:hint="default"/>
      </w:rPr>
    </w:lvl>
    <w:lvl w:ilvl="8" w:tplc="7A6032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382A55"/>
    <w:multiLevelType w:val="hybridMultilevel"/>
    <w:tmpl w:val="F2C867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F2096F"/>
    <w:multiLevelType w:val="hybridMultilevel"/>
    <w:tmpl w:val="D9146E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74604A"/>
    <w:multiLevelType w:val="multilevel"/>
    <w:tmpl w:val="A574D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F2CDC"/>
    <w:multiLevelType w:val="multilevel"/>
    <w:tmpl w:val="7BDE96C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9312CDF"/>
    <w:multiLevelType w:val="hybridMultilevel"/>
    <w:tmpl w:val="354872D2"/>
    <w:styleLink w:val="ImportedStyle4"/>
    <w:lvl w:ilvl="0" w:tplc="54A46DC2">
      <w:start w:val="1"/>
      <w:numFmt w:val="bullet"/>
      <w:lvlText w:val="·"/>
      <w:lvlJc w:val="left"/>
      <w:pPr>
        <w:tabs>
          <w:tab w:val="left" w:pos="579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786ECC">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86F6AE">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363B44">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3023C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5023C0">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9E89B6">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10512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DEE0BC">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91928315">
    <w:abstractNumId w:val="13"/>
  </w:num>
  <w:num w:numId="2" w16cid:durableId="1822313082">
    <w:abstractNumId w:val="12"/>
  </w:num>
  <w:num w:numId="3" w16cid:durableId="358629908">
    <w:abstractNumId w:val="8"/>
  </w:num>
  <w:num w:numId="4" w16cid:durableId="1524516208">
    <w:abstractNumId w:val="4"/>
  </w:num>
  <w:num w:numId="5" w16cid:durableId="1696232861">
    <w:abstractNumId w:val="5"/>
  </w:num>
  <w:num w:numId="6" w16cid:durableId="1523401880">
    <w:abstractNumId w:val="14"/>
  </w:num>
  <w:num w:numId="7" w16cid:durableId="1228565016">
    <w:abstractNumId w:val="10"/>
  </w:num>
  <w:num w:numId="8" w16cid:durableId="807088843">
    <w:abstractNumId w:val="11"/>
  </w:num>
  <w:num w:numId="9" w16cid:durableId="32123336">
    <w:abstractNumId w:val="3"/>
  </w:num>
  <w:num w:numId="10" w16cid:durableId="1988315639">
    <w:abstractNumId w:val="6"/>
  </w:num>
  <w:num w:numId="11" w16cid:durableId="148987128">
    <w:abstractNumId w:val="9"/>
  </w:num>
  <w:num w:numId="12" w16cid:durableId="789402937">
    <w:abstractNumId w:val="1"/>
  </w:num>
  <w:num w:numId="13" w16cid:durableId="648486451">
    <w:abstractNumId w:val="0"/>
  </w:num>
  <w:num w:numId="14" w16cid:durableId="739597742">
    <w:abstractNumId w:val="2"/>
  </w:num>
  <w:num w:numId="15" w16cid:durableId="35397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02"/>
    <w:rsid w:val="000038BF"/>
    <w:rsid w:val="00020EE6"/>
    <w:rsid w:val="00022E25"/>
    <w:rsid w:val="00043722"/>
    <w:rsid w:val="00047BF9"/>
    <w:rsid w:val="0006242A"/>
    <w:rsid w:val="0006437F"/>
    <w:rsid w:val="0006647D"/>
    <w:rsid w:val="000672E0"/>
    <w:rsid w:val="000A2684"/>
    <w:rsid w:val="000A3A27"/>
    <w:rsid w:val="000A4A48"/>
    <w:rsid w:val="000B1453"/>
    <w:rsid w:val="000E5FAA"/>
    <w:rsid w:val="00110C8E"/>
    <w:rsid w:val="00121F32"/>
    <w:rsid w:val="00150EEC"/>
    <w:rsid w:val="0015227F"/>
    <w:rsid w:val="00152DD5"/>
    <w:rsid w:val="00157A34"/>
    <w:rsid w:val="0016068E"/>
    <w:rsid w:val="00160DED"/>
    <w:rsid w:val="001744A1"/>
    <w:rsid w:val="00175FF1"/>
    <w:rsid w:val="00184B7A"/>
    <w:rsid w:val="001B5F3D"/>
    <w:rsid w:val="001C1E83"/>
    <w:rsid w:val="001E188E"/>
    <w:rsid w:val="001F73FC"/>
    <w:rsid w:val="0020421B"/>
    <w:rsid w:val="002373CA"/>
    <w:rsid w:val="0024760C"/>
    <w:rsid w:val="00253CD3"/>
    <w:rsid w:val="00256BFE"/>
    <w:rsid w:val="00263687"/>
    <w:rsid w:val="00274B3A"/>
    <w:rsid w:val="002805AC"/>
    <w:rsid w:val="00281882"/>
    <w:rsid w:val="00284790"/>
    <w:rsid w:val="00296E2C"/>
    <w:rsid w:val="002A6AA9"/>
    <w:rsid w:val="002B1786"/>
    <w:rsid w:val="002D0A06"/>
    <w:rsid w:val="002E038D"/>
    <w:rsid w:val="002F166B"/>
    <w:rsid w:val="002F2364"/>
    <w:rsid w:val="00324D52"/>
    <w:rsid w:val="00333DFE"/>
    <w:rsid w:val="0033597A"/>
    <w:rsid w:val="00340772"/>
    <w:rsid w:val="00350C6D"/>
    <w:rsid w:val="00353B90"/>
    <w:rsid w:val="00360877"/>
    <w:rsid w:val="00370583"/>
    <w:rsid w:val="00382378"/>
    <w:rsid w:val="00383749"/>
    <w:rsid w:val="00395413"/>
    <w:rsid w:val="0039716D"/>
    <w:rsid w:val="003A4AAC"/>
    <w:rsid w:val="003D4B98"/>
    <w:rsid w:val="003F3290"/>
    <w:rsid w:val="00411B0C"/>
    <w:rsid w:val="004220B4"/>
    <w:rsid w:val="00422F91"/>
    <w:rsid w:val="004253A8"/>
    <w:rsid w:val="004426FA"/>
    <w:rsid w:val="00464D27"/>
    <w:rsid w:val="00486D4D"/>
    <w:rsid w:val="004916BB"/>
    <w:rsid w:val="004A1EE7"/>
    <w:rsid w:val="004D1A96"/>
    <w:rsid w:val="005072F2"/>
    <w:rsid w:val="00512260"/>
    <w:rsid w:val="005203AF"/>
    <w:rsid w:val="0053360B"/>
    <w:rsid w:val="00540595"/>
    <w:rsid w:val="00542D45"/>
    <w:rsid w:val="00544609"/>
    <w:rsid w:val="005450EA"/>
    <w:rsid w:val="005602B7"/>
    <w:rsid w:val="0056098B"/>
    <w:rsid w:val="00565056"/>
    <w:rsid w:val="005B080F"/>
    <w:rsid w:val="005E2A90"/>
    <w:rsid w:val="005F0724"/>
    <w:rsid w:val="005F679D"/>
    <w:rsid w:val="00603DFD"/>
    <w:rsid w:val="00606092"/>
    <w:rsid w:val="00606520"/>
    <w:rsid w:val="00606999"/>
    <w:rsid w:val="00611D6A"/>
    <w:rsid w:val="006157FA"/>
    <w:rsid w:val="00617EBC"/>
    <w:rsid w:val="00623A45"/>
    <w:rsid w:val="00623C9A"/>
    <w:rsid w:val="00637BFE"/>
    <w:rsid w:val="00671D4F"/>
    <w:rsid w:val="00673991"/>
    <w:rsid w:val="006769C9"/>
    <w:rsid w:val="006776FB"/>
    <w:rsid w:val="00684A84"/>
    <w:rsid w:val="006900BB"/>
    <w:rsid w:val="00692172"/>
    <w:rsid w:val="006A0523"/>
    <w:rsid w:val="006C020B"/>
    <w:rsid w:val="006D4ED8"/>
    <w:rsid w:val="006D7327"/>
    <w:rsid w:val="006E2B0D"/>
    <w:rsid w:val="006E39C1"/>
    <w:rsid w:val="006E64C3"/>
    <w:rsid w:val="006F6F2A"/>
    <w:rsid w:val="007128A8"/>
    <w:rsid w:val="00717983"/>
    <w:rsid w:val="00725855"/>
    <w:rsid w:val="00750DE7"/>
    <w:rsid w:val="0076334F"/>
    <w:rsid w:val="00787A06"/>
    <w:rsid w:val="007A6606"/>
    <w:rsid w:val="007A66A1"/>
    <w:rsid w:val="007C05F9"/>
    <w:rsid w:val="007D3CF7"/>
    <w:rsid w:val="007E082A"/>
    <w:rsid w:val="007E1069"/>
    <w:rsid w:val="007E49B2"/>
    <w:rsid w:val="0083098E"/>
    <w:rsid w:val="008346E5"/>
    <w:rsid w:val="0085343A"/>
    <w:rsid w:val="00863651"/>
    <w:rsid w:val="00863B2F"/>
    <w:rsid w:val="00866620"/>
    <w:rsid w:val="00875175"/>
    <w:rsid w:val="008805DB"/>
    <w:rsid w:val="00881689"/>
    <w:rsid w:val="0088276B"/>
    <w:rsid w:val="008B35B4"/>
    <w:rsid w:val="008C19FE"/>
    <w:rsid w:val="008C460F"/>
    <w:rsid w:val="008D0762"/>
    <w:rsid w:val="008D29D9"/>
    <w:rsid w:val="008E2B5C"/>
    <w:rsid w:val="008F1C96"/>
    <w:rsid w:val="009000F0"/>
    <w:rsid w:val="00911085"/>
    <w:rsid w:val="0092369D"/>
    <w:rsid w:val="00950B05"/>
    <w:rsid w:val="00951532"/>
    <w:rsid w:val="00953024"/>
    <w:rsid w:val="009715B9"/>
    <w:rsid w:val="009811D3"/>
    <w:rsid w:val="009860A3"/>
    <w:rsid w:val="00987052"/>
    <w:rsid w:val="009913D7"/>
    <w:rsid w:val="009A217E"/>
    <w:rsid w:val="009B74CA"/>
    <w:rsid w:val="009C4CD1"/>
    <w:rsid w:val="009C706F"/>
    <w:rsid w:val="009D73E8"/>
    <w:rsid w:val="009E3A74"/>
    <w:rsid w:val="009E6679"/>
    <w:rsid w:val="00A00FB0"/>
    <w:rsid w:val="00A23B1D"/>
    <w:rsid w:val="00A36C47"/>
    <w:rsid w:val="00A54775"/>
    <w:rsid w:val="00A60527"/>
    <w:rsid w:val="00A9196C"/>
    <w:rsid w:val="00A955FE"/>
    <w:rsid w:val="00AB18FF"/>
    <w:rsid w:val="00AB4A28"/>
    <w:rsid w:val="00AB6802"/>
    <w:rsid w:val="00AB724A"/>
    <w:rsid w:val="00AC1446"/>
    <w:rsid w:val="00AD0750"/>
    <w:rsid w:val="00AD42C3"/>
    <w:rsid w:val="00AE1108"/>
    <w:rsid w:val="00AE668D"/>
    <w:rsid w:val="00B03EA5"/>
    <w:rsid w:val="00B04AF4"/>
    <w:rsid w:val="00B065C8"/>
    <w:rsid w:val="00B11B25"/>
    <w:rsid w:val="00B216AD"/>
    <w:rsid w:val="00B21EC1"/>
    <w:rsid w:val="00B3472A"/>
    <w:rsid w:val="00B368F9"/>
    <w:rsid w:val="00B41721"/>
    <w:rsid w:val="00B45BEB"/>
    <w:rsid w:val="00B45BEC"/>
    <w:rsid w:val="00B5210B"/>
    <w:rsid w:val="00B648C8"/>
    <w:rsid w:val="00B6631F"/>
    <w:rsid w:val="00B859F3"/>
    <w:rsid w:val="00B933BC"/>
    <w:rsid w:val="00B96D4E"/>
    <w:rsid w:val="00BC5602"/>
    <w:rsid w:val="00BD3971"/>
    <w:rsid w:val="00BE474D"/>
    <w:rsid w:val="00BF62DB"/>
    <w:rsid w:val="00C01015"/>
    <w:rsid w:val="00C0287D"/>
    <w:rsid w:val="00C10DA8"/>
    <w:rsid w:val="00C14EB1"/>
    <w:rsid w:val="00C20DA1"/>
    <w:rsid w:val="00C21F6D"/>
    <w:rsid w:val="00C7576F"/>
    <w:rsid w:val="00C808AE"/>
    <w:rsid w:val="00C8419F"/>
    <w:rsid w:val="00C96C8C"/>
    <w:rsid w:val="00CA58E3"/>
    <w:rsid w:val="00CA5C9C"/>
    <w:rsid w:val="00CB27AD"/>
    <w:rsid w:val="00CC11A6"/>
    <w:rsid w:val="00CC7F68"/>
    <w:rsid w:val="00CD743C"/>
    <w:rsid w:val="00CE0200"/>
    <w:rsid w:val="00CE7340"/>
    <w:rsid w:val="00D02F9D"/>
    <w:rsid w:val="00D11110"/>
    <w:rsid w:val="00D2056F"/>
    <w:rsid w:val="00D47036"/>
    <w:rsid w:val="00D53E60"/>
    <w:rsid w:val="00D610BF"/>
    <w:rsid w:val="00D67969"/>
    <w:rsid w:val="00D67EAF"/>
    <w:rsid w:val="00D70E88"/>
    <w:rsid w:val="00DB23C5"/>
    <w:rsid w:val="00DB4BC3"/>
    <w:rsid w:val="00DB5D1F"/>
    <w:rsid w:val="00DC26AB"/>
    <w:rsid w:val="00DD6BC2"/>
    <w:rsid w:val="00DE09D5"/>
    <w:rsid w:val="00DE3C11"/>
    <w:rsid w:val="00DF1535"/>
    <w:rsid w:val="00DF7628"/>
    <w:rsid w:val="00E001ED"/>
    <w:rsid w:val="00E24FAB"/>
    <w:rsid w:val="00E35667"/>
    <w:rsid w:val="00E3768C"/>
    <w:rsid w:val="00E4019D"/>
    <w:rsid w:val="00E615E2"/>
    <w:rsid w:val="00E64E78"/>
    <w:rsid w:val="00E703F3"/>
    <w:rsid w:val="00E8043A"/>
    <w:rsid w:val="00E850DA"/>
    <w:rsid w:val="00E90F37"/>
    <w:rsid w:val="00EA4CEF"/>
    <w:rsid w:val="00EB084D"/>
    <w:rsid w:val="00EB7395"/>
    <w:rsid w:val="00EC0214"/>
    <w:rsid w:val="00EC0D89"/>
    <w:rsid w:val="00ED0FB9"/>
    <w:rsid w:val="00EE7AE9"/>
    <w:rsid w:val="00F103F6"/>
    <w:rsid w:val="00F11EEA"/>
    <w:rsid w:val="00F220A1"/>
    <w:rsid w:val="00F241AA"/>
    <w:rsid w:val="00F25D26"/>
    <w:rsid w:val="00F27288"/>
    <w:rsid w:val="00F431DE"/>
    <w:rsid w:val="00F452BF"/>
    <w:rsid w:val="00F47048"/>
    <w:rsid w:val="00F716DE"/>
    <w:rsid w:val="00F7592B"/>
    <w:rsid w:val="00F812A1"/>
    <w:rsid w:val="00FD2CA4"/>
    <w:rsid w:val="00FD3084"/>
    <w:rsid w:val="00FD318B"/>
    <w:rsid w:val="00FF5478"/>
    <w:rsid w:val="0138FDEB"/>
    <w:rsid w:val="02246781"/>
    <w:rsid w:val="0758CC3F"/>
    <w:rsid w:val="0A48198B"/>
    <w:rsid w:val="0FECBA97"/>
    <w:rsid w:val="10459BF7"/>
    <w:rsid w:val="18FD760F"/>
    <w:rsid w:val="1A34A5A6"/>
    <w:rsid w:val="2716023A"/>
    <w:rsid w:val="281A8288"/>
    <w:rsid w:val="38058D87"/>
    <w:rsid w:val="3C4CD747"/>
    <w:rsid w:val="482B0964"/>
    <w:rsid w:val="4CECB076"/>
    <w:rsid w:val="57CFA925"/>
    <w:rsid w:val="60426288"/>
    <w:rsid w:val="610AB8BD"/>
    <w:rsid w:val="6128ABD2"/>
    <w:rsid w:val="74C8A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AA857"/>
  <w15:docId w15:val="{7469BA90-628C-4F98-8991-E5E60108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66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47D"/>
  </w:style>
  <w:style w:type="paragraph" w:styleId="Footer">
    <w:name w:val="footer"/>
    <w:basedOn w:val="Normal"/>
    <w:link w:val="FooterChar"/>
    <w:uiPriority w:val="99"/>
    <w:unhideWhenUsed/>
    <w:rsid w:val="00066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47D"/>
  </w:style>
  <w:style w:type="character" w:styleId="Hyperlink">
    <w:name w:val="Hyperlink"/>
    <w:basedOn w:val="DefaultParagraphFont"/>
    <w:uiPriority w:val="99"/>
    <w:unhideWhenUsed/>
    <w:rsid w:val="002E038D"/>
    <w:rPr>
      <w:color w:val="0000FF" w:themeColor="hyperlink"/>
      <w:u w:val="single"/>
    </w:rPr>
  </w:style>
  <w:style w:type="character" w:styleId="UnresolvedMention">
    <w:name w:val="Unresolved Mention"/>
    <w:basedOn w:val="DefaultParagraphFont"/>
    <w:uiPriority w:val="99"/>
    <w:semiHidden/>
    <w:unhideWhenUsed/>
    <w:rsid w:val="002E038D"/>
    <w:rPr>
      <w:color w:val="605E5C"/>
      <w:shd w:val="clear" w:color="auto" w:fill="E1DFDD"/>
    </w:rPr>
  </w:style>
  <w:style w:type="paragraph" w:styleId="ListParagraph">
    <w:name w:val="List Paragraph"/>
    <w:basedOn w:val="Normal"/>
    <w:uiPriority w:val="34"/>
    <w:qFormat/>
    <w:rsid w:val="00F7592B"/>
    <w:pPr>
      <w:ind w:left="720"/>
      <w:contextualSpacing/>
    </w:pPr>
  </w:style>
  <w:style w:type="paragraph" w:customStyle="1" w:styleId="Default">
    <w:name w:val="Default"/>
    <w:rsid w:val="006D4ED8"/>
    <w:pPr>
      <w:autoSpaceDE w:val="0"/>
      <w:autoSpaceDN w:val="0"/>
      <w:adjustRightInd w:val="0"/>
      <w:spacing w:after="0" w:line="240" w:lineRule="auto"/>
    </w:pPr>
    <w:rPr>
      <w:rFonts w:ascii="Open Sans" w:eastAsiaTheme="minorHAnsi" w:hAnsi="Open Sans" w:cs="Open Sans"/>
      <w:color w:val="000000"/>
      <w:sz w:val="24"/>
      <w:szCs w:val="24"/>
      <w:lang w:eastAsia="en-US"/>
    </w:rPr>
  </w:style>
  <w:style w:type="paragraph" w:styleId="Revision">
    <w:name w:val="Revision"/>
    <w:hidden/>
    <w:uiPriority w:val="99"/>
    <w:semiHidden/>
    <w:rsid w:val="00C21F6D"/>
    <w:pPr>
      <w:spacing w:after="0" w:line="240" w:lineRule="auto"/>
    </w:pPr>
  </w:style>
  <w:style w:type="paragraph" w:styleId="CommentText">
    <w:name w:val="annotation text"/>
    <w:link w:val="CommentTextChar"/>
    <w:rsid w:val="00F11EEA"/>
    <w:pPr>
      <w:pBdr>
        <w:top w:val="nil"/>
        <w:left w:val="nil"/>
        <w:bottom w:val="nil"/>
        <w:right w:val="nil"/>
        <w:between w:val="nil"/>
        <w:bar w:val="nil"/>
      </w:pBdr>
      <w:spacing w:line="240" w:lineRule="auto"/>
    </w:pPr>
    <w:rPr>
      <w:rFonts w:eastAsia="Arial Unicode MS" w:cs="Arial Unicode MS"/>
      <w:color w:val="000000"/>
      <w:sz w:val="20"/>
      <w:szCs w:val="20"/>
      <w:u w:color="000000"/>
      <w:bdr w:val="nil"/>
      <w:lang w:val="en-US"/>
    </w:rPr>
  </w:style>
  <w:style w:type="character" w:customStyle="1" w:styleId="CommentTextChar">
    <w:name w:val="Comment Text Char"/>
    <w:basedOn w:val="DefaultParagraphFont"/>
    <w:link w:val="CommentText"/>
    <w:rsid w:val="00F11EEA"/>
    <w:rPr>
      <w:rFonts w:eastAsia="Arial Unicode MS" w:cs="Arial Unicode MS"/>
      <w:color w:val="000000"/>
      <w:sz w:val="20"/>
      <w:szCs w:val="20"/>
      <w:u w:color="000000"/>
      <w:bdr w:val="nil"/>
      <w:lang w:val="en-US"/>
    </w:rPr>
  </w:style>
  <w:style w:type="numbering" w:customStyle="1" w:styleId="ImportedStyle4">
    <w:name w:val="Imported Style 4"/>
    <w:rsid w:val="00F11EEA"/>
    <w:pPr>
      <w:numPr>
        <w:numId w:val="6"/>
      </w:numPr>
    </w:pPr>
  </w:style>
  <w:style w:type="character" w:customStyle="1" w:styleId="normaltextrun">
    <w:name w:val="normaltextrun"/>
    <w:basedOn w:val="DefaultParagraphFont"/>
    <w:rsid w:val="00350C6D"/>
  </w:style>
  <w:style w:type="character" w:styleId="CommentReference">
    <w:name w:val="annotation reference"/>
    <w:basedOn w:val="DefaultParagraphFont"/>
    <w:uiPriority w:val="99"/>
    <w:semiHidden/>
    <w:unhideWhenUsed/>
    <w:rsid w:val="00E35667"/>
    <w:rPr>
      <w:sz w:val="16"/>
      <w:szCs w:val="16"/>
    </w:rPr>
  </w:style>
  <w:style w:type="paragraph" w:styleId="CommentSubject">
    <w:name w:val="annotation subject"/>
    <w:basedOn w:val="CommentText"/>
    <w:next w:val="CommentText"/>
    <w:link w:val="CommentSubjectChar"/>
    <w:uiPriority w:val="99"/>
    <w:semiHidden/>
    <w:unhideWhenUsed/>
    <w:rsid w:val="00E35667"/>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cs="Calibri"/>
      <w:b/>
      <w:bCs/>
      <w:color w:val="auto"/>
      <w:bdr w:val="none" w:sz="0" w:space="0" w:color="auto"/>
      <w:lang w:val="en-GB"/>
    </w:rPr>
  </w:style>
  <w:style w:type="character" w:customStyle="1" w:styleId="CommentSubjectChar">
    <w:name w:val="Comment Subject Char"/>
    <w:basedOn w:val="CommentTextChar"/>
    <w:link w:val="CommentSubject"/>
    <w:uiPriority w:val="99"/>
    <w:semiHidden/>
    <w:rsid w:val="00E35667"/>
    <w:rPr>
      <w:rFonts w:eastAsia="Arial Unicode MS" w:cs="Arial Unicode MS"/>
      <w:b/>
      <w:bCs/>
      <w:color w:val="000000"/>
      <w:sz w:val="20"/>
      <w:szCs w:val="20"/>
      <w:u w:color="000000"/>
      <w:bdr w:val="nil"/>
      <w:lang w:val="en-US"/>
    </w:rPr>
  </w:style>
  <w:style w:type="character" w:styleId="Mention">
    <w:name w:val="Mention"/>
    <w:basedOn w:val="DefaultParagraphFont"/>
    <w:uiPriority w:val="99"/>
    <w:unhideWhenUsed/>
    <w:rsid w:val="00E35667"/>
    <w:rPr>
      <w:color w:val="2B579A"/>
      <w:shd w:val="clear" w:color="auto" w:fill="E1DFDD"/>
    </w:rPr>
  </w:style>
  <w:style w:type="paragraph" w:customStyle="1" w:styleId="pf0">
    <w:name w:val="pf0"/>
    <w:basedOn w:val="Normal"/>
    <w:rsid w:val="00EA4C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A4C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6801">
      <w:bodyDiv w:val="1"/>
      <w:marLeft w:val="0"/>
      <w:marRight w:val="0"/>
      <w:marTop w:val="0"/>
      <w:marBottom w:val="0"/>
      <w:divBdr>
        <w:top w:val="none" w:sz="0" w:space="0" w:color="auto"/>
        <w:left w:val="none" w:sz="0" w:space="0" w:color="auto"/>
        <w:bottom w:val="none" w:sz="0" w:space="0" w:color="auto"/>
        <w:right w:val="none" w:sz="0" w:space="0" w:color="auto"/>
      </w:divBdr>
    </w:div>
    <w:div w:id="20472882">
      <w:bodyDiv w:val="1"/>
      <w:marLeft w:val="0"/>
      <w:marRight w:val="0"/>
      <w:marTop w:val="0"/>
      <w:marBottom w:val="0"/>
      <w:divBdr>
        <w:top w:val="none" w:sz="0" w:space="0" w:color="auto"/>
        <w:left w:val="none" w:sz="0" w:space="0" w:color="auto"/>
        <w:bottom w:val="none" w:sz="0" w:space="0" w:color="auto"/>
        <w:right w:val="none" w:sz="0" w:space="0" w:color="auto"/>
      </w:divBdr>
    </w:div>
    <w:div w:id="57559324">
      <w:bodyDiv w:val="1"/>
      <w:marLeft w:val="0"/>
      <w:marRight w:val="0"/>
      <w:marTop w:val="0"/>
      <w:marBottom w:val="0"/>
      <w:divBdr>
        <w:top w:val="none" w:sz="0" w:space="0" w:color="auto"/>
        <w:left w:val="none" w:sz="0" w:space="0" w:color="auto"/>
        <w:bottom w:val="none" w:sz="0" w:space="0" w:color="auto"/>
        <w:right w:val="none" w:sz="0" w:space="0" w:color="auto"/>
      </w:divBdr>
    </w:div>
    <w:div w:id="668946482">
      <w:bodyDiv w:val="1"/>
      <w:marLeft w:val="0"/>
      <w:marRight w:val="0"/>
      <w:marTop w:val="0"/>
      <w:marBottom w:val="0"/>
      <w:divBdr>
        <w:top w:val="none" w:sz="0" w:space="0" w:color="auto"/>
        <w:left w:val="none" w:sz="0" w:space="0" w:color="auto"/>
        <w:bottom w:val="none" w:sz="0" w:space="0" w:color="auto"/>
        <w:right w:val="none" w:sz="0" w:space="0" w:color="auto"/>
      </w:divBdr>
    </w:div>
    <w:div w:id="744642123">
      <w:bodyDiv w:val="1"/>
      <w:marLeft w:val="0"/>
      <w:marRight w:val="0"/>
      <w:marTop w:val="0"/>
      <w:marBottom w:val="0"/>
      <w:divBdr>
        <w:top w:val="none" w:sz="0" w:space="0" w:color="auto"/>
        <w:left w:val="none" w:sz="0" w:space="0" w:color="auto"/>
        <w:bottom w:val="none" w:sz="0" w:space="0" w:color="auto"/>
        <w:right w:val="none" w:sz="0" w:space="0" w:color="auto"/>
      </w:divBdr>
    </w:div>
    <w:div w:id="996881938">
      <w:bodyDiv w:val="1"/>
      <w:marLeft w:val="0"/>
      <w:marRight w:val="0"/>
      <w:marTop w:val="0"/>
      <w:marBottom w:val="0"/>
      <w:divBdr>
        <w:top w:val="none" w:sz="0" w:space="0" w:color="auto"/>
        <w:left w:val="none" w:sz="0" w:space="0" w:color="auto"/>
        <w:bottom w:val="none" w:sz="0" w:space="0" w:color="auto"/>
        <w:right w:val="none" w:sz="0" w:space="0" w:color="auto"/>
      </w:divBdr>
    </w:div>
    <w:div w:id="1027636048">
      <w:bodyDiv w:val="1"/>
      <w:marLeft w:val="0"/>
      <w:marRight w:val="0"/>
      <w:marTop w:val="0"/>
      <w:marBottom w:val="0"/>
      <w:divBdr>
        <w:top w:val="none" w:sz="0" w:space="0" w:color="auto"/>
        <w:left w:val="none" w:sz="0" w:space="0" w:color="auto"/>
        <w:bottom w:val="none" w:sz="0" w:space="0" w:color="auto"/>
        <w:right w:val="none" w:sz="0" w:space="0" w:color="auto"/>
      </w:divBdr>
    </w:div>
    <w:div w:id="1108431307">
      <w:bodyDiv w:val="1"/>
      <w:marLeft w:val="0"/>
      <w:marRight w:val="0"/>
      <w:marTop w:val="0"/>
      <w:marBottom w:val="0"/>
      <w:divBdr>
        <w:top w:val="none" w:sz="0" w:space="0" w:color="auto"/>
        <w:left w:val="none" w:sz="0" w:space="0" w:color="auto"/>
        <w:bottom w:val="none" w:sz="0" w:space="0" w:color="auto"/>
        <w:right w:val="none" w:sz="0" w:space="0" w:color="auto"/>
      </w:divBdr>
    </w:div>
    <w:div w:id="1330017545">
      <w:bodyDiv w:val="1"/>
      <w:marLeft w:val="0"/>
      <w:marRight w:val="0"/>
      <w:marTop w:val="0"/>
      <w:marBottom w:val="0"/>
      <w:divBdr>
        <w:top w:val="none" w:sz="0" w:space="0" w:color="auto"/>
        <w:left w:val="none" w:sz="0" w:space="0" w:color="auto"/>
        <w:bottom w:val="none" w:sz="0" w:space="0" w:color="auto"/>
        <w:right w:val="none" w:sz="0" w:space="0" w:color="auto"/>
      </w:divBdr>
    </w:div>
    <w:div w:id="1347364322">
      <w:bodyDiv w:val="1"/>
      <w:marLeft w:val="0"/>
      <w:marRight w:val="0"/>
      <w:marTop w:val="0"/>
      <w:marBottom w:val="0"/>
      <w:divBdr>
        <w:top w:val="none" w:sz="0" w:space="0" w:color="auto"/>
        <w:left w:val="none" w:sz="0" w:space="0" w:color="auto"/>
        <w:bottom w:val="none" w:sz="0" w:space="0" w:color="auto"/>
        <w:right w:val="none" w:sz="0" w:space="0" w:color="auto"/>
      </w:divBdr>
    </w:div>
    <w:div w:id="1445618123">
      <w:bodyDiv w:val="1"/>
      <w:marLeft w:val="0"/>
      <w:marRight w:val="0"/>
      <w:marTop w:val="0"/>
      <w:marBottom w:val="0"/>
      <w:divBdr>
        <w:top w:val="none" w:sz="0" w:space="0" w:color="auto"/>
        <w:left w:val="none" w:sz="0" w:space="0" w:color="auto"/>
        <w:bottom w:val="none" w:sz="0" w:space="0" w:color="auto"/>
        <w:right w:val="none" w:sz="0" w:space="0" w:color="auto"/>
      </w:divBdr>
      <w:divsChild>
        <w:div w:id="136144884">
          <w:marLeft w:val="547"/>
          <w:marRight w:val="0"/>
          <w:marTop w:val="58"/>
          <w:marBottom w:val="0"/>
          <w:divBdr>
            <w:top w:val="none" w:sz="0" w:space="0" w:color="auto"/>
            <w:left w:val="none" w:sz="0" w:space="0" w:color="auto"/>
            <w:bottom w:val="none" w:sz="0" w:space="0" w:color="auto"/>
            <w:right w:val="none" w:sz="0" w:space="0" w:color="auto"/>
          </w:divBdr>
        </w:div>
        <w:div w:id="1891765181">
          <w:marLeft w:val="547"/>
          <w:marRight w:val="0"/>
          <w:marTop w:val="58"/>
          <w:marBottom w:val="0"/>
          <w:divBdr>
            <w:top w:val="none" w:sz="0" w:space="0" w:color="auto"/>
            <w:left w:val="none" w:sz="0" w:space="0" w:color="auto"/>
            <w:bottom w:val="none" w:sz="0" w:space="0" w:color="auto"/>
            <w:right w:val="none" w:sz="0" w:space="0" w:color="auto"/>
          </w:divBdr>
        </w:div>
      </w:divsChild>
    </w:div>
    <w:div w:id="1446118682">
      <w:bodyDiv w:val="1"/>
      <w:marLeft w:val="0"/>
      <w:marRight w:val="0"/>
      <w:marTop w:val="0"/>
      <w:marBottom w:val="0"/>
      <w:divBdr>
        <w:top w:val="none" w:sz="0" w:space="0" w:color="auto"/>
        <w:left w:val="none" w:sz="0" w:space="0" w:color="auto"/>
        <w:bottom w:val="none" w:sz="0" w:space="0" w:color="auto"/>
        <w:right w:val="none" w:sz="0" w:space="0" w:color="auto"/>
      </w:divBdr>
    </w:div>
    <w:div w:id="1455562602">
      <w:bodyDiv w:val="1"/>
      <w:marLeft w:val="0"/>
      <w:marRight w:val="0"/>
      <w:marTop w:val="0"/>
      <w:marBottom w:val="0"/>
      <w:divBdr>
        <w:top w:val="none" w:sz="0" w:space="0" w:color="auto"/>
        <w:left w:val="none" w:sz="0" w:space="0" w:color="auto"/>
        <w:bottom w:val="none" w:sz="0" w:space="0" w:color="auto"/>
        <w:right w:val="none" w:sz="0" w:space="0" w:color="auto"/>
      </w:divBdr>
    </w:div>
    <w:div w:id="1539080077">
      <w:bodyDiv w:val="1"/>
      <w:marLeft w:val="0"/>
      <w:marRight w:val="0"/>
      <w:marTop w:val="0"/>
      <w:marBottom w:val="0"/>
      <w:divBdr>
        <w:top w:val="none" w:sz="0" w:space="0" w:color="auto"/>
        <w:left w:val="none" w:sz="0" w:space="0" w:color="auto"/>
        <w:bottom w:val="none" w:sz="0" w:space="0" w:color="auto"/>
        <w:right w:val="none" w:sz="0" w:space="0" w:color="auto"/>
      </w:divBdr>
    </w:div>
    <w:div w:id="1640726180">
      <w:bodyDiv w:val="1"/>
      <w:marLeft w:val="0"/>
      <w:marRight w:val="0"/>
      <w:marTop w:val="0"/>
      <w:marBottom w:val="0"/>
      <w:divBdr>
        <w:top w:val="none" w:sz="0" w:space="0" w:color="auto"/>
        <w:left w:val="none" w:sz="0" w:space="0" w:color="auto"/>
        <w:bottom w:val="none" w:sz="0" w:space="0" w:color="auto"/>
        <w:right w:val="none" w:sz="0" w:space="0" w:color="auto"/>
      </w:divBdr>
    </w:div>
    <w:div w:id="1642997437">
      <w:bodyDiv w:val="1"/>
      <w:marLeft w:val="0"/>
      <w:marRight w:val="0"/>
      <w:marTop w:val="0"/>
      <w:marBottom w:val="0"/>
      <w:divBdr>
        <w:top w:val="none" w:sz="0" w:space="0" w:color="auto"/>
        <w:left w:val="none" w:sz="0" w:space="0" w:color="auto"/>
        <w:bottom w:val="none" w:sz="0" w:space="0" w:color="auto"/>
        <w:right w:val="none" w:sz="0" w:space="0" w:color="auto"/>
      </w:divBdr>
    </w:div>
    <w:div w:id="1684041753">
      <w:bodyDiv w:val="1"/>
      <w:marLeft w:val="0"/>
      <w:marRight w:val="0"/>
      <w:marTop w:val="0"/>
      <w:marBottom w:val="0"/>
      <w:divBdr>
        <w:top w:val="none" w:sz="0" w:space="0" w:color="auto"/>
        <w:left w:val="none" w:sz="0" w:space="0" w:color="auto"/>
        <w:bottom w:val="none" w:sz="0" w:space="0" w:color="auto"/>
        <w:right w:val="none" w:sz="0" w:space="0" w:color="auto"/>
      </w:divBdr>
    </w:div>
    <w:div w:id="1697346251">
      <w:bodyDiv w:val="1"/>
      <w:marLeft w:val="0"/>
      <w:marRight w:val="0"/>
      <w:marTop w:val="0"/>
      <w:marBottom w:val="0"/>
      <w:divBdr>
        <w:top w:val="none" w:sz="0" w:space="0" w:color="auto"/>
        <w:left w:val="none" w:sz="0" w:space="0" w:color="auto"/>
        <w:bottom w:val="none" w:sz="0" w:space="0" w:color="auto"/>
        <w:right w:val="none" w:sz="0" w:space="0" w:color="auto"/>
      </w:divBdr>
    </w:div>
    <w:div w:id="1704672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surveymonkey.co.uk/r/T3STM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450A-4B37-9B38-F368CECE931A}"/>
              </c:ext>
            </c:extLst>
          </c:dPt>
          <c:dPt>
            <c:idx val="1"/>
            <c:invertIfNegative val="0"/>
            <c:bubble3D val="0"/>
            <c:spPr>
              <a:solidFill>
                <a:srgbClr val="507CB6"/>
              </a:solidFill>
              <a:ln w="0">
                <a:noFill/>
              </a:ln>
            </c:spPr>
            <c:extLst>
              <c:ext xmlns:c16="http://schemas.microsoft.com/office/drawing/2014/chart" uri="{C3380CC4-5D6E-409C-BE32-E72D297353CC}">
                <c16:uniqueId val="{00000003-450A-4B37-9B38-F368CECE931A}"/>
              </c:ext>
            </c:extLst>
          </c:dPt>
          <c:dPt>
            <c:idx val="2"/>
            <c:invertIfNegative val="0"/>
            <c:bubble3D val="0"/>
            <c:spPr>
              <a:solidFill>
                <a:srgbClr val="F9BE00"/>
              </a:solidFill>
              <a:ln w="0">
                <a:noFill/>
              </a:ln>
            </c:spPr>
            <c:extLst>
              <c:ext xmlns:c16="http://schemas.microsoft.com/office/drawing/2014/chart" uri="{C3380CC4-5D6E-409C-BE32-E72D297353CC}">
                <c16:uniqueId val="{00000005-450A-4B37-9B38-F368CECE931A}"/>
              </c:ext>
            </c:extLst>
          </c:dPt>
          <c:dPt>
            <c:idx val="3"/>
            <c:invertIfNegative val="0"/>
            <c:bubble3D val="0"/>
            <c:spPr>
              <a:solidFill>
                <a:srgbClr val="6BC8CD"/>
              </a:solidFill>
              <a:ln w="0">
                <a:noFill/>
              </a:ln>
            </c:spPr>
            <c:extLst>
              <c:ext xmlns:c16="http://schemas.microsoft.com/office/drawing/2014/chart" uri="{C3380CC4-5D6E-409C-BE32-E72D297353CC}">
                <c16:uniqueId val="{00000007-450A-4B37-9B38-F368CECE931A}"/>
              </c:ext>
            </c:extLst>
          </c:dPt>
          <c:cat>
            <c:strRef>
              <c:f>Sheet1!$A$2:$A$5</c:f>
              <c:strCache>
                <c:ptCount val="4"/>
                <c:pt idx="0">
                  <c:v>Biomethane Producer</c:v>
                </c:pt>
                <c:pt idx="1">
                  <c:v>Biomethane Plant Developer</c:v>
                </c:pt>
                <c:pt idx="2">
                  <c:v>Biomethane Consultant</c:v>
                </c:pt>
                <c:pt idx="3">
                  <c:v>Other (please specify)</c:v>
                </c:pt>
              </c:strCache>
            </c:strRef>
          </c:cat>
          <c:val>
            <c:numRef>
              <c:f>Sheet1!$B$2:$B$5</c:f>
              <c:numCache>
                <c:formatCode>0.00%</c:formatCode>
                <c:ptCount val="4"/>
                <c:pt idx="0">
                  <c:v>0.52939999999999998</c:v>
                </c:pt>
                <c:pt idx="1">
                  <c:v>0.23530000000000001</c:v>
                </c:pt>
                <c:pt idx="2">
                  <c:v>5.8799999999999998E-2</c:v>
                </c:pt>
                <c:pt idx="3">
                  <c:v>0.35289999999999999</c:v>
                </c:pt>
              </c:numCache>
            </c:numRef>
          </c:val>
          <c:extLst>
            <c:ext xmlns:c16="http://schemas.microsoft.com/office/drawing/2014/chart" uri="{C3380CC4-5D6E-409C-BE32-E72D297353CC}">
              <c16:uniqueId val="{00000008-450A-4B37-9B38-F368CECE931A}"/>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1"/>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 </c:v>
                </c:pt>
              </c:strCache>
            </c:strRef>
          </c:tx>
          <c:spPr>
            <a:solidFill>
              <a:srgbClr val="00BF6F"/>
            </a:solidFill>
          </c:spPr>
          <c:invertIfNegative val="0"/>
          <c:dPt>
            <c:idx val="0"/>
            <c:invertIfNegative val="0"/>
            <c:bubble3D val="0"/>
            <c:spPr>
              <a:solidFill>
                <a:srgbClr val="00BF6F"/>
              </a:solidFill>
              <a:ln w="0">
                <a:noFill/>
              </a:ln>
            </c:spPr>
            <c:extLst>
              <c:ext xmlns:c16="http://schemas.microsoft.com/office/drawing/2014/chart" uri="{C3380CC4-5D6E-409C-BE32-E72D297353CC}">
                <c16:uniqueId val="{00000001-ED4B-4D7A-8C9E-F0AD254CC0EB}"/>
              </c:ext>
            </c:extLst>
          </c:dPt>
          <c:dPt>
            <c:idx val="1"/>
            <c:invertIfNegative val="0"/>
            <c:bubble3D val="0"/>
            <c:spPr>
              <a:solidFill>
                <a:srgbClr val="507CB6"/>
              </a:solidFill>
              <a:ln w="0">
                <a:noFill/>
              </a:ln>
            </c:spPr>
            <c:extLst>
              <c:ext xmlns:c16="http://schemas.microsoft.com/office/drawing/2014/chart" uri="{C3380CC4-5D6E-409C-BE32-E72D297353CC}">
                <c16:uniqueId val="{00000003-ED4B-4D7A-8C9E-F0AD254CC0EB}"/>
              </c:ext>
            </c:extLst>
          </c:dPt>
          <c:dPt>
            <c:idx val="2"/>
            <c:invertIfNegative val="0"/>
            <c:bubble3D val="0"/>
            <c:spPr>
              <a:solidFill>
                <a:srgbClr val="F9BE00"/>
              </a:solidFill>
              <a:ln w="0">
                <a:noFill/>
              </a:ln>
            </c:spPr>
            <c:extLst>
              <c:ext xmlns:c16="http://schemas.microsoft.com/office/drawing/2014/chart" uri="{C3380CC4-5D6E-409C-BE32-E72D297353CC}">
                <c16:uniqueId val="{00000005-ED4B-4D7A-8C9E-F0AD254CC0EB}"/>
              </c:ext>
            </c:extLst>
          </c:dPt>
          <c:cat>
            <c:strRef>
              <c:f>Sheet1!$A$2:$A$4</c:f>
              <c:strCache>
                <c:ptCount val="3"/>
                <c:pt idx="0">
                  <c:v>Reinforcement Prices</c:v>
                </c:pt>
                <c:pt idx="1">
                  <c:v>All or Nothing Cap</c:v>
                </c:pt>
                <c:pt idx="2">
                  <c:v>Entry Test</c:v>
                </c:pt>
              </c:strCache>
            </c:strRef>
          </c:cat>
          <c:val>
            <c:numRef>
              <c:f>Sheet1!$B$2:$B$4</c:f>
              <c:numCache>
                <c:formatCode>0.00%</c:formatCode>
                <c:ptCount val="3"/>
                <c:pt idx="0">
                  <c:v>2.29</c:v>
                </c:pt>
                <c:pt idx="1">
                  <c:v>1.5</c:v>
                </c:pt>
                <c:pt idx="2">
                  <c:v>2.29</c:v>
                </c:pt>
              </c:numCache>
            </c:numRef>
          </c:val>
          <c:extLst>
            <c:ext xmlns:c16="http://schemas.microsoft.com/office/drawing/2014/chart" uri="{C3380CC4-5D6E-409C-BE32-E72D297353CC}">
              <c16:uniqueId val="{00000006-ED4B-4D7A-8C9E-F0AD254CC0EB}"/>
            </c:ext>
          </c:extLst>
        </c:ser>
        <c:dLbls>
          <c:showLegendKey val="0"/>
          <c:showVal val="0"/>
          <c:showCatName val="0"/>
          <c:showSerName val="0"/>
          <c:showPercent val="0"/>
          <c:showBubbleSize val="0"/>
        </c:dLbls>
        <c:gapWidth val="50"/>
        <c:overlap val="100"/>
        <c:axId val="2068027336"/>
        <c:axId val="2113994440"/>
      </c:barChart>
      <c:catAx>
        <c:axId val="2068027336"/>
        <c:scaling>
          <c:orientation val="maxMin"/>
        </c:scaling>
        <c:delete val="0"/>
        <c:axPos val="l"/>
        <c:numFmt formatCode="General" sourceLinked="0"/>
        <c:majorTickMark val="out"/>
        <c:minorTickMark val="none"/>
        <c:tickLblPos val="low"/>
        <c:spPr>
          <a:ln>
            <a:solidFill>
              <a:srgbClr val="7F7F7F"/>
            </a:solidFill>
          </a:ln>
        </c:spPr>
        <c:txPr>
          <a:bodyPr/>
          <a:lstStyle/>
          <a:p>
            <a:pPr>
              <a:defRPr sz="1000" b="0">
                <a:solidFill>
                  <a:srgbClr val="7F7F7F"/>
                </a:solidFill>
              </a:defRPr>
            </a:pPr>
            <a:endParaRPr lang="en-US"/>
          </a:p>
        </c:txPr>
        <c:crossAx val="2113994440"/>
        <c:crosses val="autoZero"/>
        <c:auto val="1"/>
        <c:lblAlgn val="ctr"/>
        <c:lblOffset val="100"/>
        <c:noMultiLvlLbl val="0"/>
      </c:catAx>
      <c:valAx>
        <c:axId val="2113994440"/>
        <c:scaling>
          <c:orientation val="minMax"/>
          <c:max val="10"/>
          <c:min val="0"/>
        </c:scaling>
        <c:delete val="0"/>
        <c:axPos val="b"/>
        <c:numFmt formatCode="0" sourceLinked="0"/>
        <c:majorTickMark val="out"/>
        <c:minorTickMark val="none"/>
        <c:tickLblPos val="nextTo"/>
        <c:spPr>
          <a:ln>
            <a:solidFill>
              <a:srgbClr val="7F7F7F"/>
            </a:solidFill>
          </a:ln>
        </c:spPr>
        <c:txPr>
          <a:bodyPr/>
          <a:lstStyle/>
          <a:p>
            <a:pPr>
              <a:defRPr sz="1000" b="0">
                <a:solidFill>
                  <a:srgbClr val="7F7F7F"/>
                </a:solidFill>
              </a:defRPr>
            </a:pPr>
            <a:endParaRPr lang="en-US"/>
          </a:p>
        </c:txPr>
        <c:crossAx val="2068027336"/>
        <c:crosses val="max"/>
        <c:crossBetween val="between"/>
      </c:valAx>
    </c:plotArea>
    <c:plotVisOnly val="1"/>
    <c:dispBlanksAs val="gap"/>
    <c:showDLblsOverMax val="1"/>
  </c:chart>
  <c:txPr>
    <a:bodyPr/>
    <a:lstStyle/>
    <a:p>
      <a:pPr>
        <a:defRPr sz="1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E9468714285C46B5253925DAEB5AAA" ma:contentTypeVersion="18" ma:contentTypeDescription="Create a new document." ma:contentTypeScope="" ma:versionID="f88ffdf187dea6d83d42e6b582ce0a20">
  <xsd:schema xmlns:xsd="http://www.w3.org/2001/XMLSchema" xmlns:xs="http://www.w3.org/2001/XMLSchema" xmlns:p="http://schemas.microsoft.com/office/2006/metadata/properties" xmlns:ns2="8134cc15-57ff-4e4f-9d11-7f3df771d128" xmlns:ns3="aa8ae8bf-d623-4c35-a9ef-0c53b0d11463" targetNamespace="http://schemas.microsoft.com/office/2006/metadata/properties" ma:root="true" ma:fieldsID="712cea28dcedcb5df9751a257e7bfecc" ns2:_="" ns3:_="">
    <xsd:import namespace="8134cc15-57ff-4e4f-9d11-7f3df771d128"/>
    <xsd:import namespace="aa8ae8bf-d623-4c35-a9ef-0c53b0d11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Candidatenote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cc15-57ff-4e4f-9d11-7f3df771d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andidatenotes" ma:index="21" nillable="true" ma:displayName="Candidate notes" ma:format="Dropdown" ma:internalName="Candidatenotes">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d2363a9-360e-43cd-a593-24de46796e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8ae8bf-d623-4c35-a9ef-0c53b0d11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a8c5ca0-e73f-40c4-82bc-2141704de12b}" ma:internalName="TaxCatchAll" ma:showField="CatchAllData" ma:web="aa8ae8bf-d623-4c35-a9ef-0c53b0d11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ndidatenotes xmlns="8134cc15-57ff-4e4f-9d11-7f3df771d128" xsi:nil="true"/>
    <_Flow_SignoffStatus xmlns="8134cc15-57ff-4e4f-9d11-7f3df771d128" xsi:nil="true"/>
    <TaxCatchAll xmlns="aa8ae8bf-d623-4c35-a9ef-0c53b0d11463" xsi:nil="true"/>
    <lcf76f155ced4ddcb4097134ff3c332f xmlns="8134cc15-57ff-4e4f-9d11-7f3df771d1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9DC84-52AB-4F0C-892A-414B39EFE863}">
  <ds:schemaRefs>
    <ds:schemaRef ds:uri="http://schemas.microsoft.com/sharepoint/v3/contenttype/forms"/>
  </ds:schemaRefs>
</ds:datastoreItem>
</file>

<file path=customXml/itemProps2.xml><?xml version="1.0" encoding="utf-8"?>
<ds:datastoreItem xmlns:ds="http://schemas.openxmlformats.org/officeDocument/2006/customXml" ds:itemID="{3AADC344-04B1-4308-8FA8-CCA08FD1D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cc15-57ff-4e4f-9d11-7f3df771d128"/>
    <ds:schemaRef ds:uri="aa8ae8bf-d623-4c35-a9ef-0c53b0d11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ECF45-05A7-4AA5-B589-BF750F8AD733}">
  <ds:schemaRefs>
    <ds:schemaRef ds:uri="http://schemas.microsoft.com/office/2006/metadata/properties"/>
    <ds:schemaRef ds:uri="aa8ae8bf-d623-4c35-a9ef-0c53b0d11463"/>
    <ds:schemaRef ds:uri="http://purl.org/dc/terms/"/>
    <ds:schemaRef ds:uri="8134cc15-57ff-4e4f-9d11-7f3df771d12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25105</CharactersWithSpaces>
  <SharedDoc>false</SharedDoc>
  <HLinks>
    <vt:vector size="6" baseType="variant">
      <vt:variant>
        <vt:i4>589916</vt:i4>
      </vt:variant>
      <vt:variant>
        <vt:i4>0</vt:i4>
      </vt:variant>
      <vt:variant>
        <vt:i4>0</vt:i4>
      </vt:variant>
      <vt:variant>
        <vt:i4>5</vt:i4>
      </vt:variant>
      <vt:variant>
        <vt:lpwstr>https://www.surveymonkey.co.uk/r/T3STMMX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Kiara Zennaro</dc:creator>
  <cp:lastModifiedBy>Kiara Zennaro</cp:lastModifiedBy>
  <cp:revision>2</cp:revision>
  <dcterms:created xsi:type="dcterms:W3CDTF">2022-08-19T12:10:00Z</dcterms:created>
  <dcterms:modified xsi:type="dcterms:W3CDTF">2022-08-19T12:10:00Z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0x01010004E9468714285C46B5253925DAEB5AAA</vt:lpwstr>
  </property>
  <property fmtid="{D5CDD505-2E9C-101B-9397-08002B2CF9AE}" pid="3" name="MediaServiceImageTags">
    <vt:lpwstr/>
  </property>
</Properties>
</file>