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rPr>
          <w:rFonts w:ascii="Open Sans" w:cs="Open Sans" w:eastAsia="Open Sans" w:hAnsi="Open Sans"/>
          <w:b w:val="1"/>
          <w:color w:val="06926b"/>
          <w:sz w:val="19"/>
          <w:szCs w:val="19"/>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4747260</wp:posOffset>
            </wp:positionH>
            <wp:positionV relativeFrom="paragraph">
              <wp:posOffset>0</wp:posOffset>
            </wp:positionV>
            <wp:extent cx="1684020" cy="8763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4020" cy="8763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rPr>
          <w:rFonts w:ascii="Open Sans" w:cs="Open Sans" w:eastAsia="Open Sans" w:hAnsi="Open Sans"/>
          <w:b w:val="1"/>
          <w:color w:val="06926b"/>
          <w:sz w:val="19"/>
          <w:szCs w:val="19"/>
        </w:rPr>
      </w:pPr>
      <w:r w:rsidDel="00000000" w:rsidR="00000000" w:rsidRPr="00000000">
        <w:rPr>
          <w:rFonts w:ascii="Open Sans" w:cs="Open Sans" w:eastAsia="Open Sans" w:hAnsi="Open Sans"/>
          <w:b w:val="1"/>
          <w:color w:val="06926b"/>
          <w:sz w:val="19"/>
          <w:szCs w:val="19"/>
          <w:rtl w:val="0"/>
        </w:rPr>
        <w:t xml:space="preserve">REA Member Brief - EU Vote on Biomass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rPr>
          <w:rFonts w:ascii="Open Sans" w:cs="Open Sans" w:eastAsia="Open Sans" w:hAnsi="Open Sans"/>
          <w:b w:val="1"/>
          <w:color w:val="06926b"/>
          <w:sz w:val="19"/>
          <w:szCs w:val="19"/>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rPr>
          <w:rFonts w:ascii="Open Sans" w:cs="Open Sans" w:eastAsia="Open Sans" w:hAnsi="Open Sans"/>
          <w:sz w:val="19"/>
          <w:szCs w:val="19"/>
        </w:rPr>
      </w:pPr>
      <w:r w:rsidDel="00000000" w:rsidR="00000000" w:rsidRPr="00000000">
        <w:rPr>
          <w:rFonts w:ascii="Open Sans" w:cs="Open Sans" w:eastAsia="Open Sans" w:hAnsi="Open Sans"/>
          <w:b w:val="1"/>
          <w:sz w:val="19"/>
          <w:szCs w:val="19"/>
          <w:rtl w:val="0"/>
        </w:rPr>
        <w:t xml:space="preserve">Briefing for</w:t>
      </w:r>
      <w:r w:rsidDel="00000000" w:rsidR="00000000" w:rsidRPr="00000000">
        <w:rPr>
          <w:rFonts w:ascii="Open Sans" w:cs="Open Sans" w:eastAsia="Open Sans" w:hAnsi="Open Sans"/>
          <w:sz w:val="19"/>
          <w:szCs w:val="19"/>
          <w:rtl w:val="0"/>
        </w:rPr>
        <w:t xml:space="preserve">: </w:t>
        <w:tab/>
        <w:t xml:space="preserve">REA Biomass Members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1440" w:hanging="1440"/>
        <w:rPr>
          <w:rFonts w:ascii="Open Sans" w:cs="Open Sans" w:eastAsia="Open Sans" w:hAnsi="Open Sans"/>
          <w:sz w:val="19"/>
          <w:szCs w:val="19"/>
        </w:rPr>
      </w:pPr>
      <w:r w:rsidDel="00000000" w:rsidR="00000000" w:rsidRPr="00000000">
        <w:rPr>
          <w:rFonts w:ascii="Open Sans" w:cs="Open Sans" w:eastAsia="Open Sans" w:hAnsi="Open Sans"/>
          <w:b w:val="1"/>
          <w:sz w:val="19"/>
          <w:szCs w:val="19"/>
          <w:rtl w:val="0"/>
        </w:rPr>
        <w:t xml:space="preserve">Purpose</w:t>
      </w:r>
      <w:r w:rsidDel="00000000" w:rsidR="00000000" w:rsidRPr="00000000">
        <w:rPr>
          <w:rFonts w:ascii="Open Sans" w:cs="Open Sans" w:eastAsia="Open Sans" w:hAnsi="Open Sans"/>
          <w:sz w:val="19"/>
          <w:szCs w:val="19"/>
          <w:rtl w:val="0"/>
        </w:rPr>
        <w:t xml:space="preserve">: </w:t>
        <w:tab/>
        <w:t xml:space="preserve">To inform members around recent EU votes on biomass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rPr>
          <w:rFonts w:ascii="Open Sans" w:cs="Open Sans" w:eastAsia="Open Sans" w:hAnsi="Open Sans"/>
          <w:color w:val="06926b"/>
          <w:sz w:val="19"/>
          <w:szCs w:val="19"/>
        </w:rPr>
      </w:pPr>
      <w:r w:rsidDel="00000000" w:rsidR="00000000" w:rsidRPr="00000000">
        <w:rPr>
          <w:rFonts w:ascii="Open Sans" w:cs="Open Sans" w:eastAsia="Open Sans" w:hAnsi="Open Sans"/>
          <w:b w:val="1"/>
          <w:sz w:val="19"/>
          <w:szCs w:val="19"/>
          <w:rtl w:val="0"/>
        </w:rPr>
        <w:t xml:space="preserve">Date</w:t>
      </w:r>
      <w:r w:rsidDel="00000000" w:rsidR="00000000" w:rsidRPr="00000000">
        <w:rPr>
          <w:rFonts w:ascii="Open Sans" w:cs="Open Sans" w:eastAsia="Open Sans" w:hAnsi="Open Sans"/>
          <w:sz w:val="19"/>
          <w:szCs w:val="19"/>
          <w:rtl w:val="0"/>
        </w:rPr>
        <w:t xml:space="preserve">: </w:t>
        <w:tab/>
        <w:tab/>
        <w:t xml:space="preserve">September 2022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6680835" cy="957167"/>
                <wp:effectExtent b="0" l="0" r="0" t="0"/>
                <wp:wrapTopAndBottom distB="0" distT="0"/>
                <wp:docPr id="1" name=""/>
                <a:graphic>
                  <a:graphicData uri="http://schemas.microsoft.com/office/word/2010/wordprocessingShape">
                    <wps:wsp>
                      <wps:cNvSpPr/>
                      <wps:cNvPr id="2" name="Shape 2"/>
                      <wps:spPr>
                        <a:xfrm>
                          <a:off x="2062475" y="3261425"/>
                          <a:ext cx="6567072" cy="792686"/>
                        </a:xfrm>
                        <a:custGeom>
                          <a:rect b="b" l="l" r="r" t="t"/>
                          <a:pathLst>
                            <a:path extrusionOk="0" h="949325" w="6094730">
                              <a:moveTo>
                                <a:pt x="0" y="0"/>
                              </a:moveTo>
                              <a:lnTo>
                                <a:pt x="0" y="949325"/>
                              </a:lnTo>
                              <a:lnTo>
                                <a:pt x="6094730" y="949325"/>
                              </a:lnTo>
                              <a:lnTo>
                                <a:pt x="6094730" y="0"/>
                              </a:lnTo>
                              <a:close/>
                            </a:path>
                          </a:pathLst>
                        </a:custGeom>
                        <a:solidFill>
                          <a:srgbClr val="FFFFFF"/>
                        </a:solidFill>
                        <a:ln cap="flat" cmpd="sng" w="38100">
                          <a:solidFill>
                            <a:srgbClr val="06926B"/>
                          </a:solidFill>
                          <a:prstDash val="solid"/>
                          <a:miter lim="8000"/>
                          <a:headEnd len="sm" w="sm" type="none"/>
                          <a:tailEnd len="sm" w="sm" type="none"/>
                        </a:ln>
                      </wps:spPr>
                      <wps:txbx>
                        <w:txbxContent>
                          <w:p w:rsidR="00000000" w:rsidDel="00000000" w:rsidP="00000000" w:rsidRDefault="00000000" w:rsidRPr="00000000">
                            <w:pPr>
                              <w:spacing w:after="0" w:before="0" w:line="274.9999237060547"/>
                              <w:ind w:left="0" w:right="0" w:firstLine="0"/>
                              <w:jc w:val="left"/>
                              <w:textDirection w:val="btLr"/>
                            </w:pPr>
                            <w:r w:rsidDel="00000000" w:rsidR="00000000" w:rsidRPr="00000000">
                              <w:rPr>
                                <w:rFonts w:ascii="Open Sans" w:cs="Open Sans" w:eastAsia="Open Sans" w:hAnsi="Open Sans"/>
                                <w:b w:val="1"/>
                                <w:i w:val="0"/>
                                <w:smallCaps w:val="0"/>
                                <w:strike w:val="0"/>
                                <w:color w:val="000000"/>
                                <w:sz w:val="19"/>
                                <w:vertAlign w:val="baseline"/>
                              </w:rPr>
                              <w:t xml:space="preserve">Key Points: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1"/>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The vote allows biomass, to continue counting towards renewable energy targets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Amendments have called for phasing down the share of primary wood biomass counted as renewable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The proposals define biomass to include all roundwood felled or otherwise harvested or removed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r w:rsidDel="00000000" w:rsidR="00000000" w:rsidRPr="00000000">
                              <w:rPr>
                                <w:rFonts w:ascii="Open Sans" w:cs="Open Sans" w:eastAsia="Open Sans" w:hAnsi="Open Sans"/>
                                <w:b w:val="0"/>
                                <w:i w:val="0"/>
                                <w:smallCaps w:val="0"/>
                                <w:strike w:val="0"/>
                                <w:color w:val="000000"/>
                                <w:sz w:val="19"/>
                                <w:vertAlign w:val="baseline"/>
                              </w:rPr>
                              <w:t xml:space="preserve">REA welcomes the adoption of the REDIII but the new definition of primary biomass raises concerns.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9"/>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6680835" cy="957167"/>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80835" cy="957167"/>
                        </a:xfrm>
                        <a:prstGeom prst="rect"/>
                        <a:ln/>
                      </pic:spPr>
                    </pic:pic>
                  </a:graphicData>
                </a:graphic>
              </wp:anchor>
            </w:drawing>
          </mc:Fallback>
        </mc:AlternateConten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color w:val="000000"/>
          <w:sz w:val="19"/>
          <w:szCs w:val="19"/>
        </w:rPr>
      </w:pPr>
      <w:r w:rsidDel="00000000" w:rsidR="00000000" w:rsidRPr="00000000">
        <w:rPr>
          <w:rFonts w:ascii="Open Sans" w:cs="Open Sans" w:eastAsia="Open Sans" w:hAnsi="Open Sans"/>
          <w:b w:val="1"/>
          <w:sz w:val="19"/>
          <w:szCs w:val="19"/>
          <w:rtl w:val="0"/>
        </w:rPr>
        <w:t xml:space="preserve">Context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Open Sans" w:cs="Open Sans" w:eastAsia="Open Sans" w:hAnsi="Open Sans"/>
          <w:sz w:val="19"/>
          <w:szCs w:val="19"/>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0" w:top="144" w:left="1080" w:right="1274" w:header="0" w:footer="0"/>
          <w:pgNumType w:start="1"/>
        </w:sectPr>
      </w:pPr>
      <w:r w:rsidDel="00000000" w:rsidR="00000000" w:rsidRPr="00000000">
        <w:rPr>
          <w:rFonts w:ascii="Open Sans" w:cs="Open Sans" w:eastAsia="Open Sans" w:hAnsi="Open Sans"/>
          <w:sz w:val="19"/>
          <w:szCs w:val="19"/>
          <w:rtl w:val="0"/>
        </w:rPr>
        <w:t xml:space="preserve">MEPs on Sept. 14 voted in favour of proposals for a revised Renewable Energy Directive (REDIII). The proposals aim to raise the share of renewables in the European Union’s final energy consumption to 45 percent by 2030. The legislation also defines sub-targets for sectors such as transport, buildings and heating. In the transport sector, deploying renewables should lead to a 16% reduction in greenhouse gas emissions. Industry should boost its use of renewables by 1.9% per year, and district heating networks by 2.3%.</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Primary Wood Biomass</w:t>
      </w:r>
    </w:p>
    <w:p w:rsidR="00000000" w:rsidDel="00000000" w:rsidP="00000000" w:rsidRDefault="00000000" w:rsidRPr="00000000" w14:paraId="0000000D">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0E">
      <w:pPr>
        <w:spacing w:after="0"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MEPs also adopted amendments calling for phasing down the share of primary wood counted as renewable energy. The proposals define primary wood biomass to include all roundwood felled or otherwise harvested. This includes all wood obtained from removals, such as the quantities removed from forests. This also includes wood recovered due to natural mortality, felling and logging. It also includes all wood removed with or without bark. This includes wood removed in its round form or in other forms, such as branches, roots and stumps. The definition of primary wood biomass does not include woody biomass obtained from wildfire prevention, road safety measures, and natural disasters.</w:t>
      </w:r>
    </w:p>
    <w:p w:rsidR="00000000" w:rsidDel="00000000" w:rsidP="00000000" w:rsidRDefault="00000000" w:rsidRPr="00000000" w14:paraId="0000000F">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sz w:val="19"/>
          <w:szCs w:val="19"/>
        </w:rPr>
      </w:pPr>
      <w:r w:rsidDel="00000000" w:rsidR="00000000" w:rsidRPr="00000000">
        <w:rPr>
          <w:rFonts w:ascii="Open Sans" w:cs="Open Sans" w:eastAsia="Open Sans" w:hAnsi="Open Sans"/>
          <w:b w:val="1"/>
          <w:sz w:val="19"/>
          <w:szCs w:val="19"/>
          <w:rtl w:val="0"/>
        </w:rPr>
        <w:t xml:space="preserve">Capping Primary Wood Biomass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360" w:firstLine="0"/>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12">
      <w:pPr>
        <w:spacing w:after="0" w:lineRule="auto"/>
        <w:rPr>
          <w:rFonts w:ascii="Open Sans" w:cs="Open Sans" w:eastAsia="Open Sans" w:hAnsi="Open Sans"/>
          <w:sz w:val="19"/>
          <w:szCs w:val="19"/>
        </w:rPr>
      </w:pPr>
      <w:r w:rsidDel="00000000" w:rsidR="00000000" w:rsidRPr="00000000">
        <w:rPr>
          <w:rFonts w:ascii="Open Sans" w:cs="Open Sans" w:eastAsia="Open Sans" w:hAnsi="Open Sans"/>
          <w:sz w:val="19"/>
          <w:szCs w:val="19"/>
          <w:rtl w:val="0"/>
        </w:rPr>
        <w:t xml:space="preserve">Under the proposal, the share from primary woody biomass cannot exceed the share of the average solid biomass consumption in 2017-2022. Whilst this is disappointing, MEPs voted against setting any dates to reduce the burning of primary wood. They also rejected calls for a complete phaseout of biomass energy generation.</w:t>
      </w:r>
      <w:r w:rsidDel="00000000" w:rsidR="00000000" w:rsidRPr="00000000">
        <w:rPr>
          <w:rtl w:val="0"/>
        </w:rPr>
      </w:r>
    </w:p>
    <w:p w:rsidR="00000000" w:rsidDel="00000000" w:rsidP="00000000" w:rsidRDefault="00000000" w:rsidRPr="00000000" w14:paraId="00000013">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color w:val="000000"/>
          <w:sz w:val="19"/>
          <w:szCs w:val="19"/>
        </w:rPr>
      </w:pPr>
      <w:r w:rsidDel="00000000" w:rsidR="00000000" w:rsidRPr="00000000">
        <w:rPr>
          <w:rFonts w:ascii="Open Sans" w:cs="Open Sans" w:eastAsia="Open Sans" w:hAnsi="Open Sans"/>
          <w:b w:val="1"/>
          <w:sz w:val="19"/>
          <w:szCs w:val="19"/>
          <w:rtl w:val="0"/>
        </w:rPr>
        <w:t xml:space="preserve">Other Policy Implications of the Vote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45% EU RES target.</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Definition of RESH2 including both pathways (electrolysis and biogas reforming).</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Unchanged definition of food and feed crops.</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Transport targets in line with REPowerEU (unchanged for advanced biofuels).</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No hard request of waste hierarchy in sustainability criteria.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No retroactive application of GHG savings for existing plants, 70% for those starting in 2021 (as it is now) and 85% from 2026 (so up 5% compared to 2018 text).</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Transport target is 0,5 % in 2025 and at least 2,2 % in 2030, and the share of renewable fuels of non-biological origin is at least 2,6 % in 2028 and at least 5,7 %in 2030. </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No halving of food and feed crop-based biofuels as proposed in the ENVI Committee.</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Renewables in buildings target at least 49% % share of energy from renewable sources and unavoidable waste heat and cold in the buildings sector by 2030.</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Increased share of renewable heating by an indicative 2.3% as an annual average.</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Share in RFNBOs of Hydrogen maintained.</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GOs: requirements unchanged compared to ITRE Committee Report.</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360" w:hanging="360"/>
        <w:rPr>
          <w:rFonts w:ascii="Open Sans" w:cs="Open Sans" w:eastAsia="Open Sans" w:hAnsi="Open Sans"/>
          <w:b w:val="1"/>
          <w:sz w:val="19"/>
          <w:szCs w:val="19"/>
          <w:u w:val="none"/>
        </w:rPr>
      </w:pPr>
      <w:r w:rsidDel="00000000" w:rsidR="00000000" w:rsidRPr="00000000">
        <w:rPr>
          <w:rFonts w:ascii="Open Sans" w:cs="Open Sans" w:eastAsia="Open Sans" w:hAnsi="Open Sans"/>
          <w:b w:val="1"/>
          <w:sz w:val="19"/>
          <w:szCs w:val="19"/>
          <w:rtl w:val="0"/>
        </w:rPr>
        <w:t xml:space="preserve">Takeaways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25">
      <w:pPr>
        <w:numPr>
          <w:ilvl w:val="0"/>
          <w:numId w:val="3"/>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This vote means that biomass will remain a part of the EU’s renewable energy future, and the REA welcomes this.</w:t>
      </w:r>
    </w:p>
    <w:p w:rsidR="00000000" w:rsidDel="00000000" w:rsidP="00000000" w:rsidRDefault="00000000" w:rsidRPr="00000000" w14:paraId="00000026">
      <w:pPr>
        <w:numPr>
          <w:ilvl w:val="0"/>
          <w:numId w:val="3"/>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Keeping biomass within REDIII was supported across the European Parliament’s political spectrum.</w:t>
      </w:r>
    </w:p>
    <w:p w:rsidR="00000000" w:rsidDel="00000000" w:rsidP="00000000" w:rsidRDefault="00000000" w:rsidRPr="00000000" w14:paraId="00000027">
      <w:pPr>
        <w:numPr>
          <w:ilvl w:val="0"/>
          <w:numId w:val="3"/>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Definitions of primary and secondary biomass are overly harsh and could limit the availability of biomass in the EU.</w:t>
      </w:r>
    </w:p>
    <w:p w:rsidR="00000000" w:rsidDel="00000000" w:rsidP="00000000" w:rsidRDefault="00000000" w:rsidRPr="00000000" w14:paraId="00000028">
      <w:pPr>
        <w:numPr>
          <w:ilvl w:val="0"/>
          <w:numId w:val="3"/>
        </w:numPr>
        <w:spacing w:after="0" w:lineRule="auto"/>
        <w:ind w:left="720" w:hanging="360"/>
        <w:rPr>
          <w:rFonts w:ascii="Open Sans" w:cs="Open Sans" w:eastAsia="Open Sans" w:hAnsi="Open Sans"/>
          <w:sz w:val="19"/>
          <w:szCs w:val="19"/>
          <w:u w:val="none"/>
        </w:rPr>
      </w:pPr>
      <w:r w:rsidDel="00000000" w:rsidR="00000000" w:rsidRPr="00000000">
        <w:rPr>
          <w:rFonts w:ascii="Open Sans" w:cs="Open Sans" w:eastAsia="Open Sans" w:hAnsi="Open Sans"/>
          <w:sz w:val="19"/>
          <w:szCs w:val="19"/>
          <w:rtl w:val="0"/>
        </w:rPr>
        <w:t xml:space="preserve">Placing limits on biomass and not other renewable technologies does create an imbalance between biomass and other decarobinsation solutions. Which could mean biomass being less competitive in the EU.</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360" w:firstLine="0"/>
        <w:rPr>
          <w:rFonts w:ascii="Open Sans" w:cs="Open Sans" w:eastAsia="Open Sans" w:hAnsi="Open Sans"/>
          <w:b w:val="1"/>
          <w:sz w:val="19"/>
          <w:szCs w:val="19"/>
        </w:rPr>
      </w:pPr>
      <w:r w:rsidDel="00000000" w:rsidR="00000000" w:rsidRPr="00000000">
        <w:rPr>
          <w:rtl w:val="0"/>
        </w:rPr>
      </w:r>
    </w:p>
    <w:p w:rsidR="00000000" w:rsidDel="00000000" w:rsidP="00000000" w:rsidRDefault="00000000" w:rsidRPr="00000000" w14:paraId="0000002A">
      <w:pPr>
        <w:spacing w:after="0" w:lineRule="auto"/>
        <w:ind w:left="720" w:firstLine="0"/>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B">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C">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D">
      <w:pPr>
        <w:spacing w:after="0" w:lineRule="auto"/>
        <w:rPr>
          <w:rFonts w:ascii="Open Sans" w:cs="Open Sans" w:eastAsia="Open Sans" w:hAnsi="Open Sans"/>
          <w:sz w:val="19"/>
          <w:szCs w:val="19"/>
        </w:rPr>
      </w:pPr>
      <w:r w:rsidDel="00000000" w:rsidR="00000000" w:rsidRPr="00000000">
        <w:rPr>
          <w:rtl w:val="0"/>
        </w:rPr>
      </w:r>
    </w:p>
    <w:p w:rsidR="00000000" w:rsidDel="00000000" w:rsidP="00000000" w:rsidRDefault="00000000" w:rsidRPr="00000000" w14:paraId="0000002E">
      <w:pPr>
        <w:spacing w:after="0" w:lineRule="auto"/>
        <w:rPr>
          <w:rFonts w:ascii="Open Sans" w:cs="Open Sans" w:eastAsia="Open Sans" w:hAnsi="Open Sans"/>
          <w:b w:val="1"/>
          <w:sz w:val="19"/>
          <w:szCs w:val="19"/>
        </w:rPr>
      </w:pPr>
      <w:r w:rsidDel="00000000" w:rsidR="00000000" w:rsidRPr="00000000">
        <w:rPr>
          <w:rtl w:val="0"/>
        </w:rPr>
      </w:r>
    </w:p>
    <w:sectPr>
      <w:type w:val="continuous"/>
      <w:pgSz w:h="16838" w:w="11906" w:orient="portrait"/>
      <w:pgMar w:bottom="0" w:top="144" w:left="1080" w:right="127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pos="4513"/>
        <w:tab w:val="right" w:pos="9026"/>
      </w:tabs>
      <w:spacing w:after="0" w:line="240" w:lineRule="auto"/>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____________________________________________</w:t>
    </w:r>
  </w:p>
  <w:p w:rsidR="00000000" w:rsidDel="00000000" w:rsidP="00000000" w:rsidRDefault="00000000" w:rsidRPr="00000000" w14:paraId="00000034">
    <w:pPr>
      <w:tabs>
        <w:tab w:val="center" w:pos="4513"/>
        <w:tab w:val="right" w:pos="9026"/>
      </w:tabs>
      <w:spacing w:after="0" w:line="240" w:lineRule="auto"/>
      <w:rPr>
        <w:rFonts w:ascii="Open Sans" w:cs="Open Sans" w:eastAsia="Open Sans" w:hAnsi="Open Sans"/>
        <w:b w:val="1"/>
        <w:sz w:val="16"/>
        <w:szCs w:val="16"/>
      </w:rPr>
    </w:pPr>
    <w:r w:rsidDel="00000000" w:rsidR="00000000" w:rsidRPr="00000000">
      <w:rPr>
        <w:rFonts w:ascii="Open Sans" w:cs="Open Sans" w:eastAsia="Open Sans" w:hAnsi="Open Sans"/>
        <w:b w:val="1"/>
        <w:sz w:val="16"/>
        <w:szCs w:val="16"/>
        <w:rtl w:val="0"/>
      </w:rPr>
      <w:t xml:space="preserve">Please contact Pablo John, Heat Policy Analyst - at pjohn@r-e-an.et</w:t>
    </w:r>
  </w:p>
  <w:p w:rsidR="00000000" w:rsidDel="00000000" w:rsidP="00000000" w:rsidRDefault="00000000" w:rsidRPr="00000000" w14:paraId="00000035">
    <w:pPr>
      <w:tabs>
        <w:tab w:val="center" w:pos="4513"/>
        <w:tab w:val="right" w:pos="9026"/>
      </w:tabs>
      <w:spacing w:after="0" w:line="240" w:lineRule="auto"/>
      <w:jc w:val="center"/>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1</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513"/>
        <w:tab w:val="right" w:pos="9026"/>
      </w:tabs>
      <w:spacing w:after="405"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Open Sans" w:cs="Open Sans" w:eastAsia="Open Sans" w:hAnsi="Open Sans"/>
        <w:color w:val="000000"/>
        <w:sz w:val="16"/>
        <w:szCs w:val="16"/>
      </w:rPr>
    </w:pPr>
    <w:r w:rsidDel="00000000" w:rsidR="00000000" w:rsidRPr="00000000">
      <w:rPr>
        <w:rFonts w:ascii="Open Sans" w:cs="Open Sans" w:eastAsia="Open Sans" w:hAnsi="Open Sans"/>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513"/>
        <w:tab w:val="center" w:pos="4776"/>
        <w:tab w:val="left" w:pos="8573"/>
        <w:tab w:val="right" w:pos="9026"/>
      </w:tabs>
      <w:rPr>
        <w:rFonts w:ascii="Open Sans" w:cs="Open Sans" w:eastAsia="Open Sans" w:hAnsi="Open Sans"/>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13"/>
        <w:tab w:val="right" w:pos="9026"/>
      </w:tabs>
      <w:spacing w:before="284"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before="284"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2" w:hanging="570"/>
      </w:pPr>
      <w:rPr>
        <w:rFonts w:ascii="Open Sans" w:cs="Open Sans" w:eastAsia="Open Sans" w:hAnsi="Open Sans"/>
        <w:b w:val="1"/>
      </w:rPr>
    </w:lvl>
    <w:lvl w:ilvl="2">
      <w:start w:val="1"/>
      <w:numFmt w:val="decimal"/>
      <w:lvlText w:val="%1.%2.%3"/>
      <w:lvlJc w:val="left"/>
      <w:pPr>
        <w:ind w:left="512" w:hanging="720"/>
      </w:pPr>
      <w:rPr>
        <w:rFonts w:ascii="Open Sans" w:cs="Open Sans" w:eastAsia="Open Sans" w:hAnsi="Open Sans"/>
      </w:rPr>
    </w:lvl>
    <w:lvl w:ilvl="3">
      <w:start w:val="1"/>
      <w:numFmt w:val="decimal"/>
      <w:lvlText w:val="%1.%2.%3.%4"/>
      <w:lvlJc w:val="left"/>
      <w:pPr>
        <w:ind w:left="872" w:hanging="1080"/>
      </w:pPr>
      <w:rPr/>
    </w:lvl>
    <w:lvl w:ilvl="4">
      <w:start w:val="1"/>
      <w:numFmt w:val="decimal"/>
      <w:lvlText w:val="%1.%2.%3.%4.%5"/>
      <w:lvlJc w:val="left"/>
      <w:pPr>
        <w:ind w:left="872" w:hanging="1080"/>
      </w:pPr>
      <w:rPr/>
    </w:lvl>
    <w:lvl w:ilvl="5">
      <w:start w:val="1"/>
      <w:numFmt w:val="decimal"/>
      <w:lvlText w:val="%1.%2.%3.%4.%5.%6"/>
      <w:lvlJc w:val="left"/>
      <w:pPr>
        <w:ind w:left="1232" w:hanging="1440"/>
      </w:pPr>
      <w:rPr/>
    </w:lvl>
    <w:lvl w:ilvl="6">
      <w:start w:val="1"/>
      <w:numFmt w:val="decimal"/>
      <w:lvlText w:val="%1.%2.%3.%4.%5.%6.%7"/>
      <w:lvlJc w:val="left"/>
      <w:pPr>
        <w:ind w:left="1232" w:hanging="1440"/>
      </w:pPr>
      <w:rPr/>
    </w:lvl>
    <w:lvl w:ilvl="7">
      <w:start w:val="1"/>
      <w:numFmt w:val="decimal"/>
      <w:lvlText w:val="%1.%2.%3.%4.%5.%6.%7.%8"/>
      <w:lvlJc w:val="left"/>
      <w:pPr>
        <w:ind w:left="1592" w:hanging="1800"/>
      </w:pPr>
      <w:rPr/>
    </w:lvl>
    <w:lvl w:ilvl="8">
      <w:start w:val="1"/>
      <w:numFmt w:val="decimal"/>
      <w:lvlText w:val="%1.%2.%3.%4.%5.%6.%7.%8.%9"/>
      <w:lvlJc w:val="left"/>
      <w:pPr>
        <w:ind w:left="1592" w:hanging="180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