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rPr>
          <w:rFonts w:ascii="Open Sans" w:cs="Open Sans" w:eastAsia="Open Sans" w:hAnsi="Open Sans"/>
          <w:b w:val="1"/>
          <w:color w:val="06926b"/>
          <w:sz w:val="19"/>
          <w:szCs w:val="19"/>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4747260</wp:posOffset>
            </wp:positionH>
            <wp:positionV relativeFrom="paragraph">
              <wp:posOffset>0</wp:posOffset>
            </wp:positionV>
            <wp:extent cx="1684020" cy="8763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84020" cy="876300"/>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rPr>
          <w:rFonts w:ascii="Open Sans" w:cs="Open Sans" w:eastAsia="Open Sans" w:hAnsi="Open Sans"/>
          <w:b w:val="1"/>
          <w:color w:val="06926b"/>
          <w:sz w:val="19"/>
          <w:szCs w:val="19"/>
        </w:rPr>
      </w:pPr>
      <w:r w:rsidDel="00000000" w:rsidR="00000000" w:rsidRPr="00000000">
        <w:rPr>
          <w:rFonts w:ascii="Open Sans" w:cs="Open Sans" w:eastAsia="Open Sans" w:hAnsi="Open Sans"/>
          <w:b w:val="1"/>
          <w:color w:val="06926b"/>
          <w:sz w:val="19"/>
          <w:szCs w:val="19"/>
          <w:rtl w:val="0"/>
        </w:rPr>
        <w:t xml:space="preserve">REA Member Brief - Mini Budget</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rPr>
          <w:rFonts w:ascii="Open Sans" w:cs="Open Sans" w:eastAsia="Open Sans" w:hAnsi="Open Sans"/>
          <w:b w:val="1"/>
          <w:color w:val="06926b"/>
          <w:sz w:val="19"/>
          <w:szCs w:val="19"/>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rPr>
          <w:rFonts w:ascii="Open Sans" w:cs="Open Sans" w:eastAsia="Open Sans" w:hAnsi="Open Sans"/>
          <w:sz w:val="19"/>
          <w:szCs w:val="19"/>
        </w:rPr>
      </w:pPr>
      <w:r w:rsidDel="00000000" w:rsidR="00000000" w:rsidRPr="00000000">
        <w:rPr>
          <w:rFonts w:ascii="Open Sans" w:cs="Open Sans" w:eastAsia="Open Sans" w:hAnsi="Open Sans"/>
          <w:b w:val="1"/>
          <w:sz w:val="19"/>
          <w:szCs w:val="19"/>
          <w:rtl w:val="0"/>
        </w:rPr>
        <w:t xml:space="preserve">Briefing for</w:t>
      </w:r>
      <w:r w:rsidDel="00000000" w:rsidR="00000000" w:rsidRPr="00000000">
        <w:rPr>
          <w:rFonts w:ascii="Open Sans" w:cs="Open Sans" w:eastAsia="Open Sans" w:hAnsi="Open Sans"/>
          <w:sz w:val="19"/>
          <w:szCs w:val="19"/>
          <w:rtl w:val="0"/>
        </w:rPr>
        <w:t xml:space="preserve">: </w:t>
        <w:tab/>
        <w:t xml:space="preserve">REA Members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1440" w:hanging="1440"/>
        <w:rPr>
          <w:rFonts w:ascii="Open Sans" w:cs="Open Sans" w:eastAsia="Open Sans" w:hAnsi="Open Sans"/>
          <w:sz w:val="19"/>
          <w:szCs w:val="19"/>
        </w:rPr>
      </w:pPr>
      <w:r w:rsidDel="00000000" w:rsidR="00000000" w:rsidRPr="00000000">
        <w:rPr>
          <w:rFonts w:ascii="Open Sans" w:cs="Open Sans" w:eastAsia="Open Sans" w:hAnsi="Open Sans"/>
          <w:b w:val="1"/>
          <w:sz w:val="19"/>
          <w:szCs w:val="19"/>
          <w:rtl w:val="0"/>
        </w:rPr>
        <w:t xml:space="preserve">Purpose</w:t>
      </w:r>
      <w:r w:rsidDel="00000000" w:rsidR="00000000" w:rsidRPr="00000000">
        <w:rPr>
          <w:rFonts w:ascii="Open Sans" w:cs="Open Sans" w:eastAsia="Open Sans" w:hAnsi="Open Sans"/>
          <w:sz w:val="19"/>
          <w:szCs w:val="19"/>
          <w:rtl w:val="0"/>
        </w:rPr>
        <w:t xml:space="preserve">: </w:t>
        <w:tab/>
        <w:t xml:space="preserve">To inform members around the Mini Budget</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Rule="auto"/>
        <w:rPr>
          <w:rFonts w:ascii="Open Sans" w:cs="Open Sans" w:eastAsia="Open Sans" w:hAnsi="Open Sans"/>
          <w:color w:val="06926b"/>
          <w:sz w:val="19"/>
          <w:szCs w:val="19"/>
        </w:rPr>
      </w:pPr>
      <w:r w:rsidDel="00000000" w:rsidR="00000000" w:rsidRPr="00000000">
        <w:rPr>
          <w:rFonts w:ascii="Open Sans" w:cs="Open Sans" w:eastAsia="Open Sans" w:hAnsi="Open Sans"/>
          <w:b w:val="1"/>
          <w:sz w:val="19"/>
          <w:szCs w:val="19"/>
          <w:rtl w:val="0"/>
        </w:rPr>
        <w:t xml:space="preserve">Date</w:t>
      </w:r>
      <w:r w:rsidDel="00000000" w:rsidR="00000000" w:rsidRPr="00000000">
        <w:rPr>
          <w:rFonts w:ascii="Open Sans" w:cs="Open Sans" w:eastAsia="Open Sans" w:hAnsi="Open Sans"/>
          <w:sz w:val="19"/>
          <w:szCs w:val="19"/>
          <w:rtl w:val="0"/>
        </w:rPr>
        <w:t xml:space="preserve">: </w:t>
        <w:tab/>
        <w:tab/>
        <w:t xml:space="preserve">September 2022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rPr>
          <w:rFonts w:ascii="Open Sans" w:cs="Open Sans" w:eastAsia="Open Sans" w:hAnsi="Open Sans"/>
          <w:b w:val="1"/>
          <w:sz w:val="19"/>
          <w:szCs w:val="19"/>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38100</wp:posOffset>
                </wp:positionV>
                <wp:extent cx="6680835" cy="1102193"/>
                <wp:effectExtent b="0" l="0" r="0" t="0"/>
                <wp:wrapTopAndBottom distB="0" distT="0"/>
                <wp:docPr id="1" name=""/>
                <a:graphic>
                  <a:graphicData uri="http://schemas.microsoft.com/office/word/2010/wordprocessingShape">
                    <wps:wsp>
                      <wps:cNvSpPr/>
                      <wps:cNvPr id="2" name="Shape 2"/>
                      <wps:spPr>
                        <a:xfrm>
                          <a:off x="2062475" y="3261425"/>
                          <a:ext cx="6567072" cy="982551"/>
                        </a:xfrm>
                        <a:custGeom>
                          <a:rect b="b" l="l" r="r" t="t"/>
                          <a:pathLst>
                            <a:path extrusionOk="0" h="949325" w="6094730">
                              <a:moveTo>
                                <a:pt x="0" y="0"/>
                              </a:moveTo>
                              <a:lnTo>
                                <a:pt x="0" y="949325"/>
                              </a:lnTo>
                              <a:lnTo>
                                <a:pt x="6094730" y="949325"/>
                              </a:lnTo>
                              <a:lnTo>
                                <a:pt x="6094730" y="0"/>
                              </a:lnTo>
                              <a:close/>
                            </a:path>
                          </a:pathLst>
                        </a:custGeom>
                        <a:solidFill>
                          <a:srgbClr val="FFFFFF"/>
                        </a:solidFill>
                        <a:ln cap="flat" cmpd="sng" w="38100">
                          <a:solidFill>
                            <a:srgbClr val="06926B"/>
                          </a:solidFill>
                          <a:prstDash val="solid"/>
                          <a:miter lim="8000"/>
                          <a:headEnd len="sm" w="sm" type="none"/>
                          <a:tailEnd len="sm" w="sm" type="none"/>
                        </a:ln>
                      </wps:spPr>
                      <wps:txbx>
                        <w:txbxContent>
                          <w:p w:rsidR="00000000" w:rsidDel="00000000" w:rsidP="00000000" w:rsidRDefault="00000000" w:rsidRPr="00000000">
                            <w:pPr>
                              <w:spacing w:after="0" w:before="0" w:line="274.9999237060547"/>
                              <w:ind w:left="0" w:right="0" w:firstLine="0"/>
                              <w:jc w:val="left"/>
                              <w:textDirection w:val="btLr"/>
                            </w:pPr>
                            <w:r w:rsidDel="00000000" w:rsidR="00000000" w:rsidRPr="00000000">
                              <w:rPr>
                                <w:rFonts w:ascii="Open Sans" w:cs="Open Sans" w:eastAsia="Open Sans" w:hAnsi="Open Sans"/>
                                <w:b w:val="1"/>
                                <w:i w:val="0"/>
                                <w:smallCaps w:val="0"/>
                                <w:strike w:val="0"/>
                                <w:color w:val="000000"/>
                                <w:sz w:val="19"/>
                                <w:vertAlign w:val="baseline"/>
                              </w:rPr>
                              <w:t xml:space="preserve">Key Points: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Open Sans" w:cs="Open Sans" w:eastAsia="Open Sans" w:hAnsi="Open Sans"/>
                                <w:b w:val="1"/>
                                <w:i w:val="0"/>
                                <w:smallCaps w:val="0"/>
                                <w:strike w:val="0"/>
                                <w:color w:val="000000"/>
                                <w:sz w:val="19"/>
                                <w:vertAlign w:val="baseline"/>
                              </w:rPr>
                            </w:r>
                            <w:r w:rsidDel="00000000" w:rsidR="00000000" w:rsidRPr="00000000">
                              <w:rPr>
                                <w:rFonts w:ascii="Open Sans" w:cs="Open Sans" w:eastAsia="Open Sans" w:hAnsi="Open Sans"/>
                                <w:b w:val="0"/>
                                <w:i w:val="0"/>
                                <w:smallCaps w:val="0"/>
                                <w:strike w:val="0"/>
                                <w:color w:val="000000"/>
                                <w:sz w:val="19"/>
                                <w:vertAlign w:val="baseline"/>
                              </w:rPr>
                              <w:t xml:space="preserve">Introduces a cap on the price of wholesale energy subsequently sold to the non-domestic consumer.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Open Sans" w:cs="Open Sans" w:eastAsia="Open Sans" w:hAnsi="Open Sans"/>
                                <w:b w:val="0"/>
                                <w:i w:val="0"/>
                                <w:smallCaps w:val="0"/>
                                <w:strike w:val="0"/>
                                <w:color w:val="000000"/>
                                <w:sz w:val="19"/>
                                <w:vertAlign w:val="baseline"/>
                              </w:rPr>
                            </w:r>
                            <w:r w:rsidDel="00000000" w:rsidR="00000000" w:rsidRPr="00000000">
                              <w:rPr>
                                <w:rFonts w:ascii="Open Sans" w:cs="Open Sans" w:eastAsia="Open Sans" w:hAnsi="Open Sans"/>
                                <w:b w:val="0"/>
                                <w:i w:val="0"/>
                                <w:smallCaps w:val="0"/>
                                <w:strike w:val="0"/>
                                <w:color w:val="000000"/>
                                <w:sz w:val="19"/>
                                <w:vertAlign w:val="baseline"/>
                              </w:rPr>
                              <w:t xml:space="preserve">UK household will pay no more than £2,500 a year on their energy bill for the next two years.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Open Sans" w:cs="Open Sans" w:eastAsia="Open Sans" w:hAnsi="Open Sans"/>
                                <w:b w:val="0"/>
                                <w:i w:val="0"/>
                                <w:smallCaps w:val="0"/>
                                <w:strike w:val="0"/>
                                <w:color w:val="000000"/>
                                <w:sz w:val="19"/>
                                <w:vertAlign w:val="baseline"/>
                              </w:rPr>
                            </w:r>
                            <w:r w:rsidDel="00000000" w:rsidR="00000000" w:rsidRPr="00000000">
                              <w:rPr>
                                <w:rFonts w:ascii="Open Sans" w:cs="Open Sans" w:eastAsia="Open Sans" w:hAnsi="Open Sans"/>
                                <w:b w:val="0"/>
                                <w:i w:val="0"/>
                                <w:smallCaps w:val="0"/>
                                <w:strike w:val="0"/>
                                <w:color w:val="000000"/>
                                <w:sz w:val="19"/>
                                <w:vertAlign w:val="baseline"/>
                              </w:rPr>
                              <w:t xml:space="preserve">Green levies will be suspended from energy bills, as part of the bill freeze.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Open Sans" w:cs="Open Sans" w:eastAsia="Open Sans" w:hAnsi="Open Sans"/>
                                <w:b w:val="0"/>
                                <w:i w:val="0"/>
                                <w:smallCaps w:val="0"/>
                                <w:strike w:val="0"/>
                                <w:color w:val="000000"/>
                                <w:sz w:val="19"/>
                                <w:vertAlign w:val="baseline"/>
                              </w:rPr>
                            </w:r>
                            <w:r w:rsidDel="00000000" w:rsidR="00000000" w:rsidRPr="00000000">
                              <w:rPr>
                                <w:rFonts w:ascii="Open Sans" w:cs="Open Sans" w:eastAsia="Open Sans" w:hAnsi="Open Sans"/>
                                <w:b w:val="0"/>
                                <w:i w:val="0"/>
                                <w:smallCaps w:val="0"/>
                                <w:strike w:val="0"/>
                                <w:color w:val="000000"/>
                                <w:sz w:val="19"/>
                                <w:vertAlign w:val="baseline"/>
                              </w:rPr>
                              <w:t xml:space="preserve">Offshore wind consenting will be brought in line with other infrastructure.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Open Sans" w:cs="Open Sans" w:eastAsia="Open Sans" w:hAnsi="Open Sans"/>
                                <w:b w:val="0"/>
                                <w:i w:val="0"/>
                                <w:smallCaps w:val="0"/>
                                <w:strike w:val="0"/>
                                <w:color w:val="000000"/>
                                <w:sz w:val="19"/>
                                <w:vertAlign w:val="baseline"/>
                              </w:rPr>
                            </w:r>
                            <w:r w:rsidDel="00000000" w:rsidR="00000000" w:rsidRPr="00000000">
                              <w:rPr>
                                <w:rFonts w:ascii="Open Sans" w:cs="Open Sans" w:eastAsia="Open Sans" w:hAnsi="Open Sans"/>
                                <w:b w:val="0"/>
                                <w:i w:val="0"/>
                                <w:smallCaps w:val="0"/>
                                <w:strike w:val="0"/>
                                <w:color w:val="000000"/>
                                <w:sz w:val="19"/>
                                <w:vertAlign w:val="baseline"/>
                              </w:rPr>
                              <w:t xml:space="preserve">Bring forward legislation to implement new energy </w:t>
                            </w:r>
                            <w:r w:rsidDel="00000000" w:rsidR="00000000" w:rsidRPr="00000000">
                              <w:rPr>
                                <w:rFonts w:ascii="Open Sans" w:cs="Open Sans" w:eastAsia="Open Sans" w:hAnsi="Open Sans"/>
                                <w:b w:val="0"/>
                                <w:i w:val="0"/>
                                <w:smallCaps w:val="0"/>
                                <w:strike w:val="0"/>
                                <w:color w:val="000000"/>
                                <w:sz w:val="19"/>
                                <w:vertAlign w:val="baseline"/>
                              </w:rPr>
                              <w:t xml:space="preserve">efficiency</w:t>
                            </w:r>
                            <w:r w:rsidDel="00000000" w:rsidR="00000000" w:rsidRPr="00000000">
                              <w:rPr>
                                <w:rFonts w:ascii="Open Sans" w:cs="Open Sans" w:eastAsia="Open Sans" w:hAnsi="Open Sans"/>
                                <w:b w:val="0"/>
                                <w:i w:val="0"/>
                                <w:smallCaps w:val="0"/>
                                <w:strike w:val="0"/>
                                <w:color w:val="000000"/>
                                <w:sz w:val="19"/>
                                <w:vertAlign w:val="baseline"/>
                              </w:rPr>
                              <w:t xml:space="preserve"> obligations on energy suppliers.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w:cs="Open Sans" w:eastAsia="Open Sans" w:hAnsi="Open Sans"/>
                                <w:b w:val="0"/>
                                <w:i w:val="0"/>
                                <w:smallCaps w:val="0"/>
                                <w:strike w:val="0"/>
                                <w:color w:val="000000"/>
                                <w:sz w:val="19"/>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38100</wp:posOffset>
                </wp:positionV>
                <wp:extent cx="6680835" cy="1102193"/>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680835" cy="1102193"/>
                        </a:xfrm>
                        <a:prstGeom prst="rect"/>
                        <a:ln/>
                      </pic:spPr>
                    </pic:pic>
                  </a:graphicData>
                </a:graphic>
              </wp:anchor>
            </w:drawing>
          </mc:Fallback>
        </mc:AlternateConten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Rule="auto"/>
        <w:ind w:left="360" w:hanging="360"/>
        <w:rPr>
          <w:rFonts w:ascii="Open Sans" w:cs="Open Sans" w:eastAsia="Open Sans" w:hAnsi="Open Sans"/>
          <w:b w:val="1"/>
          <w:color w:val="000000"/>
          <w:sz w:val="19"/>
          <w:szCs w:val="19"/>
        </w:rPr>
      </w:pPr>
      <w:r w:rsidDel="00000000" w:rsidR="00000000" w:rsidRPr="00000000">
        <w:rPr>
          <w:rFonts w:ascii="Open Sans" w:cs="Open Sans" w:eastAsia="Open Sans" w:hAnsi="Open Sans"/>
          <w:b w:val="1"/>
          <w:sz w:val="19"/>
          <w:szCs w:val="19"/>
          <w:rtl w:val="0"/>
        </w:rPr>
        <w:t xml:space="preserve">Context</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rPr>
          <w:rFonts w:ascii="Open Sans" w:cs="Open Sans" w:eastAsia="Open Sans" w:hAnsi="Open Sans"/>
          <w:sz w:val="19"/>
          <w:szCs w:val="19"/>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0" w:top="144" w:left="1080" w:right="1274" w:header="0" w:footer="0"/>
          <w:pgNumType w:start="1"/>
        </w:sectPr>
      </w:pPr>
      <w:r w:rsidDel="00000000" w:rsidR="00000000" w:rsidRPr="00000000">
        <w:rPr>
          <w:rFonts w:ascii="Open Sans" w:cs="Open Sans" w:eastAsia="Open Sans" w:hAnsi="Open Sans"/>
          <w:sz w:val="19"/>
          <w:szCs w:val="19"/>
          <w:rtl w:val="0"/>
        </w:rPr>
        <w:t xml:space="preserve">The Chancellor, Kwasi Kwarteng, has announced a new “mini-budget” to respond to issues around inflation and the energy market. As well as interventions in the energy market the statement sets out a series of tax cuts and other financial measures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Rule="auto"/>
        <w:ind w:left="360" w:hanging="360"/>
        <w:rPr>
          <w:rFonts w:ascii="Open Sans" w:cs="Open Sans" w:eastAsia="Open Sans" w:hAnsi="Open Sans"/>
          <w:b w:val="1"/>
          <w:sz w:val="19"/>
          <w:szCs w:val="19"/>
        </w:rPr>
      </w:pPr>
      <w:r w:rsidDel="00000000" w:rsidR="00000000" w:rsidRPr="00000000">
        <w:rPr>
          <w:rFonts w:ascii="Open Sans" w:cs="Open Sans" w:eastAsia="Open Sans" w:hAnsi="Open Sans"/>
          <w:b w:val="1"/>
          <w:sz w:val="19"/>
          <w:szCs w:val="19"/>
          <w:rtl w:val="0"/>
        </w:rPr>
        <w:t xml:space="preserve">Energy Price Freeze</w:t>
      </w:r>
    </w:p>
    <w:p w:rsidR="00000000" w:rsidDel="00000000" w:rsidP="00000000" w:rsidRDefault="00000000" w:rsidRPr="00000000" w14:paraId="0000000D">
      <w:pPr>
        <w:spacing w:after="0"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0E">
      <w:pPr>
        <w:spacing w:after="0"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An Energy Price Guarantee (EPG) will cap the unit price that consumers pay for electricity and gas. This will mean the average household will pay no more than £2,500 per year for a period of two years from October 2022. Households are expected to save at least £1,000 a year, although savings for individual households will vary according to their energy use.</w:t>
      </w:r>
    </w:p>
    <w:p w:rsidR="00000000" w:rsidDel="00000000" w:rsidP="00000000" w:rsidRDefault="00000000" w:rsidRPr="00000000" w14:paraId="0000000F">
      <w:pPr>
        <w:spacing w:after="0"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Rule="auto"/>
        <w:ind w:left="360" w:hanging="360"/>
        <w:rPr>
          <w:rFonts w:ascii="Open Sans" w:cs="Open Sans" w:eastAsia="Open Sans" w:hAnsi="Open Sans"/>
          <w:b w:val="1"/>
          <w:sz w:val="19"/>
          <w:szCs w:val="19"/>
        </w:rPr>
      </w:pPr>
      <w:r w:rsidDel="00000000" w:rsidR="00000000" w:rsidRPr="00000000">
        <w:rPr>
          <w:rFonts w:ascii="Open Sans" w:cs="Open Sans" w:eastAsia="Open Sans" w:hAnsi="Open Sans"/>
          <w:b w:val="1"/>
          <w:sz w:val="19"/>
          <w:szCs w:val="19"/>
          <w:rtl w:val="0"/>
        </w:rPr>
        <w:t xml:space="preserve">Green Levies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ind w:left="360" w:firstLine="0"/>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12">
      <w:pPr>
        <w:spacing w:after="0"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As part of the EPG, the government will cover  green levies, currently included in domestic energy bills for two years. This will contribute an average £150 saving to the savings provided by the EPG.</w:t>
      </w:r>
      <w:r w:rsidDel="00000000" w:rsidR="00000000" w:rsidRPr="00000000">
        <w:rPr>
          <w:rtl w:val="0"/>
        </w:rPr>
      </w:r>
    </w:p>
    <w:p w:rsidR="00000000" w:rsidDel="00000000" w:rsidP="00000000" w:rsidRDefault="00000000" w:rsidRPr="00000000" w14:paraId="00000013">
      <w:pPr>
        <w:spacing w:after="0"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Rule="auto"/>
        <w:ind w:left="360" w:hanging="360"/>
        <w:rPr>
          <w:rFonts w:ascii="Open Sans" w:cs="Open Sans" w:eastAsia="Open Sans" w:hAnsi="Open Sans"/>
          <w:b w:val="1"/>
          <w:color w:val="000000"/>
          <w:sz w:val="19"/>
          <w:szCs w:val="19"/>
        </w:rPr>
      </w:pPr>
      <w:r w:rsidDel="00000000" w:rsidR="00000000" w:rsidRPr="00000000">
        <w:rPr>
          <w:rFonts w:ascii="Open Sans" w:cs="Open Sans" w:eastAsia="Open Sans" w:hAnsi="Open Sans"/>
          <w:b w:val="1"/>
          <w:sz w:val="19"/>
          <w:szCs w:val="19"/>
          <w:rtl w:val="0"/>
        </w:rPr>
        <w:t xml:space="preserve">Energy Development</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ind w:left="0" w:firstLine="0"/>
        <w:rPr>
          <w:rFonts w:ascii="Open Sans" w:cs="Open Sans" w:eastAsia="Open Sans" w:hAnsi="Open Sans"/>
          <w:b w:val="1"/>
          <w:sz w:val="19"/>
          <w:szCs w:val="19"/>
        </w:rPr>
      </w:pPr>
      <w:r w:rsidDel="00000000" w:rsidR="00000000" w:rsidRPr="00000000">
        <w:rPr>
          <w:rFonts w:ascii="Open Sans" w:cs="Open Sans" w:eastAsia="Open Sans" w:hAnsi="Open Sans"/>
          <w:sz w:val="19"/>
          <w:szCs w:val="19"/>
          <w:rtl w:val="0"/>
        </w:rPr>
        <w:t xml:space="preserve">The North Sea Transition Authority will shortly launch a new oil and gas licensing round. This is expected to deliver over 100 new licences. The government has also announced an end to the pause on extracting reserves of shale. Their budget pledges development of nuclear, hydrogen, Carbon Capture, Utilisation and Storage and renewables. The government will bring offshore wind consenting in line with other infrastructure.</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Rule="auto"/>
        <w:ind w:left="360" w:hanging="360"/>
        <w:rPr>
          <w:rFonts w:ascii="Open Sans" w:cs="Open Sans" w:eastAsia="Open Sans" w:hAnsi="Open Sans"/>
          <w:b w:val="1"/>
          <w:sz w:val="19"/>
          <w:szCs w:val="19"/>
          <w:u w:val="none"/>
        </w:rPr>
      </w:pPr>
      <w:r w:rsidDel="00000000" w:rsidR="00000000" w:rsidRPr="00000000">
        <w:rPr>
          <w:rFonts w:ascii="Open Sans" w:cs="Open Sans" w:eastAsia="Open Sans" w:hAnsi="Open Sans"/>
          <w:b w:val="1"/>
          <w:sz w:val="19"/>
          <w:szCs w:val="19"/>
          <w:rtl w:val="0"/>
        </w:rPr>
        <w:t xml:space="preserve">Energy Company Obligations</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1A">
      <w:pPr>
        <w:spacing w:after="0" w:lineRule="auto"/>
        <w:ind w:left="0" w:firstLine="0"/>
        <w:rPr>
          <w:rFonts w:ascii="Open Sans" w:cs="Open Sans" w:eastAsia="Open Sans" w:hAnsi="Open Sans"/>
          <w:b w:val="1"/>
          <w:sz w:val="19"/>
          <w:szCs w:val="19"/>
        </w:rPr>
      </w:pPr>
      <w:r w:rsidDel="00000000" w:rsidR="00000000" w:rsidRPr="00000000">
        <w:rPr>
          <w:rFonts w:ascii="Open Sans" w:cs="Open Sans" w:eastAsia="Open Sans" w:hAnsi="Open Sans"/>
          <w:sz w:val="19"/>
          <w:szCs w:val="19"/>
          <w:rtl w:val="0"/>
        </w:rPr>
        <w:t xml:space="preserve">The government will place new obligations on energy suppliers to invest in energy efficiency. Government estimates this will bring an average saving of around £200 a year. This help will be worth £1 billion over the next three years, starting from April 2023. Support will be targeted at those most vulnerable, but will also be available for the least efficient homes in lower council tax bands. The government will also open applications for up to £2.1 billion to support local authorities' investment in energy efficiency and renewable heating.</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ind w:left="360" w:firstLine="0"/>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1C">
      <w:pPr>
        <w:numPr>
          <w:ilvl w:val="0"/>
          <w:numId w:val="1"/>
        </w:numPr>
        <w:spacing w:after="0" w:lineRule="auto"/>
        <w:ind w:left="360"/>
        <w:rPr>
          <w:rFonts w:ascii="Open Sans" w:cs="Open Sans" w:eastAsia="Open Sans" w:hAnsi="Open Sans"/>
          <w:b w:val="1"/>
          <w:sz w:val="19"/>
          <w:szCs w:val="19"/>
        </w:rPr>
      </w:pPr>
      <w:r w:rsidDel="00000000" w:rsidR="00000000" w:rsidRPr="00000000">
        <w:rPr>
          <w:rFonts w:ascii="Open Sans" w:cs="Open Sans" w:eastAsia="Open Sans" w:hAnsi="Open Sans"/>
          <w:b w:val="1"/>
          <w:sz w:val="19"/>
          <w:szCs w:val="19"/>
          <w:rtl w:val="0"/>
        </w:rPr>
        <w:t xml:space="preserve">Other Policy Implications</w:t>
      </w:r>
      <w:r w:rsidDel="00000000" w:rsidR="00000000" w:rsidRPr="00000000">
        <w:rPr>
          <w:rtl w:val="0"/>
        </w:rPr>
      </w:r>
    </w:p>
    <w:p w:rsidR="00000000" w:rsidDel="00000000" w:rsidP="00000000" w:rsidRDefault="00000000" w:rsidRPr="00000000" w14:paraId="0000001D">
      <w:pPr>
        <w:spacing w:after="0"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1E">
      <w:pPr>
        <w:numPr>
          <w:ilvl w:val="0"/>
          <w:numId w:val="2"/>
        </w:numPr>
        <w:spacing w:after="0" w:lineRule="auto"/>
        <w:ind w:left="720" w:hanging="360"/>
        <w:rPr>
          <w:rFonts w:ascii="Open Sans" w:cs="Open Sans" w:eastAsia="Open Sans" w:hAnsi="Open Sans"/>
          <w:sz w:val="19"/>
          <w:szCs w:val="19"/>
          <w:u w:val="none"/>
        </w:rPr>
      </w:pPr>
      <w:r w:rsidDel="00000000" w:rsidR="00000000" w:rsidRPr="00000000">
        <w:rPr>
          <w:rFonts w:ascii="Open Sans" w:cs="Open Sans" w:eastAsia="Open Sans" w:hAnsi="Open Sans"/>
          <w:sz w:val="19"/>
          <w:szCs w:val="19"/>
          <w:rtl w:val="0"/>
        </w:rPr>
        <w:t xml:space="preserve">Reiterates £400 support all households will receive from the Energy Bills Support Scheme (EBSS) over the coming winter. </w:t>
      </w:r>
    </w:p>
    <w:p w:rsidR="00000000" w:rsidDel="00000000" w:rsidP="00000000" w:rsidRDefault="00000000" w:rsidRPr="00000000" w14:paraId="0000001F">
      <w:pPr>
        <w:numPr>
          <w:ilvl w:val="0"/>
          <w:numId w:val="2"/>
        </w:numPr>
        <w:spacing w:after="0" w:lineRule="auto"/>
        <w:ind w:left="720" w:hanging="360"/>
        <w:rPr>
          <w:rFonts w:ascii="Open Sans" w:cs="Open Sans" w:eastAsia="Open Sans" w:hAnsi="Open Sans"/>
          <w:sz w:val="19"/>
          <w:szCs w:val="19"/>
          <w:u w:val="none"/>
        </w:rPr>
      </w:pPr>
      <w:r w:rsidDel="00000000" w:rsidR="00000000" w:rsidRPr="00000000">
        <w:rPr>
          <w:rFonts w:ascii="Open Sans" w:cs="Open Sans" w:eastAsia="Open Sans" w:hAnsi="Open Sans"/>
          <w:sz w:val="19"/>
          <w:szCs w:val="19"/>
          <w:rtl w:val="0"/>
        </w:rPr>
        <w:t xml:space="preserve">A new Energy Supply Taskforce will seek to negotiate long-term agreements with major gas producers</w:t>
      </w:r>
    </w:p>
    <w:p w:rsidR="00000000" w:rsidDel="00000000" w:rsidP="00000000" w:rsidRDefault="00000000" w:rsidRPr="00000000" w14:paraId="00000020">
      <w:pPr>
        <w:numPr>
          <w:ilvl w:val="0"/>
          <w:numId w:val="2"/>
        </w:numPr>
        <w:spacing w:after="0" w:lineRule="auto"/>
        <w:ind w:left="720" w:hanging="360"/>
        <w:rPr>
          <w:rFonts w:ascii="Open Sans" w:cs="Open Sans" w:eastAsia="Open Sans" w:hAnsi="Open Sans"/>
          <w:sz w:val="19"/>
          <w:szCs w:val="19"/>
          <w:u w:val="none"/>
        </w:rPr>
      </w:pPr>
      <w:r w:rsidDel="00000000" w:rsidR="00000000" w:rsidRPr="00000000">
        <w:rPr>
          <w:rFonts w:ascii="Open Sans" w:cs="Open Sans" w:eastAsia="Open Sans" w:hAnsi="Open Sans"/>
          <w:sz w:val="19"/>
          <w:szCs w:val="19"/>
          <w:rtl w:val="0"/>
        </w:rPr>
        <w:t xml:space="preserve">£40 billion Energy Markets Financing Scheme, will help to address extraordinary liquidity requirements faced by energy firms from  energy prices.</w:t>
      </w:r>
    </w:p>
    <w:p w:rsidR="00000000" w:rsidDel="00000000" w:rsidP="00000000" w:rsidRDefault="00000000" w:rsidRPr="00000000" w14:paraId="00000021">
      <w:pPr>
        <w:spacing w:after="0" w:lineRule="auto"/>
        <w:ind w:left="0" w:firstLine="0"/>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22">
      <w:pPr>
        <w:numPr>
          <w:ilvl w:val="0"/>
          <w:numId w:val="1"/>
        </w:numPr>
        <w:spacing w:after="0" w:lineRule="auto"/>
        <w:ind w:left="360"/>
        <w:rPr>
          <w:rFonts w:ascii="Open Sans" w:cs="Open Sans" w:eastAsia="Open Sans" w:hAnsi="Open Sans"/>
          <w:b w:val="1"/>
          <w:sz w:val="19"/>
          <w:szCs w:val="19"/>
        </w:rPr>
      </w:pPr>
      <w:r w:rsidDel="00000000" w:rsidR="00000000" w:rsidRPr="00000000">
        <w:rPr>
          <w:rFonts w:ascii="Open Sans" w:cs="Open Sans" w:eastAsia="Open Sans" w:hAnsi="Open Sans"/>
          <w:b w:val="1"/>
          <w:sz w:val="19"/>
          <w:szCs w:val="19"/>
          <w:rtl w:val="0"/>
        </w:rPr>
        <w:t xml:space="preserve">REA View</w:t>
      </w:r>
    </w:p>
    <w:p w:rsidR="00000000" w:rsidDel="00000000" w:rsidP="00000000" w:rsidRDefault="00000000" w:rsidRPr="00000000" w14:paraId="00000023">
      <w:pPr>
        <w:numPr>
          <w:ilvl w:val="0"/>
          <w:numId w:val="3"/>
        </w:numPr>
        <w:spacing w:after="0" w:lineRule="auto"/>
        <w:ind w:left="720" w:hanging="360"/>
        <w:rPr>
          <w:rFonts w:ascii="Open Sans" w:cs="Open Sans" w:eastAsia="Open Sans" w:hAnsi="Open Sans"/>
          <w:sz w:val="19"/>
          <w:szCs w:val="19"/>
          <w:u w:val="none"/>
        </w:rPr>
      </w:pPr>
      <w:r w:rsidDel="00000000" w:rsidR="00000000" w:rsidRPr="00000000">
        <w:rPr>
          <w:rFonts w:ascii="Open Sans" w:cs="Open Sans" w:eastAsia="Open Sans" w:hAnsi="Open Sans"/>
          <w:sz w:val="19"/>
          <w:szCs w:val="19"/>
          <w:rtl w:val="0"/>
        </w:rPr>
        <w:t xml:space="preserve">We welcome re-Commitments to previous energy package announcements. We particularly welcome moves to do more on energy efficiency through the Energy Company Obligation.</w:t>
      </w:r>
    </w:p>
    <w:p w:rsidR="00000000" w:rsidDel="00000000" w:rsidP="00000000" w:rsidRDefault="00000000" w:rsidRPr="00000000" w14:paraId="00000024">
      <w:pPr>
        <w:numPr>
          <w:ilvl w:val="0"/>
          <w:numId w:val="3"/>
        </w:numPr>
        <w:spacing w:after="0" w:lineRule="auto"/>
        <w:ind w:left="720" w:hanging="360"/>
        <w:rPr>
          <w:rFonts w:ascii="Open Sans" w:cs="Open Sans" w:eastAsia="Open Sans" w:hAnsi="Open Sans"/>
          <w:sz w:val="19"/>
          <w:szCs w:val="19"/>
          <w:u w:val="none"/>
        </w:rPr>
      </w:pPr>
      <w:r w:rsidDel="00000000" w:rsidR="00000000" w:rsidRPr="00000000">
        <w:rPr>
          <w:rFonts w:ascii="Open Sans" w:cs="Open Sans" w:eastAsia="Open Sans" w:hAnsi="Open Sans"/>
          <w:sz w:val="19"/>
          <w:szCs w:val="19"/>
          <w:rtl w:val="0"/>
        </w:rPr>
        <w:t xml:space="preserve">Much of the innovation and growth promoted by this statement would be expedited by  passing the Energy Bill. The Energy Bill would open up opportunities for investment in things like energy efficiency, carbon capture, heat networks and hydrogen. All which could deliver benefits to new investment zones. We encourage the Government to deliver the Energy Bill as quickly as possible.</w:t>
      </w:r>
    </w:p>
    <w:p w:rsidR="00000000" w:rsidDel="00000000" w:rsidP="00000000" w:rsidRDefault="00000000" w:rsidRPr="00000000" w14:paraId="00000025">
      <w:pPr>
        <w:numPr>
          <w:ilvl w:val="0"/>
          <w:numId w:val="3"/>
        </w:numPr>
        <w:spacing w:after="0" w:lineRule="auto"/>
        <w:ind w:left="720" w:hanging="360"/>
        <w:rPr>
          <w:rFonts w:ascii="Open Sans" w:cs="Open Sans" w:eastAsia="Open Sans" w:hAnsi="Open Sans"/>
          <w:sz w:val="19"/>
          <w:szCs w:val="19"/>
          <w:u w:val="none"/>
        </w:rPr>
      </w:pPr>
      <w:r w:rsidDel="00000000" w:rsidR="00000000" w:rsidRPr="00000000">
        <w:rPr>
          <w:rFonts w:ascii="Open Sans" w:cs="Open Sans" w:eastAsia="Open Sans" w:hAnsi="Open Sans"/>
          <w:sz w:val="19"/>
          <w:szCs w:val="19"/>
          <w:rtl w:val="0"/>
        </w:rPr>
        <w:t xml:space="preserve">We are disappointed to see the focus on North Sea Oil and shale fracking. Renewables are the cheapest form of generation and best route to delivering energy security.</w:t>
      </w:r>
    </w:p>
    <w:p w:rsidR="00000000" w:rsidDel="00000000" w:rsidP="00000000" w:rsidRDefault="00000000" w:rsidRPr="00000000" w14:paraId="00000026">
      <w:pPr>
        <w:spacing w:after="0" w:lineRule="auto"/>
        <w:ind w:left="0" w:firstLine="0"/>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27">
      <w:pPr>
        <w:spacing w:after="0"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28">
      <w:pPr>
        <w:spacing w:after="0" w:lineRule="auto"/>
        <w:rPr>
          <w:rFonts w:ascii="Open Sans" w:cs="Open Sans" w:eastAsia="Open Sans" w:hAnsi="Open Sans"/>
          <w:b w:val="1"/>
          <w:sz w:val="19"/>
          <w:szCs w:val="19"/>
        </w:rPr>
      </w:pPr>
      <w:r w:rsidDel="00000000" w:rsidR="00000000" w:rsidRPr="00000000">
        <w:rPr>
          <w:rtl w:val="0"/>
        </w:rPr>
      </w:r>
    </w:p>
    <w:sectPr>
      <w:type w:val="continuous"/>
      <w:pgSz w:h="16838" w:w="11906" w:orient="portrait"/>
      <w:pgMar w:bottom="0" w:top="144" w:left="1080" w:right="1274"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tabs>
        <w:tab w:val="center" w:pos="4513"/>
        <w:tab w:val="right" w:pos="9026"/>
      </w:tabs>
      <w:spacing w:after="0" w:line="240" w:lineRule="auto"/>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____________________________________________</w:t>
    </w:r>
  </w:p>
  <w:p w:rsidR="00000000" w:rsidDel="00000000" w:rsidP="00000000" w:rsidRDefault="00000000" w:rsidRPr="00000000" w14:paraId="0000002E">
    <w:pPr>
      <w:tabs>
        <w:tab w:val="center" w:pos="4513"/>
        <w:tab w:val="right" w:pos="9026"/>
      </w:tabs>
      <w:spacing w:after="0" w:line="240" w:lineRule="auto"/>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Please contact Pablo John, Heat Policy Analyst - at pjohn@r-e-an.et</w:t>
    </w:r>
  </w:p>
  <w:p w:rsidR="00000000" w:rsidDel="00000000" w:rsidP="00000000" w:rsidRDefault="00000000" w:rsidRPr="00000000" w14:paraId="0000002F">
    <w:pPr>
      <w:tabs>
        <w:tab w:val="center" w:pos="4513"/>
        <w:tab w:val="right" w:pos="9026"/>
      </w:tabs>
      <w:spacing w:after="0" w:line="240" w:lineRule="auto"/>
      <w:jc w:val="center"/>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pos="4513"/>
        <w:tab w:val="right" w:pos="9026"/>
      </w:tabs>
      <w:spacing w:after="405" w:lineRule="auto"/>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pos="4513"/>
        <w:tab w:val="right" w:pos="9026"/>
      </w:tabs>
      <w:spacing w:after="0" w:line="240" w:lineRule="auto"/>
      <w:rPr>
        <w:rFonts w:ascii="Open Sans" w:cs="Open Sans" w:eastAsia="Open Sans" w:hAnsi="Open Sans"/>
        <w:sz w:val="16"/>
        <w:szCs w:val="16"/>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Open Sans" w:cs="Open Sans" w:eastAsia="Open Sans" w:hAnsi="Open Sans"/>
        <w:color w:val="000000"/>
        <w:sz w:val="16"/>
        <w:szCs w:val="16"/>
      </w:rPr>
    </w:pPr>
    <w:r w:rsidDel="00000000" w:rsidR="00000000" w:rsidRPr="00000000">
      <w:rPr>
        <w:rFonts w:ascii="Open Sans" w:cs="Open Sans" w:eastAsia="Open Sans" w:hAnsi="Open Sans"/>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pos="4513"/>
        <w:tab w:val="center" w:pos="4776"/>
        <w:tab w:val="left" w:pos="8573"/>
        <w:tab w:val="right" w:pos="9026"/>
      </w:tabs>
      <w:rPr>
        <w:rFonts w:ascii="Open Sans" w:cs="Open Sans" w:eastAsia="Open Sans" w:hAnsi="Open Sans"/>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pos="4513"/>
        <w:tab w:val="right" w:pos="9026"/>
      </w:tabs>
      <w:spacing w:before="284"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pos="4513"/>
        <w:tab w:val="right" w:pos="9026"/>
      </w:tabs>
      <w:spacing w:after="0" w:before="284" w:lineRule="auto"/>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362" w:hanging="570"/>
      </w:pPr>
      <w:rPr>
        <w:rFonts w:ascii="Open Sans" w:cs="Open Sans" w:eastAsia="Open Sans" w:hAnsi="Open Sans"/>
        <w:b w:val="1"/>
      </w:rPr>
    </w:lvl>
    <w:lvl w:ilvl="2">
      <w:start w:val="1"/>
      <w:numFmt w:val="decimal"/>
      <w:lvlText w:val="%1.%2.%3"/>
      <w:lvlJc w:val="left"/>
      <w:pPr>
        <w:ind w:left="512" w:hanging="720"/>
      </w:pPr>
      <w:rPr>
        <w:rFonts w:ascii="Open Sans" w:cs="Open Sans" w:eastAsia="Open Sans" w:hAnsi="Open Sans"/>
      </w:rPr>
    </w:lvl>
    <w:lvl w:ilvl="3">
      <w:start w:val="1"/>
      <w:numFmt w:val="decimal"/>
      <w:lvlText w:val="%1.%2.%3.%4"/>
      <w:lvlJc w:val="left"/>
      <w:pPr>
        <w:ind w:left="872" w:hanging="1080"/>
      </w:pPr>
      <w:rPr/>
    </w:lvl>
    <w:lvl w:ilvl="4">
      <w:start w:val="1"/>
      <w:numFmt w:val="decimal"/>
      <w:lvlText w:val="%1.%2.%3.%4.%5"/>
      <w:lvlJc w:val="left"/>
      <w:pPr>
        <w:ind w:left="872" w:hanging="1080"/>
      </w:pPr>
      <w:rPr/>
    </w:lvl>
    <w:lvl w:ilvl="5">
      <w:start w:val="1"/>
      <w:numFmt w:val="decimal"/>
      <w:lvlText w:val="%1.%2.%3.%4.%5.%6"/>
      <w:lvlJc w:val="left"/>
      <w:pPr>
        <w:ind w:left="1232" w:hanging="1440"/>
      </w:pPr>
      <w:rPr/>
    </w:lvl>
    <w:lvl w:ilvl="6">
      <w:start w:val="1"/>
      <w:numFmt w:val="decimal"/>
      <w:lvlText w:val="%1.%2.%3.%4.%5.%6.%7"/>
      <w:lvlJc w:val="left"/>
      <w:pPr>
        <w:ind w:left="1232" w:hanging="1440"/>
      </w:pPr>
      <w:rPr/>
    </w:lvl>
    <w:lvl w:ilvl="7">
      <w:start w:val="1"/>
      <w:numFmt w:val="decimal"/>
      <w:lvlText w:val="%1.%2.%3.%4.%5.%6.%7.%8"/>
      <w:lvlJc w:val="left"/>
      <w:pPr>
        <w:ind w:left="1592" w:hanging="1800"/>
      </w:pPr>
      <w:rPr/>
    </w:lvl>
    <w:lvl w:ilvl="8">
      <w:start w:val="1"/>
      <w:numFmt w:val="decimal"/>
      <w:lvlText w:val="%1.%2.%3.%4.%5.%6.%7.%8.%9"/>
      <w:lvlJc w:val="left"/>
      <w:pPr>
        <w:ind w:left="1592" w:hanging="180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