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FB7F5" w14:textId="77777777" w:rsidR="006A71B8" w:rsidRPr="006C2EB4" w:rsidRDefault="006A71B8">
      <w:pPr>
        <w:pStyle w:val="BodyText"/>
        <w:ind w:left="300"/>
        <w:rPr>
          <w:rFonts w:ascii="Franklin Gothic Book" w:hAnsi="Franklin Gothic Book"/>
          <w:b w:val="0"/>
          <w:sz w:val="20"/>
        </w:rPr>
      </w:pPr>
    </w:p>
    <w:p w14:paraId="2780DCA4" w14:textId="77777777" w:rsidR="006A71B8" w:rsidRPr="006C2EB4" w:rsidRDefault="006A71B8">
      <w:pPr>
        <w:pStyle w:val="BodyText"/>
        <w:rPr>
          <w:rFonts w:ascii="Franklin Gothic Book" w:hAnsi="Franklin Gothic Book"/>
          <w:b w:val="0"/>
          <w:sz w:val="20"/>
        </w:rPr>
      </w:pPr>
    </w:p>
    <w:p w14:paraId="159D409F" w14:textId="77777777" w:rsidR="006A71B8" w:rsidRPr="006C2EB4" w:rsidRDefault="006A71B8">
      <w:pPr>
        <w:pStyle w:val="BodyText"/>
        <w:rPr>
          <w:rFonts w:ascii="Franklin Gothic Book" w:hAnsi="Franklin Gothic Book"/>
          <w:b w:val="0"/>
          <w:sz w:val="20"/>
        </w:rPr>
      </w:pPr>
    </w:p>
    <w:p w14:paraId="4CC4C8BC" w14:textId="77777777" w:rsidR="006A71B8" w:rsidRPr="006C2EB4" w:rsidRDefault="006A71B8">
      <w:pPr>
        <w:pStyle w:val="BodyText"/>
        <w:rPr>
          <w:rFonts w:ascii="Franklin Gothic Book" w:hAnsi="Franklin Gothic Book"/>
          <w:b w:val="0"/>
          <w:sz w:val="20"/>
        </w:rPr>
      </w:pPr>
    </w:p>
    <w:p w14:paraId="3455BE3F" w14:textId="77777777" w:rsidR="006A71B8" w:rsidRPr="006C2EB4" w:rsidRDefault="000E7719">
      <w:pPr>
        <w:pStyle w:val="BodyText"/>
        <w:rPr>
          <w:rFonts w:ascii="Franklin Gothic Book" w:hAnsi="Franklin Gothic Book"/>
          <w:b w:val="0"/>
          <w:sz w:val="20"/>
        </w:rPr>
      </w:pPr>
      <w:r w:rsidRPr="000E7719">
        <w:rPr>
          <w:rFonts w:ascii="Franklin Gothic Book" w:hAnsi="Franklin Gothic Book"/>
          <w:noProof/>
        </w:rPr>
        <w:drawing>
          <wp:inline distT="0" distB="0" distL="0" distR="0" wp14:anchorId="246E775E" wp14:editId="3CE622BF">
            <wp:extent cx="1691640" cy="68961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1640" cy="689610"/>
                    </a:xfrm>
                    <a:prstGeom prst="rect">
                      <a:avLst/>
                    </a:prstGeom>
                    <a:noFill/>
                    <a:ln>
                      <a:noFill/>
                    </a:ln>
                  </pic:spPr>
                </pic:pic>
              </a:graphicData>
            </a:graphic>
          </wp:inline>
        </w:drawing>
      </w:r>
    </w:p>
    <w:p w14:paraId="58704A95" w14:textId="77777777" w:rsidR="006A71B8" w:rsidRPr="006C2EB4" w:rsidRDefault="006A71B8">
      <w:pPr>
        <w:pStyle w:val="BodyText"/>
        <w:rPr>
          <w:rFonts w:ascii="Franklin Gothic Book" w:hAnsi="Franklin Gothic Book"/>
          <w:b w:val="0"/>
          <w:sz w:val="20"/>
        </w:rPr>
      </w:pPr>
    </w:p>
    <w:p w14:paraId="66EA0BD8" w14:textId="77777777" w:rsidR="006A71B8" w:rsidRPr="006C2EB4" w:rsidRDefault="006A71B8">
      <w:pPr>
        <w:pStyle w:val="BodyText"/>
        <w:spacing w:before="1"/>
        <w:rPr>
          <w:rFonts w:ascii="Franklin Gothic Book" w:hAnsi="Franklin Gothic Book"/>
          <w:b w:val="0"/>
          <w:sz w:val="29"/>
        </w:rPr>
      </w:pPr>
    </w:p>
    <w:p w14:paraId="3BD555E1" w14:textId="77777777" w:rsidR="00A61EDC" w:rsidRPr="006C2EB4" w:rsidRDefault="00A61EDC">
      <w:pPr>
        <w:autoSpaceDE/>
        <w:autoSpaceDN/>
        <w:rPr>
          <w:rFonts w:ascii="Franklin Gothic Book" w:hAnsi="Franklin Gothic Book"/>
          <w:b/>
          <w:color w:val="464646"/>
          <w:sz w:val="54"/>
        </w:rPr>
      </w:pPr>
      <w:bookmarkStart w:id="0" w:name="Consultation_on_a_new_CO₂_emissions_regu"/>
      <w:bookmarkEnd w:id="0"/>
    </w:p>
    <w:p w14:paraId="024C6E9C" w14:textId="77777777" w:rsidR="00A61EDC" w:rsidRPr="006C2EB4" w:rsidRDefault="00A61EDC">
      <w:pPr>
        <w:autoSpaceDE/>
        <w:autoSpaceDN/>
        <w:rPr>
          <w:rFonts w:ascii="Franklin Gothic Book" w:hAnsi="Franklin Gothic Book"/>
          <w:b/>
          <w:color w:val="464646"/>
          <w:sz w:val="54"/>
        </w:rPr>
      </w:pPr>
      <w:r w:rsidRPr="006C2EB4">
        <w:rPr>
          <w:rFonts w:ascii="Franklin Gothic Book" w:hAnsi="Franklin Gothic Book"/>
          <w:b/>
          <w:color w:val="464646"/>
          <w:sz w:val="54"/>
        </w:rPr>
        <w:t>The Association for Renewable Energy and Clean Technology</w:t>
      </w:r>
    </w:p>
    <w:p w14:paraId="493C104B" w14:textId="77777777" w:rsidR="00A61EDC" w:rsidRPr="006C2EB4" w:rsidRDefault="00A61EDC">
      <w:pPr>
        <w:autoSpaceDE/>
        <w:autoSpaceDN/>
        <w:rPr>
          <w:rFonts w:ascii="Franklin Gothic Book" w:hAnsi="Franklin Gothic Book"/>
          <w:b/>
          <w:color w:val="464646"/>
          <w:sz w:val="54"/>
        </w:rPr>
      </w:pPr>
    </w:p>
    <w:p w14:paraId="2049DAE0" w14:textId="77777777" w:rsidR="00A61EDC" w:rsidRPr="006C2EB4" w:rsidRDefault="00A61EDC">
      <w:pPr>
        <w:autoSpaceDE/>
        <w:autoSpaceDN/>
        <w:rPr>
          <w:rFonts w:ascii="Franklin Gothic Book" w:hAnsi="Franklin Gothic Book"/>
          <w:b/>
          <w:color w:val="464646"/>
          <w:sz w:val="54"/>
        </w:rPr>
      </w:pPr>
    </w:p>
    <w:p w14:paraId="4C5E94BF" w14:textId="77777777" w:rsidR="00A61EDC" w:rsidRPr="006C2EB4" w:rsidRDefault="00A61EDC">
      <w:pPr>
        <w:autoSpaceDE/>
        <w:autoSpaceDN/>
        <w:rPr>
          <w:rFonts w:ascii="Franklin Gothic Book" w:hAnsi="Franklin Gothic Book"/>
          <w:b/>
          <w:color w:val="464646"/>
          <w:sz w:val="54"/>
        </w:rPr>
      </w:pPr>
    </w:p>
    <w:p w14:paraId="637D4744" w14:textId="77777777" w:rsidR="00A61EDC" w:rsidRPr="006C2EB4" w:rsidRDefault="00A61EDC">
      <w:pPr>
        <w:autoSpaceDE/>
        <w:autoSpaceDN/>
        <w:rPr>
          <w:rFonts w:ascii="Franklin Gothic Book" w:hAnsi="Franklin Gothic Book"/>
          <w:b/>
          <w:color w:val="464646"/>
          <w:sz w:val="48"/>
          <w:szCs w:val="18"/>
        </w:rPr>
      </w:pPr>
      <w:r w:rsidRPr="006C2EB4">
        <w:rPr>
          <w:rFonts w:ascii="Franklin Gothic Book" w:hAnsi="Franklin Gothic Book"/>
          <w:b/>
          <w:color w:val="464646"/>
          <w:sz w:val="48"/>
          <w:szCs w:val="18"/>
        </w:rPr>
        <w:t>Consultation Response</w:t>
      </w:r>
    </w:p>
    <w:p w14:paraId="727EDEC2" w14:textId="17EFE9F4" w:rsidR="00A61EDC" w:rsidRPr="006C2EB4" w:rsidRDefault="001A7856" w:rsidP="00A61EDC">
      <w:pPr>
        <w:spacing w:before="76"/>
        <w:ind w:right="498"/>
        <w:rPr>
          <w:rFonts w:ascii="Franklin Gothic Book" w:hAnsi="Franklin Gothic Book"/>
          <w:b/>
          <w:i/>
          <w:iCs/>
          <w:color w:val="464646"/>
          <w:sz w:val="36"/>
          <w:szCs w:val="12"/>
        </w:rPr>
      </w:pPr>
      <w:r>
        <w:rPr>
          <w:rFonts w:ascii="Franklin Gothic Book" w:hAnsi="Franklin Gothic Book"/>
          <w:b/>
          <w:i/>
          <w:iCs/>
          <w:color w:val="464646"/>
          <w:sz w:val="36"/>
          <w:szCs w:val="12"/>
        </w:rPr>
        <w:t>U</w:t>
      </w:r>
      <w:r w:rsidRPr="001A7856">
        <w:rPr>
          <w:rFonts w:ascii="Franklin Gothic Book" w:hAnsi="Franklin Gothic Book"/>
          <w:b/>
          <w:i/>
          <w:iCs/>
          <w:color w:val="464646"/>
          <w:sz w:val="36"/>
          <w:szCs w:val="12"/>
        </w:rPr>
        <w:t>pdate</w:t>
      </w:r>
      <w:r>
        <w:rPr>
          <w:rFonts w:ascii="Franklin Gothic Book" w:hAnsi="Franklin Gothic Book"/>
          <w:b/>
          <w:i/>
          <w:iCs/>
          <w:color w:val="464646"/>
          <w:sz w:val="36"/>
          <w:szCs w:val="12"/>
        </w:rPr>
        <w:t>s to</w:t>
      </w:r>
      <w:r w:rsidRPr="001A7856">
        <w:rPr>
          <w:rFonts w:ascii="Franklin Gothic Book" w:hAnsi="Franklin Gothic Book"/>
          <w:b/>
          <w:i/>
          <w:iCs/>
          <w:color w:val="464646"/>
          <w:sz w:val="36"/>
          <w:szCs w:val="12"/>
        </w:rPr>
        <w:t xml:space="preserve"> the Strategic </w:t>
      </w:r>
      <w:r w:rsidR="00235FEE">
        <w:rPr>
          <w:rFonts w:ascii="Franklin Gothic Book" w:hAnsi="Franklin Gothic Book"/>
          <w:b/>
          <w:i/>
          <w:iCs/>
          <w:color w:val="464646"/>
          <w:sz w:val="36"/>
          <w:szCs w:val="12"/>
        </w:rPr>
        <w:t>R</w:t>
      </w:r>
      <w:r w:rsidRPr="001A7856">
        <w:rPr>
          <w:rFonts w:ascii="Franklin Gothic Book" w:hAnsi="Franklin Gothic Book"/>
          <w:b/>
          <w:i/>
          <w:iCs/>
          <w:color w:val="464646"/>
          <w:sz w:val="36"/>
          <w:szCs w:val="12"/>
        </w:rPr>
        <w:t xml:space="preserve">oad </w:t>
      </w:r>
      <w:r w:rsidR="00235FEE">
        <w:rPr>
          <w:rFonts w:ascii="Franklin Gothic Book" w:hAnsi="Franklin Gothic Book"/>
          <w:b/>
          <w:i/>
          <w:iCs/>
          <w:color w:val="464646"/>
          <w:sz w:val="36"/>
          <w:szCs w:val="12"/>
        </w:rPr>
        <w:t>N</w:t>
      </w:r>
      <w:r w:rsidRPr="001A7856">
        <w:rPr>
          <w:rFonts w:ascii="Franklin Gothic Book" w:hAnsi="Franklin Gothic Book"/>
          <w:b/>
          <w:i/>
          <w:iCs/>
          <w:color w:val="464646"/>
          <w:sz w:val="36"/>
          <w:szCs w:val="12"/>
        </w:rPr>
        <w:t>etwork and the delivery of sustainable development (circular 02/2013)</w:t>
      </w:r>
    </w:p>
    <w:p w14:paraId="0834B8E8" w14:textId="77777777" w:rsidR="00A61EDC" w:rsidRPr="006C2EB4" w:rsidRDefault="00A61EDC" w:rsidP="00A61EDC">
      <w:pPr>
        <w:spacing w:before="76"/>
        <w:ind w:right="498"/>
        <w:rPr>
          <w:rFonts w:ascii="Franklin Gothic Book" w:hAnsi="Franklin Gothic Book"/>
          <w:b/>
          <w:color w:val="464646"/>
          <w:sz w:val="32"/>
          <w:szCs w:val="10"/>
        </w:rPr>
      </w:pPr>
    </w:p>
    <w:p w14:paraId="69A65CA4" w14:textId="77777777" w:rsidR="00A61EDC" w:rsidRPr="006C2EB4" w:rsidRDefault="00A61EDC" w:rsidP="00A61EDC">
      <w:pPr>
        <w:spacing w:before="76"/>
        <w:ind w:right="498"/>
        <w:rPr>
          <w:rFonts w:ascii="Franklin Gothic Book" w:hAnsi="Franklin Gothic Book"/>
          <w:b/>
          <w:color w:val="464646"/>
          <w:sz w:val="32"/>
          <w:szCs w:val="10"/>
        </w:rPr>
      </w:pPr>
    </w:p>
    <w:p w14:paraId="2E3D00E8" w14:textId="77777777" w:rsidR="00A61EDC" w:rsidRPr="006C2EB4" w:rsidRDefault="00A61EDC" w:rsidP="00A61EDC">
      <w:pPr>
        <w:spacing w:before="76"/>
        <w:ind w:right="498"/>
        <w:rPr>
          <w:rFonts w:ascii="Franklin Gothic Book" w:hAnsi="Franklin Gothic Book"/>
          <w:b/>
          <w:color w:val="464646"/>
          <w:sz w:val="32"/>
          <w:szCs w:val="10"/>
        </w:rPr>
      </w:pPr>
    </w:p>
    <w:p w14:paraId="75588B63" w14:textId="77777777" w:rsidR="00A61EDC" w:rsidRPr="006C2EB4" w:rsidRDefault="00A61EDC" w:rsidP="00A61EDC">
      <w:pPr>
        <w:spacing w:before="76"/>
        <w:ind w:right="498"/>
        <w:rPr>
          <w:rFonts w:ascii="Franklin Gothic Book" w:hAnsi="Franklin Gothic Book"/>
          <w:b/>
          <w:color w:val="464646"/>
          <w:sz w:val="32"/>
          <w:szCs w:val="10"/>
        </w:rPr>
      </w:pPr>
    </w:p>
    <w:p w14:paraId="60E83D43" w14:textId="77777777" w:rsidR="00A61EDC" w:rsidRPr="006C2EB4" w:rsidRDefault="00A61EDC" w:rsidP="00A61EDC">
      <w:pPr>
        <w:spacing w:before="76"/>
        <w:ind w:right="498"/>
        <w:rPr>
          <w:rFonts w:ascii="Franklin Gothic Book" w:hAnsi="Franklin Gothic Book"/>
          <w:b/>
          <w:color w:val="464646"/>
          <w:sz w:val="32"/>
          <w:szCs w:val="10"/>
        </w:rPr>
      </w:pPr>
    </w:p>
    <w:p w14:paraId="48832D8C" w14:textId="28EE7A5E" w:rsidR="006C2EB4" w:rsidRPr="006C2EB4" w:rsidRDefault="00595AAE" w:rsidP="00A61EDC">
      <w:pPr>
        <w:spacing w:before="76"/>
        <w:ind w:right="498"/>
        <w:rPr>
          <w:rFonts w:ascii="Franklin Gothic Book" w:hAnsi="Franklin Gothic Book"/>
          <w:b/>
          <w:sz w:val="28"/>
          <w:szCs w:val="8"/>
        </w:rPr>
      </w:pPr>
      <w:r>
        <w:rPr>
          <w:rFonts w:ascii="Franklin Gothic Book" w:hAnsi="Franklin Gothic Book"/>
          <w:b/>
          <w:color w:val="464646"/>
          <w:sz w:val="28"/>
          <w:szCs w:val="8"/>
        </w:rPr>
        <w:t>15</w:t>
      </w:r>
      <w:r w:rsidRPr="00595AAE">
        <w:rPr>
          <w:rFonts w:ascii="Franklin Gothic Book" w:hAnsi="Franklin Gothic Book"/>
          <w:b/>
          <w:color w:val="464646"/>
          <w:sz w:val="28"/>
          <w:szCs w:val="8"/>
          <w:vertAlign w:val="superscript"/>
        </w:rPr>
        <w:t>th</w:t>
      </w:r>
      <w:r>
        <w:rPr>
          <w:rFonts w:ascii="Franklin Gothic Book" w:hAnsi="Franklin Gothic Book"/>
          <w:b/>
          <w:color w:val="464646"/>
          <w:sz w:val="28"/>
          <w:szCs w:val="8"/>
        </w:rPr>
        <w:t xml:space="preserve"> </w:t>
      </w:r>
      <w:r w:rsidR="006C2EB4" w:rsidRPr="006C2EB4">
        <w:rPr>
          <w:rFonts w:ascii="Franklin Gothic Book" w:hAnsi="Franklin Gothic Book"/>
          <w:b/>
          <w:color w:val="464646"/>
          <w:sz w:val="28"/>
          <w:szCs w:val="8"/>
        </w:rPr>
        <w:t>September 202</w:t>
      </w:r>
      <w:r>
        <w:rPr>
          <w:rFonts w:ascii="Franklin Gothic Book" w:hAnsi="Franklin Gothic Book"/>
          <w:b/>
          <w:color w:val="464646"/>
          <w:sz w:val="28"/>
          <w:szCs w:val="8"/>
        </w:rPr>
        <w:t>2</w:t>
      </w:r>
    </w:p>
    <w:p w14:paraId="6B773783" w14:textId="77777777" w:rsidR="00A61EDC" w:rsidRPr="006C2EB4" w:rsidRDefault="00A61EDC">
      <w:pPr>
        <w:autoSpaceDE/>
        <w:autoSpaceDN/>
        <w:rPr>
          <w:rFonts w:ascii="Franklin Gothic Book" w:hAnsi="Franklin Gothic Book"/>
          <w:b/>
          <w:color w:val="464646"/>
          <w:sz w:val="54"/>
        </w:rPr>
      </w:pPr>
      <w:r w:rsidRPr="006C2EB4">
        <w:rPr>
          <w:rFonts w:ascii="Franklin Gothic Book" w:hAnsi="Franklin Gothic Book"/>
          <w:b/>
          <w:color w:val="464646"/>
          <w:sz w:val="54"/>
        </w:rPr>
        <w:br w:type="page"/>
      </w:r>
    </w:p>
    <w:p w14:paraId="57998CC2" w14:textId="77777777" w:rsidR="006A71B8" w:rsidRPr="006C2EB4" w:rsidRDefault="006A71B8">
      <w:pPr>
        <w:rPr>
          <w:rFonts w:ascii="Franklin Gothic Book" w:hAnsi="Franklin Gothic Book"/>
          <w:sz w:val="28"/>
        </w:rPr>
        <w:sectPr w:rsidR="006A71B8" w:rsidRPr="006C2EB4">
          <w:headerReference w:type="even" r:id="rId9"/>
          <w:headerReference w:type="default" r:id="rId10"/>
          <w:footerReference w:type="even" r:id="rId11"/>
          <w:footerReference w:type="default" r:id="rId12"/>
          <w:headerReference w:type="first" r:id="rId13"/>
          <w:footerReference w:type="first" r:id="rId14"/>
          <w:pgSz w:w="11910" w:h="16840"/>
          <w:pgMar w:top="1340" w:right="1340" w:bottom="280" w:left="1140" w:header="720" w:footer="720" w:gutter="0"/>
          <w:cols w:space="720"/>
        </w:sectPr>
      </w:pPr>
    </w:p>
    <w:p w14:paraId="38B9C52B" w14:textId="77777777" w:rsidR="00482B29" w:rsidRDefault="00482B29">
      <w:pPr>
        <w:autoSpaceDE/>
        <w:autoSpaceDN/>
        <w:rPr>
          <w:rFonts w:ascii="Franklin Gothic Book" w:hAnsi="Franklin Gothic Book"/>
          <w:b/>
          <w:bCs/>
          <w:sz w:val="36"/>
          <w:szCs w:val="36"/>
        </w:rPr>
      </w:pPr>
      <w:bookmarkStart w:id="1" w:name="1._Your_and_email_address:"/>
      <w:bookmarkStart w:id="2" w:name="2._Are_you_responding:_*"/>
      <w:bookmarkStart w:id="3" w:name="3._You_are_responding_as:"/>
      <w:bookmarkEnd w:id="1"/>
      <w:bookmarkEnd w:id="2"/>
      <w:bookmarkEnd w:id="3"/>
      <w:r w:rsidRPr="00482B29">
        <w:rPr>
          <w:rFonts w:ascii="Franklin Gothic Book" w:hAnsi="Franklin Gothic Book"/>
          <w:b/>
          <w:bCs/>
          <w:sz w:val="36"/>
          <w:szCs w:val="36"/>
        </w:rPr>
        <w:lastRenderedPageBreak/>
        <w:t>Introduction</w:t>
      </w:r>
    </w:p>
    <w:p w14:paraId="49CDE287" w14:textId="77777777" w:rsidR="008D47F5" w:rsidRDefault="008D47F5" w:rsidP="008D47F5">
      <w:pPr>
        <w:autoSpaceDE/>
        <w:autoSpaceDN/>
        <w:rPr>
          <w:rFonts w:ascii="Franklin Gothic Book" w:hAnsi="Franklin Gothic Book"/>
          <w:b/>
          <w:bCs/>
          <w:sz w:val="36"/>
          <w:szCs w:val="36"/>
        </w:rPr>
      </w:pPr>
    </w:p>
    <w:p w14:paraId="7A78420F" w14:textId="77777777" w:rsidR="008D47F5" w:rsidRPr="008D47F5" w:rsidRDefault="008D47F5" w:rsidP="008D47F5">
      <w:pPr>
        <w:autoSpaceDE/>
        <w:autoSpaceDN/>
        <w:rPr>
          <w:rFonts w:ascii="Franklin Gothic Book" w:hAnsi="Franklin Gothic Book"/>
        </w:rPr>
      </w:pPr>
    </w:p>
    <w:p w14:paraId="728B44AA" w14:textId="77777777" w:rsidR="008D47F5" w:rsidRPr="008D47F5" w:rsidRDefault="008D47F5" w:rsidP="008D47F5">
      <w:pPr>
        <w:autoSpaceDE/>
        <w:autoSpaceDN/>
        <w:rPr>
          <w:rFonts w:ascii="Franklin Gothic Book" w:hAnsi="Franklin Gothic Book"/>
          <w:b/>
          <w:bCs/>
          <w:sz w:val="28"/>
          <w:szCs w:val="28"/>
        </w:rPr>
      </w:pPr>
      <w:r w:rsidRPr="008D47F5">
        <w:rPr>
          <w:rFonts w:ascii="Franklin Gothic Book" w:hAnsi="Franklin Gothic Book"/>
          <w:b/>
          <w:bCs/>
          <w:sz w:val="28"/>
          <w:szCs w:val="28"/>
        </w:rPr>
        <w:t>About the Association for Renewable Energy and Clean Technology (‘the REA’)</w:t>
      </w:r>
    </w:p>
    <w:p w14:paraId="63D61A7A" w14:textId="77777777" w:rsidR="008D47F5" w:rsidRPr="008D47F5" w:rsidRDefault="008D47F5" w:rsidP="008D47F5">
      <w:pPr>
        <w:autoSpaceDE/>
        <w:autoSpaceDN/>
        <w:rPr>
          <w:rFonts w:ascii="Franklin Gothic Book" w:hAnsi="Franklin Gothic Book"/>
          <w:b/>
          <w:bCs/>
          <w:sz w:val="20"/>
          <w:szCs w:val="20"/>
        </w:rPr>
      </w:pPr>
    </w:p>
    <w:p w14:paraId="27C2A9BE" w14:textId="77777777" w:rsidR="008D47F5" w:rsidRDefault="008D47F5" w:rsidP="008D47F5">
      <w:pPr>
        <w:autoSpaceDE/>
        <w:autoSpaceDN/>
        <w:rPr>
          <w:rFonts w:ascii="Franklin Gothic Book" w:hAnsi="Franklin Gothic Book"/>
        </w:rPr>
      </w:pPr>
      <w:r w:rsidRPr="008D47F5">
        <w:rPr>
          <w:rFonts w:ascii="Franklin Gothic Book" w:hAnsi="Franklin Gothic Book"/>
        </w:rPr>
        <w:t xml:space="preserve">The REA is the UK’s largest trade association for renewable energy and clean technology, representing around 550 member companies operating across the heat, power, transport, and circular bioresources sectors. The REA has technology-specific member Forums, each with its own elected Chair and Steering Group. </w:t>
      </w:r>
      <w:r w:rsidR="000D1321">
        <w:rPr>
          <w:rFonts w:ascii="Franklin Gothic Book" w:hAnsi="Franklin Gothic Book"/>
        </w:rPr>
        <w:t>In the case of this consultation response, member interest was received from the REA EV Forum and Renewable Transport Fuels Forum.</w:t>
      </w:r>
    </w:p>
    <w:p w14:paraId="71F69551" w14:textId="77777777" w:rsidR="008D47F5" w:rsidRDefault="008D47F5" w:rsidP="008D47F5">
      <w:pPr>
        <w:autoSpaceDE/>
        <w:autoSpaceDN/>
        <w:rPr>
          <w:rFonts w:ascii="Franklin Gothic Book" w:hAnsi="Franklin Gothic Book"/>
        </w:rPr>
      </w:pPr>
    </w:p>
    <w:p w14:paraId="1BCB4694" w14:textId="77777777" w:rsidR="008D47F5" w:rsidRDefault="008D47F5" w:rsidP="008D47F5">
      <w:pPr>
        <w:autoSpaceDE/>
        <w:autoSpaceDN/>
        <w:rPr>
          <w:rFonts w:ascii="Franklin Gothic Book" w:hAnsi="Franklin Gothic Book"/>
        </w:rPr>
      </w:pPr>
      <w:r w:rsidRPr="008D47F5">
        <w:rPr>
          <w:rFonts w:ascii="Franklin Gothic Book" w:hAnsi="Franklin Gothic Book"/>
        </w:rPr>
        <w:t xml:space="preserve">The REA EV Forum represents </w:t>
      </w:r>
      <w:r>
        <w:rPr>
          <w:rFonts w:ascii="Franklin Gothic Book" w:hAnsi="Franklin Gothic Book"/>
        </w:rPr>
        <w:t>nearly 100</w:t>
      </w:r>
      <w:r w:rsidRPr="008D47F5">
        <w:rPr>
          <w:rFonts w:ascii="Franklin Gothic Book" w:hAnsi="Franklin Gothic Book"/>
        </w:rPr>
        <w:t xml:space="preserve"> companies operating across the electric vehicle charging infrastructure value chain, from public Charge Point Operators to energy suppliers, eMobility Service Providers, roaming hubs, installers, manufacturers, and financiers. The REA’s EV Forum has been active since 2018 and in 2020 the UK Electric Vehicle Supply Equipment Association merged its operations into those of the REA.</w:t>
      </w:r>
    </w:p>
    <w:p w14:paraId="605F62DF" w14:textId="77777777" w:rsidR="008D47F5" w:rsidRDefault="008D47F5" w:rsidP="008D47F5">
      <w:pPr>
        <w:autoSpaceDE/>
        <w:autoSpaceDN/>
        <w:rPr>
          <w:rFonts w:ascii="Franklin Gothic Book" w:hAnsi="Franklin Gothic Book"/>
        </w:rPr>
      </w:pPr>
    </w:p>
    <w:p w14:paraId="4ADDEA23" w14:textId="77777777" w:rsidR="000C56E0" w:rsidRDefault="000C56E0" w:rsidP="000C56E0">
      <w:pPr>
        <w:autoSpaceDE/>
        <w:autoSpaceDN/>
        <w:rPr>
          <w:rFonts w:ascii="Franklin Gothic Book" w:hAnsi="Franklin Gothic Book"/>
          <w:b/>
          <w:bCs/>
          <w:sz w:val="28"/>
          <w:szCs w:val="28"/>
        </w:rPr>
      </w:pPr>
    </w:p>
    <w:p w14:paraId="7516E289" w14:textId="364D3458" w:rsidR="000C56E0" w:rsidRPr="008D47F5" w:rsidRDefault="000C56E0" w:rsidP="000C56E0">
      <w:pPr>
        <w:autoSpaceDE/>
        <w:autoSpaceDN/>
        <w:rPr>
          <w:rFonts w:ascii="Franklin Gothic Book" w:hAnsi="Franklin Gothic Book"/>
          <w:b/>
          <w:bCs/>
          <w:sz w:val="28"/>
          <w:szCs w:val="28"/>
        </w:rPr>
      </w:pPr>
      <w:r w:rsidRPr="008D47F5">
        <w:rPr>
          <w:rFonts w:ascii="Franklin Gothic Book" w:hAnsi="Franklin Gothic Book"/>
          <w:b/>
          <w:bCs/>
          <w:sz w:val="28"/>
          <w:szCs w:val="28"/>
        </w:rPr>
        <w:t xml:space="preserve">About </w:t>
      </w:r>
      <w:r>
        <w:rPr>
          <w:rFonts w:ascii="Franklin Gothic Book" w:hAnsi="Franklin Gothic Book"/>
          <w:b/>
          <w:bCs/>
          <w:sz w:val="28"/>
          <w:szCs w:val="28"/>
        </w:rPr>
        <w:t>this consultation response</w:t>
      </w:r>
    </w:p>
    <w:p w14:paraId="20BB4065" w14:textId="3E6C1635" w:rsidR="008D47F5" w:rsidRDefault="008D47F5" w:rsidP="008D47F5">
      <w:pPr>
        <w:autoSpaceDE/>
        <w:autoSpaceDN/>
        <w:rPr>
          <w:rFonts w:ascii="Franklin Gothic Book" w:hAnsi="Franklin Gothic Book"/>
          <w:b/>
          <w:bCs/>
          <w:sz w:val="28"/>
          <w:szCs w:val="28"/>
        </w:rPr>
      </w:pPr>
    </w:p>
    <w:p w14:paraId="539CD2C2" w14:textId="1D9F4B14" w:rsidR="000C56E0" w:rsidRDefault="00305292" w:rsidP="008D47F5">
      <w:pPr>
        <w:autoSpaceDE/>
        <w:autoSpaceDN/>
        <w:rPr>
          <w:rFonts w:ascii="Franklin Gothic Book" w:hAnsi="Franklin Gothic Book"/>
        </w:rPr>
      </w:pPr>
      <w:r w:rsidRPr="00305292">
        <w:rPr>
          <w:rFonts w:ascii="Franklin Gothic Book" w:hAnsi="Franklin Gothic Book"/>
        </w:rPr>
        <w:t>This</w:t>
      </w:r>
      <w:r>
        <w:rPr>
          <w:rFonts w:ascii="Franklin Gothic Book" w:hAnsi="Franklin Gothic Book"/>
        </w:rPr>
        <w:t xml:space="preserve"> consultation response focuses on the key issues of concern to REA members. It does not offer comment on proposals that do not impact the business </w:t>
      </w:r>
      <w:r w:rsidR="001A4B32">
        <w:rPr>
          <w:rFonts w:ascii="Franklin Gothic Book" w:hAnsi="Franklin Gothic Book"/>
        </w:rPr>
        <w:t>sectors covered by our membership.</w:t>
      </w:r>
    </w:p>
    <w:p w14:paraId="030FF93D" w14:textId="17DA7696" w:rsidR="001A4B32" w:rsidRDefault="001A4B32" w:rsidP="008D47F5">
      <w:pPr>
        <w:autoSpaceDE/>
        <w:autoSpaceDN/>
        <w:rPr>
          <w:rFonts w:ascii="Franklin Gothic Book" w:hAnsi="Franklin Gothic Book"/>
        </w:rPr>
      </w:pPr>
    </w:p>
    <w:p w14:paraId="33041D0D" w14:textId="4C14D655" w:rsidR="001A4B32" w:rsidRDefault="001A4B32" w:rsidP="008D47F5">
      <w:pPr>
        <w:autoSpaceDE/>
        <w:autoSpaceDN/>
        <w:rPr>
          <w:rFonts w:ascii="Franklin Gothic Book" w:hAnsi="Franklin Gothic Book"/>
        </w:rPr>
      </w:pPr>
      <w:r>
        <w:rPr>
          <w:rFonts w:ascii="Franklin Gothic Book" w:hAnsi="Franklin Gothic Book"/>
        </w:rPr>
        <w:t>This consultation response therefore focuses on:</w:t>
      </w:r>
    </w:p>
    <w:p w14:paraId="566F6BB8" w14:textId="2B9CB35B" w:rsidR="001A4B32" w:rsidRDefault="001A4B32" w:rsidP="001A4B32">
      <w:pPr>
        <w:pStyle w:val="ListParagraph"/>
        <w:numPr>
          <w:ilvl w:val="0"/>
          <w:numId w:val="6"/>
        </w:numPr>
        <w:autoSpaceDE/>
        <w:autoSpaceDN/>
        <w:rPr>
          <w:rFonts w:ascii="Franklin Gothic Book" w:hAnsi="Franklin Gothic Book"/>
        </w:rPr>
      </w:pPr>
      <w:r>
        <w:rPr>
          <w:rFonts w:ascii="Franklin Gothic Book" w:hAnsi="Franklin Gothic Book"/>
        </w:rPr>
        <w:t>Requirements to install electric vehicle charging infrastructure at service areas (paragraph</w:t>
      </w:r>
      <w:r w:rsidR="00644E2C">
        <w:rPr>
          <w:rFonts w:ascii="Franklin Gothic Book" w:hAnsi="Franklin Gothic Book"/>
        </w:rPr>
        <w:t xml:space="preserve"> </w:t>
      </w:r>
      <w:r>
        <w:rPr>
          <w:rFonts w:ascii="Franklin Gothic Book" w:hAnsi="Franklin Gothic Book"/>
        </w:rPr>
        <w:t>111</w:t>
      </w:r>
      <w:r w:rsidR="00644E2C">
        <w:rPr>
          <w:rFonts w:ascii="Franklin Gothic Book" w:hAnsi="Franklin Gothic Book"/>
        </w:rPr>
        <w:t xml:space="preserve"> and</w:t>
      </w:r>
      <w:r w:rsidR="007A011A">
        <w:rPr>
          <w:rFonts w:ascii="Franklin Gothic Book" w:hAnsi="Franklin Gothic Book"/>
        </w:rPr>
        <w:t xml:space="preserve"> Annex A</w:t>
      </w:r>
      <w:r>
        <w:rPr>
          <w:rFonts w:ascii="Franklin Gothic Book" w:hAnsi="Franklin Gothic Book"/>
        </w:rPr>
        <w:t>)</w:t>
      </w:r>
    </w:p>
    <w:p w14:paraId="378A07BD" w14:textId="7E586213" w:rsidR="001A4B32" w:rsidRDefault="001A4B32" w:rsidP="001A4B32">
      <w:pPr>
        <w:pStyle w:val="ListParagraph"/>
        <w:numPr>
          <w:ilvl w:val="0"/>
          <w:numId w:val="6"/>
        </w:numPr>
        <w:autoSpaceDE/>
        <w:autoSpaceDN/>
        <w:rPr>
          <w:rFonts w:ascii="Franklin Gothic Book" w:hAnsi="Franklin Gothic Book"/>
        </w:rPr>
      </w:pPr>
      <w:r>
        <w:rPr>
          <w:rFonts w:ascii="Franklin Gothic Book" w:hAnsi="Franklin Gothic Book"/>
        </w:rPr>
        <w:t>Requirements for said infrastructure to meet a particular specification (paragraph</w:t>
      </w:r>
      <w:r w:rsidR="00D00E76">
        <w:rPr>
          <w:rFonts w:ascii="Franklin Gothic Book" w:hAnsi="Franklin Gothic Book"/>
        </w:rPr>
        <w:t>s 111 and</w:t>
      </w:r>
      <w:r>
        <w:rPr>
          <w:rFonts w:ascii="Franklin Gothic Book" w:hAnsi="Franklin Gothic Book"/>
        </w:rPr>
        <w:t xml:space="preserve"> 112)</w:t>
      </w:r>
    </w:p>
    <w:p w14:paraId="16FDEDE6" w14:textId="3B478058" w:rsidR="001A4B32" w:rsidRDefault="001A4B32" w:rsidP="001A4B32">
      <w:pPr>
        <w:pStyle w:val="ListParagraph"/>
        <w:numPr>
          <w:ilvl w:val="0"/>
          <w:numId w:val="6"/>
        </w:numPr>
        <w:autoSpaceDE/>
        <w:autoSpaceDN/>
        <w:rPr>
          <w:rFonts w:ascii="Franklin Gothic Book" w:hAnsi="Franklin Gothic Book"/>
        </w:rPr>
      </w:pPr>
      <w:bookmarkStart w:id="4" w:name="_Hlk114067052"/>
      <w:r>
        <w:rPr>
          <w:rFonts w:ascii="Franklin Gothic Book" w:hAnsi="Franklin Gothic Book"/>
        </w:rPr>
        <w:t xml:space="preserve">Requirements for measures to </w:t>
      </w:r>
      <w:r w:rsidR="00D00E76">
        <w:rPr>
          <w:rFonts w:ascii="Franklin Gothic Book" w:hAnsi="Franklin Gothic Book"/>
        </w:rPr>
        <w:t>b</w:t>
      </w:r>
      <w:r>
        <w:rPr>
          <w:rFonts w:ascii="Franklin Gothic Book" w:hAnsi="Franklin Gothic Book"/>
        </w:rPr>
        <w:t xml:space="preserve">e taken </w:t>
      </w:r>
      <w:r w:rsidR="00D00E76">
        <w:rPr>
          <w:rFonts w:ascii="Franklin Gothic Book" w:hAnsi="Franklin Gothic Book"/>
        </w:rPr>
        <w:t xml:space="preserve">during the development of new service areas </w:t>
      </w:r>
      <w:r>
        <w:rPr>
          <w:rFonts w:ascii="Franklin Gothic Book" w:hAnsi="Franklin Gothic Book"/>
        </w:rPr>
        <w:t>to allow electric vehicle charging infrastructure to be installed at a later date (paragraph 113)</w:t>
      </w:r>
    </w:p>
    <w:p w14:paraId="41137FD8" w14:textId="41551754" w:rsidR="003A123B" w:rsidRPr="001A4B32" w:rsidRDefault="003A123B" w:rsidP="001A4B32">
      <w:pPr>
        <w:pStyle w:val="ListParagraph"/>
        <w:numPr>
          <w:ilvl w:val="0"/>
          <w:numId w:val="6"/>
        </w:numPr>
        <w:autoSpaceDE/>
        <w:autoSpaceDN/>
        <w:rPr>
          <w:rFonts w:ascii="Franklin Gothic Book" w:hAnsi="Franklin Gothic Book"/>
        </w:rPr>
      </w:pPr>
      <w:bookmarkStart w:id="5" w:name="_Hlk114067609"/>
      <w:bookmarkEnd w:id="4"/>
      <w:r>
        <w:rPr>
          <w:rFonts w:ascii="Franklin Gothic Book" w:hAnsi="Franklin Gothic Book"/>
        </w:rPr>
        <w:t>Requirements for high-power charging to be included in new developments without private off-street parking (paragraph 44)</w:t>
      </w:r>
    </w:p>
    <w:bookmarkEnd w:id="5"/>
    <w:p w14:paraId="6345F718" w14:textId="0E254EAE" w:rsidR="000C56E0" w:rsidRDefault="000C56E0" w:rsidP="008D47F5">
      <w:pPr>
        <w:autoSpaceDE/>
        <w:autoSpaceDN/>
        <w:rPr>
          <w:rFonts w:ascii="Franklin Gothic Book" w:hAnsi="Franklin Gothic Book"/>
          <w:b/>
          <w:bCs/>
          <w:sz w:val="28"/>
          <w:szCs w:val="28"/>
        </w:rPr>
      </w:pPr>
    </w:p>
    <w:p w14:paraId="2D15E343" w14:textId="77777777" w:rsidR="008D47F5" w:rsidRPr="008D47F5" w:rsidRDefault="008D47F5" w:rsidP="008D47F5">
      <w:pPr>
        <w:autoSpaceDE/>
        <w:autoSpaceDN/>
        <w:rPr>
          <w:rFonts w:ascii="Franklin Gothic Book" w:hAnsi="Franklin Gothic Book"/>
          <w:b/>
          <w:bCs/>
          <w:sz w:val="28"/>
          <w:szCs w:val="28"/>
        </w:rPr>
      </w:pPr>
      <w:r w:rsidRPr="008D47F5">
        <w:rPr>
          <w:rFonts w:ascii="Franklin Gothic Book" w:hAnsi="Franklin Gothic Book"/>
          <w:b/>
          <w:bCs/>
          <w:sz w:val="28"/>
          <w:szCs w:val="28"/>
        </w:rPr>
        <w:t>Contact</w:t>
      </w:r>
    </w:p>
    <w:p w14:paraId="4EC8849D" w14:textId="77777777" w:rsidR="000C56E0" w:rsidRDefault="000C56E0" w:rsidP="008D47F5">
      <w:pPr>
        <w:autoSpaceDE/>
        <w:autoSpaceDN/>
        <w:rPr>
          <w:rFonts w:ascii="Franklin Gothic Book" w:hAnsi="Franklin Gothic Book"/>
        </w:rPr>
      </w:pPr>
    </w:p>
    <w:p w14:paraId="3EFAFF52" w14:textId="025CDBC4" w:rsidR="003A123B" w:rsidRDefault="00B3467D" w:rsidP="008D47F5">
      <w:pPr>
        <w:autoSpaceDE/>
        <w:autoSpaceDN/>
        <w:rPr>
          <w:rFonts w:ascii="Franklin Gothic Book" w:hAnsi="Franklin Gothic Book"/>
        </w:rPr>
      </w:pPr>
      <w:r>
        <w:rPr>
          <w:rFonts w:ascii="Franklin Gothic Book" w:hAnsi="Franklin Gothic Book"/>
        </w:rPr>
        <w:t xml:space="preserve">For </w:t>
      </w:r>
      <w:r w:rsidR="008D47F5" w:rsidRPr="008D47F5">
        <w:rPr>
          <w:rFonts w:ascii="Franklin Gothic Book" w:hAnsi="Franklin Gothic Book"/>
        </w:rPr>
        <w:t>questions</w:t>
      </w:r>
      <w:r>
        <w:rPr>
          <w:rFonts w:ascii="Franklin Gothic Book" w:hAnsi="Franklin Gothic Book"/>
        </w:rPr>
        <w:t xml:space="preserve"> and further discussion</w:t>
      </w:r>
      <w:r w:rsidR="008D47F5">
        <w:rPr>
          <w:rFonts w:ascii="Franklin Gothic Book" w:hAnsi="Franklin Gothic Book"/>
        </w:rPr>
        <w:t xml:space="preserve">, please contact Jacob Roberts, Transport Policy Manager at the REA: </w:t>
      </w:r>
      <w:hyperlink r:id="rId15" w:history="1">
        <w:r w:rsidR="008D47F5" w:rsidRPr="00AF519A">
          <w:rPr>
            <w:rStyle w:val="Hyperlink"/>
            <w:rFonts w:ascii="Franklin Gothic Book" w:hAnsi="Franklin Gothic Book" w:cs="Arial"/>
          </w:rPr>
          <w:t>jroberts@r-e-a.net</w:t>
        </w:r>
      </w:hyperlink>
    </w:p>
    <w:p w14:paraId="3F6793BE" w14:textId="5E640748" w:rsidR="00235FEE" w:rsidRDefault="00235FEE" w:rsidP="008D47F5">
      <w:pPr>
        <w:autoSpaceDE/>
        <w:autoSpaceDN/>
        <w:rPr>
          <w:rFonts w:ascii="Franklin Gothic Book" w:hAnsi="Franklin Gothic Book"/>
        </w:rPr>
      </w:pPr>
    </w:p>
    <w:p w14:paraId="3E783776" w14:textId="24F48FB2" w:rsidR="00235FEE" w:rsidRDefault="00235FEE" w:rsidP="008D47F5">
      <w:pPr>
        <w:autoSpaceDE/>
        <w:autoSpaceDN/>
        <w:rPr>
          <w:rFonts w:ascii="Franklin Gothic Book" w:hAnsi="Franklin Gothic Book"/>
        </w:rPr>
      </w:pPr>
    </w:p>
    <w:p w14:paraId="2FBA5694" w14:textId="77777777" w:rsidR="00235FEE" w:rsidRDefault="00235FEE" w:rsidP="008D47F5">
      <w:pPr>
        <w:autoSpaceDE/>
        <w:autoSpaceDN/>
        <w:rPr>
          <w:rFonts w:ascii="Franklin Gothic Book" w:hAnsi="Franklin Gothic Book"/>
        </w:rPr>
      </w:pPr>
    </w:p>
    <w:p w14:paraId="3D83DBCA" w14:textId="77777777" w:rsidR="00235FEE" w:rsidRDefault="00235FEE" w:rsidP="00235FEE">
      <w:pPr>
        <w:autoSpaceDE/>
        <w:autoSpaceDN/>
        <w:rPr>
          <w:rFonts w:ascii="Franklin Gothic Book" w:hAnsi="Franklin Gothic Book"/>
        </w:rPr>
      </w:pPr>
    </w:p>
    <w:p w14:paraId="6C83BBE0" w14:textId="77777777" w:rsidR="00235FEE" w:rsidRDefault="00235FEE" w:rsidP="00235FEE">
      <w:pPr>
        <w:autoSpaceDE/>
        <w:autoSpaceDN/>
        <w:rPr>
          <w:rFonts w:ascii="Franklin Gothic Book" w:hAnsi="Franklin Gothic Book"/>
        </w:rPr>
      </w:pPr>
    </w:p>
    <w:p w14:paraId="5A05AE12" w14:textId="77777777" w:rsidR="00235FEE" w:rsidRDefault="00235FEE" w:rsidP="00235FEE">
      <w:pPr>
        <w:autoSpaceDE/>
        <w:autoSpaceDN/>
        <w:rPr>
          <w:rFonts w:ascii="Franklin Gothic Book" w:hAnsi="Franklin Gothic Book"/>
        </w:rPr>
      </w:pPr>
    </w:p>
    <w:p w14:paraId="6F8BFF62" w14:textId="77777777" w:rsidR="00235FEE" w:rsidRDefault="00235FEE" w:rsidP="00235FEE">
      <w:pPr>
        <w:autoSpaceDE/>
        <w:autoSpaceDN/>
        <w:rPr>
          <w:rFonts w:ascii="Franklin Gothic Book" w:hAnsi="Franklin Gothic Book"/>
        </w:rPr>
      </w:pPr>
    </w:p>
    <w:p w14:paraId="3F996F12" w14:textId="77777777" w:rsidR="00235FEE" w:rsidRDefault="00235FEE" w:rsidP="00235FEE">
      <w:pPr>
        <w:autoSpaceDE/>
        <w:autoSpaceDN/>
        <w:rPr>
          <w:rFonts w:ascii="Franklin Gothic Book" w:hAnsi="Franklin Gothic Book"/>
        </w:rPr>
      </w:pPr>
    </w:p>
    <w:p w14:paraId="11ED8696" w14:textId="7C46E1FF" w:rsidR="00235FEE" w:rsidRDefault="00235FEE" w:rsidP="00235FEE">
      <w:pPr>
        <w:autoSpaceDE/>
        <w:autoSpaceDN/>
        <w:rPr>
          <w:rFonts w:ascii="Franklin Gothic Book" w:hAnsi="Franklin Gothic Book"/>
        </w:rPr>
      </w:pPr>
      <w:r w:rsidRPr="008D47F5">
        <w:rPr>
          <w:rFonts w:ascii="Franklin Gothic Book" w:hAnsi="Franklin Gothic Book"/>
        </w:rPr>
        <w:t>The full consultation document</w:t>
      </w:r>
      <w:r>
        <w:rPr>
          <w:rFonts w:ascii="Franklin Gothic Book" w:hAnsi="Franklin Gothic Book"/>
        </w:rPr>
        <w:t>s</w:t>
      </w:r>
      <w:r w:rsidRPr="008D47F5">
        <w:rPr>
          <w:rFonts w:ascii="Franklin Gothic Book" w:hAnsi="Franklin Gothic Book"/>
        </w:rPr>
        <w:t xml:space="preserve"> can be found her</w:t>
      </w:r>
      <w:r>
        <w:rPr>
          <w:rFonts w:ascii="Franklin Gothic Book" w:hAnsi="Franklin Gothic Book"/>
        </w:rPr>
        <w:t xml:space="preserve">e: </w:t>
      </w:r>
    </w:p>
    <w:p w14:paraId="6050D18D" w14:textId="77777777" w:rsidR="00235FEE" w:rsidRDefault="00000000" w:rsidP="00235FEE">
      <w:pPr>
        <w:autoSpaceDE/>
        <w:autoSpaceDN/>
        <w:rPr>
          <w:rFonts w:ascii="Franklin Gothic Book" w:hAnsi="Franklin Gothic Book"/>
        </w:rPr>
      </w:pPr>
      <w:hyperlink r:id="rId16" w:history="1">
        <w:r w:rsidR="00235FEE" w:rsidRPr="001C174F">
          <w:rPr>
            <w:rStyle w:val="Hyperlink"/>
            <w:rFonts w:ascii="Franklin Gothic Book" w:hAnsi="Franklin Gothic Book" w:cs="Arial"/>
          </w:rPr>
          <w:t>https://www.gov.uk/government/consultations/strategic-road-network-and-the-delivery-of-sustainable-development-updates/consultation-to-update-the-strategic-road-network-and-the-delivery-of-sustainable-development-circular-022013</w:t>
        </w:r>
      </w:hyperlink>
      <w:r w:rsidR="00235FEE">
        <w:rPr>
          <w:rFonts w:ascii="Franklin Gothic Book" w:hAnsi="Franklin Gothic Book"/>
        </w:rPr>
        <w:t xml:space="preserve"> </w:t>
      </w:r>
    </w:p>
    <w:p w14:paraId="3E21CAF9" w14:textId="401F959A" w:rsidR="008D47F5" w:rsidRDefault="003A123B" w:rsidP="008D47F5">
      <w:pPr>
        <w:autoSpaceDE/>
        <w:autoSpaceDN/>
        <w:rPr>
          <w:rFonts w:ascii="Franklin Gothic Book" w:hAnsi="Franklin Gothic Book"/>
          <w:b/>
          <w:bCs/>
        </w:rPr>
      </w:pPr>
      <w:r>
        <w:rPr>
          <w:rFonts w:ascii="Franklin Gothic Book" w:hAnsi="Franklin Gothic Book"/>
        </w:rPr>
        <w:br w:type="column"/>
      </w:r>
      <w:r w:rsidR="007A011A" w:rsidRPr="009A406E">
        <w:rPr>
          <w:rFonts w:ascii="Franklin Gothic Book" w:hAnsi="Franklin Gothic Book"/>
          <w:b/>
          <w:bCs/>
          <w:sz w:val="28"/>
          <w:szCs w:val="28"/>
        </w:rPr>
        <w:lastRenderedPageBreak/>
        <w:t>Requirements to install electric vehicle charging infrastructure at service areas</w:t>
      </w:r>
    </w:p>
    <w:p w14:paraId="44CBE7EC" w14:textId="24810FD1" w:rsidR="007A011A" w:rsidRDefault="007A011A" w:rsidP="008D47F5">
      <w:pPr>
        <w:autoSpaceDE/>
        <w:autoSpaceDN/>
        <w:rPr>
          <w:rFonts w:ascii="Franklin Gothic Book" w:hAnsi="Franklin Gothic Book"/>
          <w:b/>
          <w:bCs/>
        </w:rPr>
      </w:pPr>
    </w:p>
    <w:p w14:paraId="5112F4ED" w14:textId="5851200D" w:rsidR="003A123B" w:rsidRPr="003A123B" w:rsidRDefault="00644E2C" w:rsidP="008D47F5">
      <w:pPr>
        <w:autoSpaceDE/>
        <w:autoSpaceDN/>
        <w:rPr>
          <w:rFonts w:ascii="Franklin Gothic Book" w:hAnsi="Franklin Gothic Book"/>
          <w:u w:val="single"/>
        </w:rPr>
      </w:pPr>
      <w:r w:rsidRPr="003A123B">
        <w:rPr>
          <w:rFonts w:ascii="Franklin Gothic Book" w:hAnsi="Franklin Gothic Book"/>
          <w:u w:val="single"/>
        </w:rPr>
        <w:t>Re</w:t>
      </w:r>
      <w:r w:rsidR="003A123B">
        <w:rPr>
          <w:rFonts w:ascii="Franklin Gothic Book" w:hAnsi="Franklin Gothic Book"/>
          <w:u w:val="single"/>
        </w:rPr>
        <w:t>:</w:t>
      </w:r>
      <w:r w:rsidRPr="003A123B">
        <w:rPr>
          <w:rFonts w:ascii="Franklin Gothic Book" w:hAnsi="Franklin Gothic Book"/>
          <w:u w:val="single"/>
        </w:rPr>
        <w:t xml:space="preserve"> Annex A</w:t>
      </w:r>
    </w:p>
    <w:p w14:paraId="06488EA9" w14:textId="4C58C1B3" w:rsidR="00644E2C" w:rsidRPr="00644E2C" w:rsidRDefault="00644E2C" w:rsidP="008D47F5">
      <w:pPr>
        <w:autoSpaceDE/>
        <w:autoSpaceDN/>
        <w:rPr>
          <w:rFonts w:ascii="Franklin Gothic Book" w:hAnsi="Franklin Gothic Book"/>
        </w:rPr>
      </w:pPr>
      <w:r w:rsidRPr="00644E2C">
        <w:rPr>
          <w:rFonts w:ascii="Franklin Gothic Book" w:hAnsi="Franklin Gothic Book"/>
        </w:rPr>
        <w:t>The REA</w:t>
      </w:r>
      <w:r>
        <w:rPr>
          <w:rFonts w:ascii="Franklin Gothic Book" w:hAnsi="Franklin Gothic Book"/>
        </w:rPr>
        <w:t xml:space="preserve"> supports the revision to make EV charging mandatory for motorway and APTR service areas. In practice, we believe that the majority of such sites have already installed, or will soon be installing, EV charging equipment. These requirements remain necessary to ensure that </w:t>
      </w:r>
      <w:r>
        <w:rPr>
          <w:rFonts w:ascii="Franklin Gothic Book" w:hAnsi="Franklin Gothic Book"/>
          <w:i/>
          <w:iCs/>
        </w:rPr>
        <w:t>all</w:t>
      </w:r>
      <w:r>
        <w:rPr>
          <w:rFonts w:ascii="Franklin Gothic Book" w:hAnsi="Franklin Gothic Book"/>
        </w:rPr>
        <w:t xml:space="preserve"> </w:t>
      </w:r>
      <w:r w:rsidR="003A123B">
        <w:rPr>
          <w:rFonts w:ascii="Franklin Gothic Book" w:hAnsi="Franklin Gothic Book"/>
        </w:rPr>
        <w:t>sites offer EV charging, thereby ensuring that EV can access charging infrastructure across the entire SRN.</w:t>
      </w:r>
    </w:p>
    <w:p w14:paraId="317498A9" w14:textId="169BD8FD" w:rsidR="008D47F5" w:rsidRDefault="008D47F5" w:rsidP="008D47F5">
      <w:pPr>
        <w:autoSpaceDE/>
        <w:autoSpaceDN/>
        <w:rPr>
          <w:rFonts w:ascii="Franklin Gothic Book" w:hAnsi="Franklin Gothic Book"/>
        </w:rPr>
      </w:pPr>
    </w:p>
    <w:p w14:paraId="73E0129C" w14:textId="7636ED6B" w:rsidR="00B3467D" w:rsidRDefault="00B3467D" w:rsidP="008D47F5">
      <w:pPr>
        <w:autoSpaceDE/>
        <w:autoSpaceDN/>
        <w:rPr>
          <w:rFonts w:ascii="Franklin Gothic Book" w:hAnsi="Franklin Gothic Book"/>
        </w:rPr>
      </w:pPr>
    </w:p>
    <w:p w14:paraId="343F20BA" w14:textId="4D7FCD08" w:rsidR="00B3467D" w:rsidRPr="009A406E" w:rsidRDefault="003A123B" w:rsidP="008D47F5">
      <w:pPr>
        <w:autoSpaceDE/>
        <w:autoSpaceDN/>
        <w:rPr>
          <w:rFonts w:ascii="Franklin Gothic Book" w:hAnsi="Franklin Gothic Book"/>
          <w:b/>
          <w:bCs/>
          <w:sz w:val="28"/>
          <w:szCs w:val="28"/>
        </w:rPr>
      </w:pPr>
      <w:r w:rsidRPr="009A406E">
        <w:rPr>
          <w:rFonts w:ascii="Franklin Gothic Book" w:hAnsi="Franklin Gothic Book"/>
          <w:b/>
          <w:bCs/>
          <w:sz w:val="28"/>
          <w:szCs w:val="28"/>
        </w:rPr>
        <w:t>Requirements for electric vehicle charging infrastructure installed at service areas to meet a particular specification</w:t>
      </w:r>
    </w:p>
    <w:p w14:paraId="01CAC2A2" w14:textId="5A998436" w:rsidR="00B3467D" w:rsidRDefault="00B3467D" w:rsidP="008D47F5">
      <w:pPr>
        <w:autoSpaceDE/>
        <w:autoSpaceDN/>
        <w:rPr>
          <w:rFonts w:ascii="Franklin Gothic Book" w:hAnsi="Franklin Gothic Book"/>
        </w:rPr>
      </w:pPr>
    </w:p>
    <w:p w14:paraId="4E71F0C6" w14:textId="581D424A" w:rsidR="00B3467D" w:rsidRPr="009A0CD8" w:rsidRDefault="003A123B" w:rsidP="008D47F5">
      <w:pPr>
        <w:autoSpaceDE/>
        <w:autoSpaceDN/>
        <w:rPr>
          <w:rFonts w:ascii="Franklin Gothic Book" w:hAnsi="Franklin Gothic Book"/>
          <w:u w:val="single"/>
        </w:rPr>
      </w:pPr>
      <w:r w:rsidRPr="009A0CD8">
        <w:rPr>
          <w:rFonts w:ascii="Franklin Gothic Book" w:hAnsi="Franklin Gothic Book"/>
          <w:u w:val="single"/>
        </w:rPr>
        <w:t>Re: Paragraph 111</w:t>
      </w:r>
    </w:p>
    <w:p w14:paraId="7584F5CF" w14:textId="08D6F9BE" w:rsidR="003A123B" w:rsidRDefault="003A123B" w:rsidP="008D47F5">
      <w:pPr>
        <w:autoSpaceDE/>
        <w:autoSpaceDN/>
        <w:rPr>
          <w:rFonts w:ascii="Franklin Gothic Book" w:hAnsi="Franklin Gothic Book"/>
        </w:rPr>
      </w:pPr>
    </w:p>
    <w:p w14:paraId="3A37A519" w14:textId="53738A92" w:rsidR="003A123B" w:rsidRDefault="003A123B" w:rsidP="008D47F5">
      <w:pPr>
        <w:autoSpaceDE/>
        <w:autoSpaceDN/>
        <w:rPr>
          <w:rFonts w:ascii="Franklin Gothic Book" w:hAnsi="Franklin Gothic Book"/>
        </w:rPr>
      </w:pPr>
      <w:r>
        <w:rPr>
          <w:rFonts w:ascii="Franklin Gothic Book" w:hAnsi="Franklin Gothic Book"/>
        </w:rPr>
        <w:t xml:space="preserve">Paragraph 111 sets out a number of </w:t>
      </w:r>
      <w:r w:rsidR="00750F5D">
        <w:rPr>
          <w:rFonts w:ascii="Franklin Gothic Book" w:hAnsi="Franklin Gothic Book"/>
        </w:rPr>
        <w:t>revisions regarding the equipment and service specification of EV charging infrastructure installed at service areas. The table below summarises REA’s position on each of these requirements:</w:t>
      </w:r>
    </w:p>
    <w:p w14:paraId="1297E220" w14:textId="67CAAC5B" w:rsidR="00750F5D" w:rsidRDefault="00750F5D" w:rsidP="008D47F5">
      <w:pPr>
        <w:autoSpaceDE/>
        <w:autoSpaceDN/>
        <w:rPr>
          <w:rFonts w:ascii="Franklin Gothic Book" w:hAnsi="Franklin Gothic Book"/>
        </w:rPr>
      </w:pPr>
    </w:p>
    <w:tbl>
      <w:tblPr>
        <w:tblStyle w:val="TableGrid"/>
        <w:tblW w:w="0" w:type="auto"/>
        <w:tblLook w:val="04A0" w:firstRow="1" w:lastRow="0" w:firstColumn="1" w:lastColumn="0" w:noHBand="0" w:noVBand="1"/>
      </w:tblPr>
      <w:tblGrid>
        <w:gridCol w:w="7621"/>
        <w:gridCol w:w="1485"/>
      </w:tblGrid>
      <w:tr w:rsidR="00750F5D" w14:paraId="7D5CE67E" w14:textId="3BE127E4" w:rsidTr="00750F5D">
        <w:trPr>
          <w:trHeight w:val="292"/>
        </w:trPr>
        <w:tc>
          <w:tcPr>
            <w:tcW w:w="7621" w:type="dxa"/>
          </w:tcPr>
          <w:p w14:paraId="3F1AC8E4" w14:textId="4DB46FC4" w:rsidR="00750F5D" w:rsidRDefault="00750F5D" w:rsidP="008D47F5">
            <w:pPr>
              <w:autoSpaceDE/>
              <w:autoSpaceDN/>
              <w:rPr>
                <w:rFonts w:ascii="Franklin Gothic Book" w:hAnsi="Franklin Gothic Book"/>
              </w:rPr>
            </w:pPr>
            <w:r>
              <w:rPr>
                <w:rFonts w:ascii="Franklin Gothic Book" w:hAnsi="Franklin Gothic Book"/>
              </w:rPr>
              <w:t>Requirement</w:t>
            </w:r>
          </w:p>
        </w:tc>
        <w:tc>
          <w:tcPr>
            <w:tcW w:w="1485" w:type="dxa"/>
          </w:tcPr>
          <w:p w14:paraId="01999E5C" w14:textId="18F45520" w:rsidR="00750F5D" w:rsidRDefault="00750F5D" w:rsidP="008D47F5">
            <w:pPr>
              <w:autoSpaceDE/>
              <w:autoSpaceDN/>
              <w:rPr>
                <w:rFonts w:ascii="Franklin Gothic Book" w:hAnsi="Franklin Gothic Book"/>
              </w:rPr>
            </w:pPr>
            <w:r>
              <w:rPr>
                <w:rFonts w:ascii="Franklin Gothic Book" w:hAnsi="Franklin Gothic Book"/>
              </w:rPr>
              <w:t>REA position</w:t>
            </w:r>
          </w:p>
        </w:tc>
      </w:tr>
      <w:tr w:rsidR="00750F5D" w14:paraId="45DD0FFC" w14:textId="4CA4CD69" w:rsidTr="00750F5D">
        <w:trPr>
          <w:trHeight w:val="473"/>
        </w:trPr>
        <w:tc>
          <w:tcPr>
            <w:tcW w:w="7621" w:type="dxa"/>
          </w:tcPr>
          <w:p w14:paraId="70035D04" w14:textId="0A649EE9" w:rsidR="00750F5D" w:rsidRDefault="00750F5D" w:rsidP="008D47F5">
            <w:pPr>
              <w:autoSpaceDE/>
              <w:autoSpaceDN/>
              <w:rPr>
                <w:rFonts w:ascii="Franklin Gothic Book" w:hAnsi="Franklin Gothic Book"/>
              </w:rPr>
            </w:pPr>
            <w:r>
              <w:rPr>
                <w:rFonts w:ascii="Franklin Gothic Book" w:hAnsi="Franklin Gothic Book"/>
              </w:rPr>
              <w:t>Enabling multiple payment options that cover both electronic and cash payment</w:t>
            </w:r>
          </w:p>
        </w:tc>
        <w:tc>
          <w:tcPr>
            <w:tcW w:w="1485" w:type="dxa"/>
          </w:tcPr>
          <w:p w14:paraId="4C1467C0" w14:textId="2EEFF28A" w:rsidR="00750F5D" w:rsidRDefault="00750F5D" w:rsidP="008D47F5">
            <w:pPr>
              <w:autoSpaceDE/>
              <w:autoSpaceDN/>
              <w:rPr>
                <w:rFonts w:ascii="Franklin Gothic Book" w:hAnsi="Franklin Gothic Book"/>
              </w:rPr>
            </w:pPr>
            <w:r>
              <w:rPr>
                <w:rFonts w:ascii="Franklin Gothic Book" w:hAnsi="Franklin Gothic Book"/>
              </w:rPr>
              <w:t>Oppose</w:t>
            </w:r>
          </w:p>
        </w:tc>
      </w:tr>
      <w:tr w:rsidR="00750F5D" w14:paraId="1FAFF727" w14:textId="00D4EFAD" w:rsidTr="00750F5D">
        <w:trPr>
          <w:trHeight w:val="292"/>
        </w:trPr>
        <w:tc>
          <w:tcPr>
            <w:tcW w:w="7621" w:type="dxa"/>
          </w:tcPr>
          <w:p w14:paraId="4CBB0B37" w14:textId="0F330C67" w:rsidR="00750F5D" w:rsidRDefault="00750F5D" w:rsidP="008D47F5">
            <w:pPr>
              <w:autoSpaceDE/>
              <w:autoSpaceDN/>
              <w:rPr>
                <w:rFonts w:ascii="Franklin Gothic Book" w:hAnsi="Franklin Gothic Book"/>
              </w:rPr>
            </w:pPr>
            <w:r>
              <w:rPr>
                <w:rFonts w:ascii="Franklin Gothic Book" w:hAnsi="Franklin Gothic Book"/>
              </w:rPr>
              <w:t>Provide easy-to-read prices in p/kWh that do not fluctuate once charging sessions have started</w:t>
            </w:r>
          </w:p>
        </w:tc>
        <w:tc>
          <w:tcPr>
            <w:tcW w:w="1485" w:type="dxa"/>
          </w:tcPr>
          <w:p w14:paraId="3EAA2090" w14:textId="54A261B5" w:rsidR="00750F5D" w:rsidRDefault="00750F5D" w:rsidP="008D47F5">
            <w:pPr>
              <w:autoSpaceDE/>
              <w:autoSpaceDN/>
              <w:rPr>
                <w:rFonts w:ascii="Franklin Gothic Book" w:hAnsi="Franklin Gothic Book"/>
              </w:rPr>
            </w:pPr>
            <w:r>
              <w:rPr>
                <w:rFonts w:ascii="Franklin Gothic Book" w:hAnsi="Franklin Gothic Book"/>
              </w:rPr>
              <w:t>Support</w:t>
            </w:r>
          </w:p>
        </w:tc>
      </w:tr>
      <w:tr w:rsidR="00750F5D" w14:paraId="094CCC1E" w14:textId="612221B6" w:rsidTr="00750F5D">
        <w:trPr>
          <w:trHeight w:val="284"/>
        </w:trPr>
        <w:tc>
          <w:tcPr>
            <w:tcW w:w="7621" w:type="dxa"/>
          </w:tcPr>
          <w:p w14:paraId="3CA9478B" w14:textId="71100073" w:rsidR="00750F5D" w:rsidRDefault="00750F5D" w:rsidP="008D47F5">
            <w:pPr>
              <w:autoSpaceDE/>
              <w:autoSpaceDN/>
              <w:rPr>
                <w:rFonts w:ascii="Franklin Gothic Book" w:hAnsi="Franklin Gothic Book"/>
              </w:rPr>
            </w:pPr>
            <w:r>
              <w:rPr>
                <w:rFonts w:ascii="Franklin Gothic Book" w:hAnsi="Franklin Gothic Book"/>
              </w:rPr>
              <w:t>Ensure chargepoints are working all year round</w:t>
            </w:r>
          </w:p>
        </w:tc>
        <w:tc>
          <w:tcPr>
            <w:tcW w:w="1485" w:type="dxa"/>
          </w:tcPr>
          <w:p w14:paraId="452A7810" w14:textId="1B8702A2" w:rsidR="00750F5D" w:rsidRDefault="00252355" w:rsidP="008D47F5">
            <w:pPr>
              <w:autoSpaceDE/>
              <w:autoSpaceDN/>
              <w:rPr>
                <w:rFonts w:ascii="Franklin Gothic Book" w:hAnsi="Franklin Gothic Book"/>
              </w:rPr>
            </w:pPr>
            <w:r>
              <w:rPr>
                <w:rFonts w:ascii="Franklin Gothic Book" w:hAnsi="Franklin Gothic Book"/>
              </w:rPr>
              <w:t>Tentatively support</w:t>
            </w:r>
          </w:p>
        </w:tc>
      </w:tr>
      <w:tr w:rsidR="00750F5D" w14:paraId="23E4AAA3" w14:textId="04B69D8F" w:rsidTr="00750F5D">
        <w:trPr>
          <w:trHeight w:val="394"/>
        </w:trPr>
        <w:tc>
          <w:tcPr>
            <w:tcW w:w="7621" w:type="dxa"/>
          </w:tcPr>
          <w:p w14:paraId="623F4741" w14:textId="358AA16A" w:rsidR="00750F5D" w:rsidRDefault="00750F5D" w:rsidP="008D47F5">
            <w:pPr>
              <w:autoSpaceDE/>
              <w:autoSpaceDN/>
              <w:rPr>
                <w:rFonts w:ascii="Franklin Gothic Book" w:hAnsi="Franklin Gothic Book"/>
              </w:rPr>
            </w:pPr>
            <w:r>
              <w:rPr>
                <w:rFonts w:ascii="Franklin Gothic Book" w:hAnsi="Franklin Gothic Book"/>
              </w:rPr>
              <w:t>Provide 24/7 helplines for users</w:t>
            </w:r>
          </w:p>
        </w:tc>
        <w:tc>
          <w:tcPr>
            <w:tcW w:w="1485" w:type="dxa"/>
          </w:tcPr>
          <w:p w14:paraId="309D76D6" w14:textId="25D3CD7D" w:rsidR="00750F5D" w:rsidRDefault="00750F5D" w:rsidP="008D47F5">
            <w:pPr>
              <w:autoSpaceDE/>
              <w:autoSpaceDN/>
              <w:rPr>
                <w:rFonts w:ascii="Franklin Gothic Book" w:hAnsi="Franklin Gothic Book"/>
              </w:rPr>
            </w:pPr>
            <w:r>
              <w:rPr>
                <w:rFonts w:ascii="Franklin Gothic Book" w:hAnsi="Franklin Gothic Book"/>
              </w:rPr>
              <w:t>Support</w:t>
            </w:r>
          </w:p>
        </w:tc>
      </w:tr>
    </w:tbl>
    <w:p w14:paraId="65430AE1" w14:textId="497EEEEE" w:rsidR="00750F5D" w:rsidRDefault="00750F5D" w:rsidP="008D47F5">
      <w:pPr>
        <w:autoSpaceDE/>
        <w:autoSpaceDN/>
        <w:rPr>
          <w:rFonts w:ascii="Franklin Gothic Book" w:hAnsi="Franklin Gothic Book"/>
        </w:rPr>
      </w:pPr>
    </w:p>
    <w:p w14:paraId="25A0F4FB" w14:textId="0BDBC525" w:rsidR="00750F5D" w:rsidRDefault="00750F5D" w:rsidP="008D47F5">
      <w:pPr>
        <w:autoSpaceDE/>
        <w:autoSpaceDN/>
        <w:rPr>
          <w:rFonts w:ascii="Franklin Gothic Book" w:hAnsi="Franklin Gothic Book"/>
        </w:rPr>
      </w:pPr>
      <w:r>
        <w:rPr>
          <w:rFonts w:ascii="Franklin Gothic Book" w:hAnsi="Franklin Gothic Book"/>
        </w:rPr>
        <w:t xml:space="preserve">Regarding </w:t>
      </w:r>
      <w:r w:rsidR="00270E4B">
        <w:rPr>
          <w:rFonts w:ascii="Franklin Gothic Book" w:hAnsi="Franklin Gothic Book"/>
        </w:rPr>
        <w:t xml:space="preserve">multiple payment methods, </w:t>
      </w:r>
      <w:r w:rsidR="00252355" w:rsidRPr="00A80660">
        <w:rPr>
          <w:rFonts w:ascii="Franklin Gothic Book" w:hAnsi="Franklin Gothic Book"/>
          <w:b/>
          <w:bCs/>
        </w:rPr>
        <w:t>w</w:t>
      </w:r>
      <w:r w:rsidR="00270E4B" w:rsidRPr="00A80660">
        <w:rPr>
          <w:rFonts w:ascii="Franklin Gothic Book" w:hAnsi="Franklin Gothic Book"/>
          <w:b/>
          <w:bCs/>
        </w:rPr>
        <w:t>e are strongly opposed to the requirement to offer cash payment</w:t>
      </w:r>
      <w:r w:rsidR="00270E4B">
        <w:rPr>
          <w:rFonts w:ascii="Franklin Gothic Book" w:hAnsi="Franklin Gothic Book"/>
        </w:rPr>
        <w:t xml:space="preserve">. This requirement would cause considerable </w:t>
      </w:r>
      <w:r w:rsidR="00D934D6">
        <w:rPr>
          <w:rFonts w:ascii="Franklin Gothic Book" w:hAnsi="Franklin Gothic Book"/>
        </w:rPr>
        <w:t xml:space="preserve">industry </w:t>
      </w:r>
      <w:r w:rsidR="00270E4B">
        <w:rPr>
          <w:rFonts w:ascii="Franklin Gothic Book" w:hAnsi="Franklin Gothic Book"/>
        </w:rPr>
        <w:t xml:space="preserve">disruption, as </w:t>
      </w:r>
      <w:r w:rsidR="00960D0C">
        <w:rPr>
          <w:rFonts w:ascii="Franklin Gothic Book" w:hAnsi="Franklin Gothic Book"/>
        </w:rPr>
        <w:t xml:space="preserve">automated </w:t>
      </w:r>
      <w:r w:rsidR="00270E4B">
        <w:rPr>
          <w:rFonts w:ascii="Franklin Gothic Book" w:hAnsi="Franklin Gothic Book"/>
        </w:rPr>
        <w:t xml:space="preserve">cash payment is not offered by any </w:t>
      </w:r>
      <w:r w:rsidR="00960D0C">
        <w:rPr>
          <w:rFonts w:ascii="Franklin Gothic Book" w:hAnsi="Franklin Gothic Book"/>
        </w:rPr>
        <w:t xml:space="preserve">high-power </w:t>
      </w:r>
      <w:r w:rsidR="00270E4B">
        <w:rPr>
          <w:rFonts w:ascii="Franklin Gothic Book" w:hAnsi="Franklin Gothic Book"/>
        </w:rPr>
        <w:t xml:space="preserve">EV charging equipment manufacturer; neither are existing chargepoint network operators equipped to meet the additional </w:t>
      </w:r>
      <w:r w:rsidR="00D934D6">
        <w:rPr>
          <w:rFonts w:ascii="Franklin Gothic Book" w:hAnsi="Franklin Gothic Book"/>
        </w:rPr>
        <w:t xml:space="preserve">activities </w:t>
      </w:r>
      <w:r w:rsidR="00270E4B">
        <w:rPr>
          <w:rFonts w:ascii="Franklin Gothic Book" w:hAnsi="Franklin Gothic Book"/>
        </w:rPr>
        <w:t>require</w:t>
      </w:r>
      <w:r w:rsidR="00D934D6">
        <w:rPr>
          <w:rFonts w:ascii="Franklin Gothic Book" w:hAnsi="Franklin Gothic Book"/>
        </w:rPr>
        <w:t>d</w:t>
      </w:r>
      <w:r w:rsidR="00270E4B">
        <w:rPr>
          <w:rFonts w:ascii="Franklin Gothic Book" w:hAnsi="Franklin Gothic Book"/>
        </w:rPr>
        <w:t xml:space="preserve"> to support cash-holding equipment.</w:t>
      </w:r>
      <w:r w:rsidR="00960D0C">
        <w:rPr>
          <w:rFonts w:ascii="Franklin Gothic Book" w:hAnsi="Franklin Gothic Book"/>
        </w:rPr>
        <w:t xml:space="preserve"> In practice, cash payment </w:t>
      </w:r>
      <w:r w:rsidR="00DE2050">
        <w:rPr>
          <w:rFonts w:ascii="Franklin Gothic Book" w:hAnsi="Franklin Gothic Book"/>
        </w:rPr>
        <w:t xml:space="preserve">would only be </w:t>
      </w:r>
      <w:r w:rsidR="00AE74F9">
        <w:rPr>
          <w:rFonts w:ascii="Franklin Gothic Book" w:hAnsi="Franklin Gothic Book"/>
        </w:rPr>
        <w:t>possible</w:t>
      </w:r>
      <w:r w:rsidR="00DE2050">
        <w:rPr>
          <w:rFonts w:ascii="Franklin Gothic Book" w:hAnsi="Franklin Gothic Book"/>
        </w:rPr>
        <w:t xml:space="preserve"> if </w:t>
      </w:r>
      <w:r w:rsidR="00F565F3">
        <w:rPr>
          <w:rFonts w:ascii="Franklin Gothic Book" w:hAnsi="Franklin Gothic Book"/>
        </w:rPr>
        <w:t xml:space="preserve">service areas were staffed to </w:t>
      </w:r>
      <w:r w:rsidR="00AE74F9">
        <w:rPr>
          <w:rFonts w:ascii="Franklin Gothic Book" w:hAnsi="Franklin Gothic Book"/>
        </w:rPr>
        <w:t xml:space="preserve">manually </w:t>
      </w:r>
      <w:r w:rsidR="00F565F3">
        <w:rPr>
          <w:rFonts w:ascii="Franklin Gothic Book" w:hAnsi="Franklin Gothic Book"/>
        </w:rPr>
        <w:t>process cash payments</w:t>
      </w:r>
      <w:r w:rsidR="00AE74F9">
        <w:rPr>
          <w:rFonts w:ascii="Franklin Gothic Book" w:hAnsi="Franklin Gothic Book"/>
        </w:rPr>
        <w:t xml:space="preserve">, which </w:t>
      </w:r>
      <w:r w:rsidR="00651C37">
        <w:rPr>
          <w:rFonts w:ascii="Franklin Gothic Book" w:hAnsi="Franklin Gothic Book"/>
        </w:rPr>
        <w:t xml:space="preserve">is </w:t>
      </w:r>
      <w:r w:rsidR="00AE74F9">
        <w:rPr>
          <w:rFonts w:ascii="Franklin Gothic Book" w:hAnsi="Franklin Gothic Book"/>
        </w:rPr>
        <w:t>both practically and commercially unviable</w:t>
      </w:r>
      <w:r w:rsidR="00651C37">
        <w:rPr>
          <w:rFonts w:ascii="Franklin Gothic Book" w:hAnsi="Franklin Gothic Book"/>
        </w:rPr>
        <w:t xml:space="preserve"> at this point in time</w:t>
      </w:r>
      <w:r w:rsidR="00AE74F9">
        <w:rPr>
          <w:rFonts w:ascii="Franklin Gothic Book" w:hAnsi="Franklin Gothic Book"/>
        </w:rPr>
        <w:t xml:space="preserve">. </w:t>
      </w:r>
      <w:r w:rsidR="00270E4B">
        <w:rPr>
          <w:rFonts w:ascii="Franklin Gothic Book" w:hAnsi="Franklin Gothic Book"/>
        </w:rPr>
        <w:t>In the short-to-medium term, the requirement for cash payment would therefore be undeliverable</w:t>
      </w:r>
      <w:r w:rsidR="00252355">
        <w:rPr>
          <w:rFonts w:ascii="Franklin Gothic Book" w:hAnsi="Franklin Gothic Book"/>
        </w:rPr>
        <w:t xml:space="preserve"> and would jeopardise the rollout of EV charging equipment across all service areas.</w:t>
      </w:r>
    </w:p>
    <w:p w14:paraId="0DEF0487" w14:textId="258D69F0" w:rsidR="00B3467D" w:rsidRDefault="00B3467D" w:rsidP="008D47F5">
      <w:pPr>
        <w:autoSpaceDE/>
        <w:autoSpaceDN/>
        <w:rPr>
          <w:rFonts w:ascii="Franklin Gothic Book" w:hAnsi="Franklin Gothic Book"/>
        </w:rPr>
      </w:pPr>
    </w:p>
    <w:p w14:paraId="3D25ED2F" w14:textId="74039A83" w:rsidR="00B3467D" w:rsidRDefault="00252355" w:rsidP="008D47F5">
      <w:pPr>
        <w:autoSpaceDE/>
        <w:autoSpaceDN/>
        <w:rPr>
          <w:rFonts w:ascii="Franklin Gothic Book" w:hAnsi="Franklin Gothic Book"/>
        </w:rPr>
      </w:pPr>
      <w:r>
        <w:rPr>
          <w:rFonts w:ascii="Franklin Gothic Book" w:hAnsi="Franklin Gothic Book"/>
        </w:rPr>
        <w:t xml:space="preserve">The REA would be supportive of requirements for EV charging equipment to offer multiple forms of </w:t>
      </w:r>
      <w:r w:rsidRPr="00252355">
        <w:rPr>
          <w:rFonts w:ascii="Franklin Gothic Book" w:hAnsi="Franklin Gothic Book"/>
          <w:i/>
          <w:iCs/>
        </w:rPr>
        <w:t>electronic</w:t>
      </w:r>
      <w:r>
        <w:rPr>
          <w:rFonts w:ascii="Franklin Gothic Book" w:hAnsi="Franklin Gothic Book"/>
        </w:rPr>
        <w:t xml:space="preserve"> payment only. This has been a widespread practice for many years.</w:t>
      </w:r>
    </w:p>
    <w:p w14:paraId="30A29953" w14:textId="68E0DBD8" w:rsidR="00252355" w:rsidRDefault="00252355" w:rsidP="008D47F5">
      <w:pPr>
        <w:autoSpaceDE/>
        <w:autoSpaceDN/>
        <w:rPr>
          <w:rFonts w:ascii="Franklin Gothic Book" w:hAnsi="Franklin Gothic Book"/>
        </w:rPr>
      </w:pPr>
    </w:p>
    <w:p w14:paraId="155ECD61" w14:textId="52C26EDB" w:rsidR="00252355" w:rsidRDefault="00252355" w:rsidP="008D47F5">
      <w:pPr>
        <w:autoSpaceDE/>
        <w:autoSpaceDN/>
        <w:rPr>
          <w:rFonts w:ascii="Franklin Gothic Book" w:hAnsi="Franklin Gothic Book"/>
        </w:rPr>
      </w:pPr>
      <w:r>
        <w:rPr>
          <w:rFonts w:ascii="Franklin Gothic Book" w:hAnsi="Franklin Gothic Book"/>
        </w:rPr>
        <w:t xml:space="preserve">We are also supportive of providing easy-to-read prices in p/kWh, that do not fluctuate after a charging session has </w:t>
      </w:r>
      <w:r w:rsidR="00031730">
        <w:rPr>
          <w:rFonts w:ascii="Franklin Gothic Book" w:hAnsi="Franklin Gothic Book"/>
        </w:rPr>
        <w:t>begun</w:t>
      </w:r>
      <w:r>
        <w:rPr>
          <w:rFonts w:ascii="Franklin Gothic Book" w:hAnsi="Franklin Gothic Book"/>
        </w:rPr>
        <w:t>. This too has been a widespread and longstanding practice within the EV charging industry.</w:t>
      </w:r>
    </w:p>
    <w:p w14:paraId="18F02738" w14:textId="501D4272" w:rsidR="00252355" w:rsidRDefault="00252355" w:rsidP="008D47F5">
      <w:pPr>
        <w:autoSpaceDE/>
        <w:autoSpaceDN/>
        <w:rPr>
          <w:rFonts w:ascii="Franklin Gothic Book" w:hAnsi="Franklin Gothic Book"/>
        </w:rPr>
      </w:pPr>
    </w:p>
    <w:p w14:paraId="0D8AE49C" w14:textId="667CD199" w:rsidR="00252355" w:rsidRDefault="00252355" w:rsidP="008D47F5">
      <w:pPr>
        <w:autoSpaceDE/>
        <w:autoSpaceDN/>
        <w:rPr>
          <w:rFonts w:ascii="Franklin Gothic Book" w:hAnsi="Franklin Gothic Book"/>
        </w:rPr>
      </w:pPr>
      <w:r>
        <w:rPr>
          <w:rFonts w:ascii="Franklin Gothic Book" w:hAnsi="Franklin Gothic Book"/>
        </w:rPr>
        <w:t xml:space="preserve">The REA tentatively supports the requirement to ensure chargepoint are working all year round. </w:t>
      </w:r>
      <w:r w:rsidR="009A0CD8">
        <w:rPr>
          <w:rFonts w:ascii="Franklin Gothic Book" w:hAnsi="Franklin Gothic Book"/>
        </w:rPr>
        <w:t>We support the requirement to provide a reliable service, but w</w:t>
      </w:r>
      <w:r>
        <w:rPr>
          <w:rFonts w:ascii="Franklin Gothic Book" w:hAnsi="Franklin Gothic Book"/>
        </w:rPr>
        <w:t>e consider that the wording of this requirement is too vague and open to interpretation</w:t>
      </w:r>
      <w:r w:rsidR="009A0CD8">
        <w:rPr>
          <w:rFonts w:ascii="Franklin Gothic Book" w:hAnsi="Franklin Gothic Book"/>
        </w:rPr>
        <w:t xml:space="preserve">. For example “all year round” could be taken to mean “always”, or it could be taken to mean “not switched off over Winter”. We suggest that this requirement mirrors </w:t>
      </w:r>
      <w:r w:rsidR="005A711B">
        <w:rPr>
          <w:rFonts w:ascii="Franklin Gothic Book" w:hAnsi="Franklin Gothic Book"/>
        </w:rPr>
        <w:t xml:space="preserve">those set out in </w:t>
      </w:r>
      <w:r w:rsidR="009A0CD8">
        <w:rPr>
          <w:rFonts w:ascii="Franklin Gothic Book" w:hAnsi="Franklin Gothic Book"/>
        </w:rPr>
        <w:t>the upcoming Consumer Experience regulations</w:t>
      </w:r>
      <w:r w:rsidR="00031730">
        <w:rPr>
          <w:rFonts w:ascii="Franklin Gothic Book" w:hAnsi="Franklin Gothic Book"/>
        </w:rPr>
        <w:t xml:space="preserve">, as </w:t>
      </w:r>
      <w:r w:rsidR="00F8066F">
        <w:rPr>
          <w:rFonts w:ascii="Franklin Gothic Book" w:hAnsi="Franklin Gothic Book"/>
        </w:rPr>
        <w:t xml:space="preserve">EV charging equipment </w:t>
      </w:r>
      <w:r w:rsidR="00031730">
        <w:rPr>
          <w:rFonts w:ascii="Franklin Gothic Book" w:hAnsi="Franklin Gothic Book"/>
        </w:rPr>
        <w:t>installed at service areas will be subject to these regulations in any case.</w:t>
      </w:r>
    </w:p>
    <w:p w14:paraId="4AD1AEA0" w14:textId="6925120E" w:rsidR="00B3467D" w:rsidRDefault="00B3467D" w:rsidP="008D47F5">
      <w:pPr>
        <w:autoSpaceDE/>
        <w:autoSpaceDN/>
        <w:rPr>
          <w:rFonts w:ascii="Franklin Gothic Book" w:hAnsi="Franklin Gothic Book"/>
        </w:rPr>
      </w:pPr>
    </w:p>
    <w:p w14:paraId="5288F8F5" w14:textId="3BE1E5DA" w:rsidR="002148CB" w:rsidRPr="002148CB" w:rsidRDefault="002148CB" w:rsidP="008D47F5">
      <w:pPr>
        <w:autoSpaceDE/>
        <w:autoSpaceDN/>
        <w:rPr>
          <w:rFonts w:ascii="Franklin Gothic Book" w:hAnsi="Franklin Gothic Book"/>
          <w:u w:val="single"/>
        </w:rPr>
      </w:pPr>
      <w:r w:rsidRPr="002148CB">
        <w:rPr>
          <w:rFonts w:ascii="Franklin Gothic Book" w:hAnsi="Franklin Gothic Book"/>
          <w:u w:val="single"/>
        </w:rPr>
        <w:lastRenderedPageBreak/>
        <w:t>R</w:t>
      </w:r>
      <w:r w:rsidR="00956CE3">
        <w:rPr>
          <w:rFonts w:ascii="Franklin Gothic Book" w:hAnsi="Franklin Gothic Book"/>
          <w:u w:val="single"/>
        </w:rPr>
        <w:t>e:</w:t>
      </w:r>
      <w:r w:rsidRPr="002148CB">
        <w:rPr>
          <w:rFonts w:ascii="Franklin Gothic Book" w:hAnsi="Franklin Gothic Book"/>
          <w:u w:val="single"/>
        </w:rPr>
        <w:t xml:space="preserve"> Paragraph 112:</w:t>
      </w:r>
    </w:p>
    <w:p w14:paraId="6FFDCC91" w14:textId="54DE0D6A" w:rsidR="00B3467D" w:rsidRDefault="00B3467D" w:rsidP="008D47F5">
      <w:pPr>
        <w:autoSpaceDE/>
        <w:autoSpaceDN/>
        <w:rPr>
          <w:rFonts w:ascii="Franklin Gothic Book" w:hAnsi="Franklin Gothic Book"/>
        </w:rPr>
      </w:pPr>
    </w:p>
    <w:p w14:paraId="65B5769E" w14:textId="2E9BA50F" w:rsidR="002148CB" w:rsidRDefault="002148CB" w:rsidP="008D47F5">
      <w:pPr>
        <w:autoSpaceDE/>
        <w:autoSpaceDN/>
        <w:rPr>
          <w:rFonts w:ascii="Franklin Gothic Book" w:hAnsi="Franklin Gothic Book"/>
        </w:rPr>
      </w:pPr>
      <w:r>
        <w:rPr>
          <w:rFonts w:ascii="Franklin Gothic Book" w:hAnsi="Franklin Gothic Book"/>
        </w:rPr>
        <w:t xml:space="preserve">The REA is supportive of PAS1899 and has actively contributed to its development. We welcome the standard, as it provides much-needed guidance on what is </w:t>
      </w:r>
      <w:r w:rsidR="00235FEE">
        <w:rPr>
          <w:rFonts w:ascii="Franklin Gothic Book" w:hAnsi="Franklin Gothic Book"/>
        </w:rPr>
        <w:t>required</w:t>
      </w:r>
      <w:r>
        <w:rPr>
          <w:rFonts w:ascii="Franklin Gothic Book" w:hAnsi="Franklin Gothic Book"/>
        </w:rPr>
        <w:t xml:space="preserve"> to ensure that EV charging is accessible to all. However, we caution against making PAS1899 compliance a requirement for EV charging provided at service areas </w:t>
      </w:r>
      <w:r w:rsidR="00956CE3">
        <w:rPr>
          <w:rFonts w:ascii="Franklin Gothic Book" w:hAnsi="Franklin Gothic Book"/>
        </w:rPr>
        <w:t>at this stage</w:t>
      </w:r>
      <w:r>
        <w:rPr>
          <w:rFonts w:ascii="Franklin Gothic Book" w:hAnsi="Franklin Gothic Book"/>
        </w:rPr>
        <w:t xml:space="preserve">. This is because neither the EV charging industry </w:t>
      </w:r>
      <w:r w:rsidR="00956CE3">
        <w:rPr>
          <w:rFonts w:ascii="Franklin Gothic Book" w:hAnsi="Franklin Gothic Book"/>
        </w:rPr>
        <w:t>n</w:t>
      </w:r>
      <w:r>
        <w:rPr>
          <w:rFonts w:ascii="Franklin Gothic Book" w:hAnsi="Franklin Gothic Book"/>
        </w:rPr>
        <w:t>or service area operators have yet had an opportunity to assess</w:t>
      </w:r>
      <w:r w:rsidR="00956CE3">
        <w:rPr>
          <w:rFonts w:ascii="Franklin Gothic Book" w:hAnsi="Franklin Gothic Book"/>
        </w:rPr>
        <w:t>:</w:t>
      </w:r>
      <w:r>
        <w:rPr>
          <w:rFonts w:ascii="Franklin Gothic Book" w:hAnsi="Franklin Gothic Book"/>
        </w:rPr>
        <w:t xml:space="preserve"> whether compliance with PAS1899 will be realistic in the </w:t>
      </w:r>
      <w:r w:rsidR="00956CE3">
        <w:rPr>
          <w:rFonts w:ascii="Franklin Gothic Book" w:hAnsi="Franklin Gothic Book"/>
        </w:rPr>
        <w:t>immediate future;</w:t>
      </w:r>
      <w:r>
        <w:rPr>
          <w:rFonts w:ascii="Franklin Gothic Book" w:hAnsi="Franklin Gothic Book"/>
        </w:rPr>
        <w:t xml:space="preserve"> what steps will be required to achieve compliance</w:t>
      </w:r>
      <w:r w:rsidR="00956CE3">
        <w:rPr>
          <w:rFonts w:ascii="Franklin Gothic Book" w:hAnsi="Franklin Gothic Book"/>
        </w:rPr>
        <w:t>;</w:t>
      </w:r>
      <w:r>
        <w:rPr>
          <w:rFonts w:ascii="Franklin Gothic Book" w:hAnsi="Franklin Gothic Book"/>
        </w:rPr>
        <w:t xml:space="preserve"> and when achieving compliance is likely to be feasible.</w:t>
      </w:r>
    </w:p>
    <w:p w14:paraId="209C47CD" w14:textId="267B3DFE" w:rsidR="00B3467D" w:rsidRDefault="00B3467D" w:rsidP="008D47F5">
      <w:pPr>
        <w:autoSpaceDE/>
        <w:autoSpaceDN/>
        <w:rPr>
          <w:rFonts w:ascii="Franklin Gothic Book" w:hAnsi="Franklin Gothic Book"/>
        </w:rPr>
      </w:pPr>
    </w:p>
    <w:p w14:paraId="61060DCA" w14:textId="404BFA64" w:rsidR="00B3467D" w:rsidRDefault="00B3467D" w:rsidP="008D47F5">
      <w:pPr>
        <w:autoSpaceDE/>
        <w:autoSpaceDN/>
        <w:rPr>
          <w:rFonts w:ascii="Franklin Gothic Book" w:hAnsi="Franklin Gothic Book"/>
        </w:rPr>
      </w:pPr>
    </w:p>
    <w:p w14:paraId="4FD80F18" w14:textId="77777777" w:rsidR="00956CE3" w:rsidRPr="009A406E" w:rsidRDefault="00956CE3" w:rsidP="008D47F5">
      <w:pPr>
        <w:autoSpaceDE/>
        <w:autoSpaceDN/>
        <w:rPr>
          <w:rFonts w:ascii="Franklin Gothic Book" w:hAnsi="Franklin Gothic Book"/>
          <w:sz w:val="28"/>
          <w:szCs w:val="28"/>
        </w:rPr>
      </w:pPr>
      <w:r w:rsidRPr="009A406E">
        <w:rPr>
          <w:rFonts w:ascii="Franklin Gothic Book" w:hAnsi="Franklin Gothic Book"/>
          <w:b/>
          <w:bCs/>
          <w:sz w:val="28"/>
          <w:szCs w:val="28"/>
        </w:rPr>
        <w:t>Requirements for measures to be taken during the development of new service areas to allow electric vehicle charging infrastructure to be installed at a later date</w:t>
      </w:r>
      <w:r w:rsidRPr="009A406E">
        <w:rPr>
          <w:rFonts w:ascii="Franklin Gothic Book" w:hAnsi="Franklin Gothic Book"/>
          <w:sz w:val="28"/>
          <w:szCs w:val="28"/>
        </w:rPr>
        <w:t xml:space="preserve"> </w:t>
      </w:r>
    </w:p>
    <w:p w14:paraId="483C93E9" w14:textId="521AB968" w:rsidR="00956CE3" w:rsidRDefault="00956CE3" w:rsidP="008D47F5">
      <w:pPr>
        <w:autoSpaceDE/>
        <w:autoSpaceDN/>
        <w:rPr>
          <w:rFonts w:ascii="Franklin Gothic Book" w:hAnsi="Franklin Gothic Book"/>
        </w:rPr>
      </w:pPr>
    </w:p>
    <w:p w14:paraId="3DD19968" w14:textId="6647AA76" w:rsidR="00B3467D" w:rsidRPr="00956CE3" w:rsidRDefault="00956CE3" w:rsidP="008D47F5">
      <w:pPr>
        <w:autoSpaceDE/>
        <w:autoSpaceDN/>
        <w:rPr>
          <w:rFonts w:ascii="Franklin Gothic Book" w:hAnsi="Franklin Gothic Book"/>
          <w:u w:val="single"/>
        </w:rPr>
      </w:pPr>
      <w:r w:rsidRPr="00956CE3">
        <w:rPr>
          <w:rFonts w:ascii="Franklin Gothic Book" w:hAnsi="Franklin Gothic Book"/>
          <w:u w:val="single"/>
        </w:rPr>
        <w:t>Re</w:t>
      </w:r>
      <w:r>
        <w:rPr>
          <w:rFonts w:ascii="Franklin Gothic Book" w:hAnsi="Franklin Gothic Book"/>
          <w:u w:val="single"/>
        </w:rPr>
        <w:t>:</w:t>
      </w:r>
      <w:r w:rsidRPr="00956CE3">
        <w:rPr>
          <w:rFonts w:ascii="Franklin Gothic Book" w:hAnsi="Franklin Gothic Book"/>
          <w:u w:val="single"/>
        </w:rPr>
        <w:t xml:space="preserve"> Paragraph 113</w:t>
      </w:r>
    </w:p>
    <w:p w14:paraId="1B7ED92D" w14:textId="6C5E647E" w:rsidR="00B3467D" w:rsidRDefault="00B3467D" w:rsidP="008D47F5">
      <w:pPr>
        <w:autoSpaceDE/>
        <w:autoSpaceDN/>
        <w:rPr>
          <w:rFonts w:ascii="Franklin Gothic Book" w:hAnsi="Franklin Gothic Book"/>
        </w:rPr>
      </w:pPr>
    </w:p>
    <w:p w14:paraId="7C422B1C" w14:textId="5D57DA6A" w:rsidR="00B3467D" w:rsidRDefault="00956CE3" w:rsidP="008D47F5">
      <w:pPr>
        <w:autoSpaceDE/>
        <w:autoSpaceDN/>
        <w:rPr>
          <w:rFonts w:ascii="Franklin Gothic Book" w:hAnsi="Franklin Gothic Book"/>
        </w:rPr>
      </w:pPr>
      <w:r>
        <w:rPr>
          <w:rFonts w:ascii="Franklin Gothic Book" w:hAnsi="Franklin Gothic Book"/>
        </w:rPr>
        <w:t xml:space="preserve">The REA is supportive of requirements for planning applications for new roadside facilities to demonstrate how parking bays can be later retrofitted with EV charging equipment. </w:t>
      </w:r>
      <w:r w:rsidR="004E4756">
        <w:rPr>
          <w:rFonts w:ascii="Franklin Gothic Book" w:hAnsi="Franklin Gothic Book"/>
        </w:rPr>
        <w:t xml:space="preserve">Taking correct steps at the construction phase can make the installation of EV charging equipment significantly faster and cheaper. </w:t>
      </w:r>
      <w:r>
        <w:rPr>
          <w:rFonts w:ascii="Franklin Gothic Book" w:hAnsi="Franklin Gothic Book"/>
        </w:rPr>
        <w:t xml:space="preserve">We would suggest that guidance is made available to inform </w:t>
      </w:r>
      <w:r w:rsidR="004E4756">
        <w:rPr>
          <w:rFonts w:ascii="Franklin Gothic Book" w:hAnsi="Franklin Gothic Book"/>
        </w:rPr>
        <w:t>both developers and application assessors on this topic, as it may not be immediately apparent to either party as to how effective certain futureproofing measures are, potentially meaning new service areas are constructed that are later found to not simplify the process of installing EV charging equipment. Where appropriate, we would also suggest co-ordinating futureproofing requirements with those set out in Building Regulations. For example, this could mirror a requirement for a certain number of bays to have EV charging equipment installed and a certain number of additional bays needing to be readied for installation in the future.</w:t>
      </w:r>
    </w:p>
    <w:p w14:paraId="795445D4" w14:textId="3107DFBC" w:rsidR="00B3467D" w:rsidRDefault="00B3467D" w:rsidP="008D47F5">
      <w:pPr>
        <w:autoSpaceDE/>
        <w:autoSpaceDN/>
        <w:rPr>
          <w:rFonts w:ascii="Franklin Gothic Book" w:hAnsi="Franklin Gothic Book"/>
        </w:rPr>
      </w:pPr>
    </w:p>
    <w:p w14:paraId="161F03BE" w14:textId="3EDF5EB3" w:rsidR="00B3467D" w:rsidRDefault="00B3467D" w:rsidP="008D47F5">
      <w:pPr>
        <w:autoSpaceDE/>
        <w:autoSpaceDN/>
        <w:rPr>
          <w:rFonts w:ascii="Franklin Gothic Book" w:hAnsi="Franklin Gothic Book"/>
        </w:rPr>
      </w:pPr>
    </w:p>
    <w:p w14:paraId="54165324" w14:textId="77777777" w:rsidR="009A406E" w:rsidRPr="009A406E" w:rsidRDefault="009A406E" w:rsidP="008D47F5">
      <w:pPr>
        <w:autoSpaceDE/>
        <w:autoSpaceDN/>
        <w:rPr>
          <w:rFonts w:ascii="Franklin Gothic Book" w:hAnsi="Franklin Gothic Book"/>
          <w:sz w:val="28"/>
          <w:szCs w:val="28"/>
        </w:rPr>
      </w:pPr>
      <w:r w:rsidRPr="009A406E">
        <w:rPr>
          <w:rFonts w:ascii="Franklin Gothic Book" w:hAnsi="Franklin Gothic Book"/>
          <w:b/>
          <w:bCs/>
          <w:sz w:val="28"/>
          <w:szCs w:val="28"/>
        </w:rPr>
        <w:t>Requirements for high-power charging to be included in new developments without private off-street parking</w:t>
      </w:r>
      <w:r w:rsidRPr="009A406E">
        <w:rPr>
          <w:rFonts w:ascii="Franklin Gothic Book" w:hAnsi="Franklin Gothic Book"/>
          <w:sz w:val="28"/>
          <w:szCs w:val="28"/>
        </w:rPr>
        <w:t xml:space="preserve"> </w:t>
      </w:r>
    </w:p>
    <w:p w14:paraId="140397D9" w14:textId="77777777" w:rsidR="009A406E" w:rsidRDefault="009A406E" w:rsidP="008D47F5">
      <w:pPr>
        <w:autoSpaceDE/>
        <w:autoSpaceDN/>
        <w:rPr>
          <w:rFonts w:ascii="Franklin Gothic Book" w:hAnsi="Franklin Gothic Book"/>
        </w:rPr>
      </w:pPr>
    </w:p>
    <w:p w14:paraId="1A40C83B" w14:textId="7458F81F" w:rsidR="00B3467D" w:rsidRPr="009A406E" w:rsidRDefault="009A406E" w:rsidP="008D47F5">
      <w:pPr>
        <w:autoSpaceDE/>
        <w:autoSpaceDN/>
        <w:rPr>
          <w:rFonts w:ascii="Franklin Gothic Book" w:hAnsi="Franklin Gothic Book"/>
          <w:u w:val="single"/>
        </w:rPr>
      </w:pPr>
      <w:r w:rsidRPr="009A406E">
        <w:rPr>
          <w:rFonts w:ascii="Franklin Gothic Book" w:hAnsi="Franklin Gothic Book"/>
          <w:u w:val="single"/>
        </w:rPr>
        <w:t>Re: Paragraph 44</w:t>
      </w:r>
    </w:p>
    <w:p w14:paraId="1433C230" w14:textId="20AD67E8" w:rsidR="009A406E" w:rsidRDefault="009A406E" w:rsidP="008D47F5">
      <w:pPr>
        <w:autoSpaceDE/>
        <w:autoSpaceDN/>
        <w:rPr>
          <w:rFonts w:ascii="Franklin Gothic Book" w:hAnsi="Franklin Gothic Book"/>
        </w:rPr>
      </w:pPr>
    </w:p>
    <w:p w14:paraId="6854BF0B" w14:textId="12091AFB" w:rsidR="006A71B8" w:rsidRPr="00235FEE" w:rsidRDefault="009A406E" w:rsidP="00235FEE">
      <w:pPr>
        <w:autoSpaceDE/>
        <w:autoSpaceDN/>
        <w:rPr>
          <w:rFonts w:ascii="Franklin Gothic Book" w:hAnsi="Franklin Gothic Book"/>
        </w:rPr>
      </w:pPr>
      <w:r>
        <w:rPr>
          <w:rFonts w:ascii="Franklin Gothic Book" w:hAnsi="Franklin Gothic Book"/>
        </w:rPr>
        <w:t xml:space="preserve">The REA supports requiring new developments with on-street or communal parking to be required to include EV charging equipment within their </w:t>
      </w:r>
      <w:r w:rsidR="00235FEE">
        <w:rPr>
          <w:rFonts w:ascii="Franklin Gothic Book" w:hAnsi="Franklin Gothic Book"/>
        </w:rPr>
        <w:t>plans</w:t>
      </w:r>
      <w:r>
        <w:rPr>
          <w:rFonts w:ascii="Franklin Gothic Book" w:hAnsi="Franklin Gothic Book"/>
        </w:rPr>
        <w:t>. However, we do not believe the requirements should be specifically for high-power charging, or any other specific type of equipment. Many solutions are available that provide a convenient and effective charging solutions in a residential environment and, in many cases, high-power charging may not be the ideal solution. For example, providing a greater quantity of lower-powered chargepoints could reduce costs for both the developer and the resident by enabling smart functionality to access off-peak electricity.</w:t>
      </w:r>
      <w:r w:rsidR="00235FEE">
        <w:rPr>
          <w:rFonts w:ascii="Franklin Gothic Book" w:hAnsi="Franklin Gothic Book"/>
        </w:rPr>
        <w:t xml:space="preserve"> It should be for the developer to decide which solution is most suitable for their development.</w:t>
      </w:r>
    </w:p>
    <w:sectPr w:rsidR="006A71B8" w:rsidRPr="00235FEE" w:rsidSect="006C2EB4">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30CBE" w14:textId="77777777" w:rsidR="00CA366F" w:rsidRDefault="00CA366F" w:rsidP="00E7555C">
      <w:r>
        <w:separator/>
      </w:r>
    </w:p>
  </w:endnote>
  <w:endnote w:type="continuationSeparator" w:id="0">
    <w:p w14:paraId="3FDD76D4" w14:textId="77777777" w:rsidR="00CA366F" w:rsidRDefault="00CA366F" w:rsidP="00E7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50512" w14:textId="77777777" w:rsidR="00040EAB" w:rsidRDefault="00040E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63791" w14:textId="77777777" w:rsidR="00040EAB" w:rsidRDefault="00040E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BEA07" w14:textId="77777777" w:rsidR="00040EAB" w:rsidRDefault="00040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3DF0F" w14:textId="77777777" w:rsidR="00CA366F" w:rsidRDefault="00CA366F" w:rsidP="00E7555C">
      <w:r>
        <w:separator/>
      </w:r>
    </w:p>
  </w:footnote>
  <w:footnote w:type="continuationSeparator" w:id="0">
    <w:p w14:paraId="101D658F" w14:textId="77777777" w:rsidR="00CA366F" w:rsidRDefault="00CA366F" w:rsidP="00E7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4ADEB" w14:textId="77777777" w:rsidR="00040EAB" w:rsidRDefault="00040E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59004" w14:textId="77777777" w:rsidR="00040EAB" w:rsidRDefault="00040E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637AD" w14:textId="77777777" w:rsidR="00040EAB" w:rsidRDefault="00040E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00B0"/>
    <w:multiLevelType w:val="hybridMultilevel"/>
    <w:tmpl w:val="FFFFFFFF"/>
    <w:lvl w:ilvl="0" w:tplc="200490B2">
      <w:numFmt w:val="bullet"/>
      <w:lvlText w:val=""/>
      <w:lvlJc w:val="left"/>
      <w:pPr>
        <w:ind w:left="1380" w:hanging="360"/>
      </w:pPr>
      <w:rPr>
        <w:rFonts w:ascii="Symbol" w:eastAsia="Times New Roman" w:hAnsi="Symbol" w:hint="default"/>
        <w:w w:val="100"/>
        <w:sz w:val="24"/>
      </w:rPr>
    </w:lvl>
    <w:lvl w:ilvl="1" w:tplc="63F4E5C2">
      <w:numFmt w:val="bullet"/>
      <w:lvlText w:val="•"/>
      <w:lvlJc w:val="left"/>
      <w:pPr>
        <w:ind w:left="2184" w:hanging="360"/>
      </w:pPr>
      <w:rPr>
        <w:rFonts w:hint="default"/>
      </w:rPr>
    </w:lvl>
    <w:lvl w:ilvl="2" w:tplc="E5A694CA">
      <w:numFmt w:val="bullet"/>
      <w:lvlText w:val="•"/>
      <w:lvlJc w:val="left"/>
      <w:pPr>
        <w:ind w:left="2989" w:hanging="360"/>
      </w:pPr>
      <w:rPr>
        <w:rFonts w:hint="default"/>
      </w:rPr>
    </w:lvl>
    <w:lvl w:ilvl="3" w:tplc="73969AB0">
      <w:numFmt w:val="bullet"/>
      <w:lvlText w:val="•"/>
      <w:lvlJc w:val="left"/>
      <w:pPr>
        <w:ind w:left="3793" w:hanging="360"/>
      </w:pPr>
      <w:rPr>
        <w:rFonts w:hint="default"/>
      </w:rPr>
    </w:lvl>
    <w:lvl w:ilvl="4" w:tplc="BAB67BB0">
      <w:numFmt w:val="bullet"/>
      <w:lvlText w:val="•"/>
      <w:lvlJc w:val="left"/>
      <w:pPr>
        <w:ind w:left="4598" w:hanging="360"/>
      </w:pPr>
      <w:rPr>
        <w:rFonts w:hint="default"/>
      </w:rPr>
    </w:lvl>
    <w:lvl w:ilvl="5" w:tplc="72A80BAE">
      <w:numFmt w:val="bullet"/>
      <w:lvlText w:val="•"/>
      <w:lvlJc w:val="left"/>
      <w:pPr>
        <w:ind w:left="5403" w:hanging="360"/>
      </w:pPr>
      <w:rPr>
        <w:rFonts w:hint="default"/>
      </w:rPr>
    </w:lvl>
    <w:lvl w:ilvl="6" w:tplc="51743BFE">
      <w:numFmt w:val="bullet"/>
      <w:lvlText w:val="•"/>
      <w:lvlJc w:val="left"/>
      <w:pPr>
        <w:ind w:left="6207" w:hanging="360"/>
      </w:pPr>
      <w:rPr>
        <w:rFonts w:hint="default"/>
      </w:rPr>
    </w:lvl>
    <w:lvl w:ilvl="7" w:tplc="EC5AB9A8">
      <w:numFmt w:val="bullet"/>
      <w:lvlText w:val="•"/>
      <w:lvlJc w:val="left"/>
      <w:pPr>
        <w:ind w:left="7012" w:hanging="360"/>
      </w:pPr>
      <w:rPr>
        <w:rFonts w:hint="default"/>
      </w:rPr>
    </w:lvl>
    <w:lvl w:ilvl="8" w:tplc="12DCDDA6">
      <w:numFmt w:val="bullet"/>
      <w:lvlText w:val="•"/>
      <w:lvlJc w:val="left"/>
      <w:pPr>
        <w:ind w:left="7817" w:hanging="360"/>
      </w:pPr>
      <w:rPr>
        <w:rFonts w:hint="default"/>
      </w:rPr>
    </w:lvl>
  </w:abstractNum>
  <w:abstractNum w:abstractNumId="1" w15:restartNumberingAfterBreak="0">
    <w:nsid w:val="0692344B"/>
    <w:multiLevelType w:val="hybridMultilevel"/>
    <w:tmpl w:val="FFFFFFFF"/>
    <w:lvl w:ilvl="0" w:tplc="ECC85EAA">
      <w:numFmt w:val="bullet"/>
      <w:lvlText w:val=""/>
      <w:lvlJc w:val="left"/>
      <w:pPr>
        <w:ind w:left="1094" w:hanging="361"/>
      </w:pPr>
      <w:rPr>
        <w:rFonts w:ascii="Symbol" w:eastAsia="Times New Roman" w:hAnsi="Symbol" w:hint="default"/>
        <w:w w:val="100"/>
        <w:sz w:val="28"/>
      </w:rPr>
    </w:lvl>
    <w:lvl w:ilvl="1" w:tplc="F2A2F4D0">
      <w:numFmt w:val="bullet"/>
      <w:lvlText w:val="•"/>
      <w:lvlJc w:val="left"/>
      <w:pPr>
        <w:ind w:left="1932" w:hanging="361"/>
      </w:pPr>
      <w:rPr>
        <w:rFonts w:hint="default"/>
      </w:rPr>
    </w:lvl>
    <w:lvl w:ilvl="2" w:tplc="921EF51A">
      <w:numFmt w:val="bullet"/>
      <w:lvlText w:val="•"/>
      <w:lvlJc w:val="left"/>
      <w:pPr>
        <w:ind w:left="2765" w:hanging="361"/>
      </w:pPr>
      <w:rPr>
        <w:rFonts w:hint="default"/>
      </w:rPr>
    </w:lvl>
    <w:lvl w:ilvl="3" w:tplc="8BF4994A">
      <w:numFmt w:val="bullet"/>
      <w:lvlText w:val="•"/>
      <w:lvlJc w:val="left"/>
      <w:pPr>
        <w:ind w:left="3597" w:hanging="361"/>
      </w:pPr>
      <w:rPr>
        <w:rFonts w:hint="default"/>
      </w:rPr>
    </w:lvl>
    <w:lvl w:ilvl="4" w:tplc="3B6AC586">
      <w:numFmt w:val="bullet"/>
      <w:lvlText w:val="•"/>
      <w:lvlJc w:val="left"/>
      <w:pPr>
        <w:ind w:left="4430" w:hanging="361"/>
      </w:pPr>
      <w:rPr>
        <w:rFonts w:hint="default"/>
      </w:rPr>
    </w:lvl>
    <w:lvl w:ilvl="5" w:tplc="456467CE">
      <w:numFmt w:val="bullet"/>
      <w:lvlText w:val="•"/>
      <w:lvlJc w:val="left"/>
      <w:pPr>
        <w:ind w:left="5263" w:hanging="361"/>
      </w:pPr>
      <w:rPr>
        <w:rFonts w:hint="default"/>
      </w:rPr>
    </w:lvl>
    <w:lvl w:ilvl="6" w:tplc="D94CB154">
      <w:numFmt w:val="bullet"/>
      <w:lvlText w:val="•"/>
      <w:lvlJc w:val="left"/>
      <w:pPr>
        <w:ind w:left="6095" w:hanging="361"/>
      </w:pPr>
      <w:rPr>
        <w:rFonts w:hint="default"/>
      </w:rPr>
    </w:lvl>
    <w:lvl w:ilvl="7" w:tplc="7DB635B8">
      <w:numFmt w:val="bullet"/>
      <w:lvlText w:val="•"/>
      <w:lvlJc w:val="left"/>
      <w:pPr>
        <w:ind w:left="6928" w:hanging="361"/>
      </w:pPr>
      <w:rPr>
        <w:rFonts w:hint="default"/>
      </w:rPr>
    </w:lvl>
    <w:lvl w:ilvl="8" w:tplc="5E5413E6">
      <w:numFmt w:val="bullet"/>
      <w:lvlText w:val="•"/>
      <w:lvlJc w:val="left"/>
      <w:pPr>
        <w:ind w:left="7761" w:hanging="361"/>
      </w:pPr>
      <w:rPr>
        <w:rFonts w:hint="default"/>
      </w:rPr>
    </w:lvl>
  </w:abstractNum>
  <w:abstractNum w:abstractNumId="2" w15:restartNumberingAfterBreak="0">
    <w:nsid w:val="09F65A8B"/>
    <w:multiLevelType w:val="hybridMultilevel"/>
    <w:tmpl w:val="F3B874FA"/>
    <w:lvl w:ilvl="0" w:tplc="9FA4D87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203C91"/>
    <w:multiLevelType w:val="hybridMultilevel"/>
    <w:tmpl w:val="FFFFFFFF"/>
    <w:lvl w:ilvl="0" w:tplc="652E2376">
      <w:start w:val="1"/>
      <w:numFmt w:val="decimal"/>
      <w:lvlText w:val="%1."/>
      <w:lvlJc w:val="left"/>
      <w:pPr>
        <w:ind w:left="614" w:hanging="315"/>
      </w:pPr>
      <w:rPr>
        <w:rFonts w:ascii="Arial" w:eastAsia="Times New Roman" w:hAnsi="Arial" w:cs="Arial" w:hint="default"/>
        <w:b/>
        <w:bCs/>
        <w:color w:val="464646"/>
        <w:spacing w:val="-1"/>
        <w:w w:val="100"/>
        <w:sz w:val="28"/>
        <w:szCs w:val="28"/>
      </w:rPr>
    </w:lvl>
    <w:lvl w:ilvl="1" w:tplc="70C81278">
      <w:start w:val="1"/>
      <w:numFmt w:val="decimal"/>
      <w:suff w:val="space"/>
      <w:lvlText w:val="%2."/>
      <w:lvlJc w:val="left"/>
      <w:pPr>
        <w:ind w:left="1019" w:hanging="360"/>
      </w:pPr>
      <w:rPr>
        <w:rFonts w:ascii="Arial" w:eastAsia="Times New Roman" w:hAnsi="Arial" w:cs="Arial" w:hint="default"/>
        <w:b/>
        <w:bCs/>
        <w:spacing w:val="-1"/>
        <w:w w:val="100"/>
        <w:sz w:val="28"/>
        <w:szCs w:val="28"/>
      </w:rPr>
    </w:lvl>
    <w:lvl w:ilvl="2" w:tplc="6A0E0462">
      <w:numFmt w:val="bullet"/>
      <w:lvlText w:val="•"/>
      <w:lvlJc w:val="left"/>
      <w:pPr>
        <w:ind w:left="1954" w:hanging="360"/>
      </w:pPr>
      <w:rPr>
        <w:rFonts w:hint="default"/>
      </w:rPr>
    </w:lvl>
    <w:lvl w:ilvl="3" w:tplc="9732DE72">
      <w:numFmt w:val="bullet"/>
      <w:lvlText w:val="•"/>
      <w:lvlJc w:val="left"/>
      <w:pPr>
        <w:ind w:left="2888" w:hanging="360"/>
      </w:pPr>
      <w:rPr>
        <w:rFonts w:hint="default"/>
      </w:rPr>
    </w:lvl>
    <w:lvl w:ilvl="4" w:tplc="5CB89ADC">
      <w:numFmt w:val="bullet"/>
      <w:lvlText w:val="•"/>
      <w:lvlJc w:val="left"/>
      <w:pPr>
        <w:ind w:left="3822" w:hanging="360"/>
      </w:pPr>
      <w:rPr>
        <w:rFonts w:hint="default"/>
      </w:rPr>
    </w:lvl>
    <w:lvl w:ilvl="5" w:tplc="903CE23A">
      <w:numFmt w:val="bullet"/>
      <w:lvlText w:val="•"/>
      <w:lvlJc w:val="left"/>
      <w:pPr>
        <w:ind w:left="4756" w:hanging="360"/>
      </w:pPr>
      <w:rPr>
        <w:rFonts w:hint="default"/>
      </w:rPr>
    </w:lvl>
    <w:lvl w:ilvl="6" w:tplc="6C323FE2">
      <w:numFmt w:val="bullet"/>
      <w:lvlText w:val="•"/>
      <w:lvlJc w:val="left"/>
      <w:pPr>
        <w:ind w:left="5690" w:hanging="360"/>
      </w:pPr>
      <w:rPr>
        <w:rFonts w:hint="default"/>
      </w:rPr>
    </w:lvl>
    <w:lvl w:ilvl="7" w:tplc="2070F0A2">
      <w:numFmt w:val="bullet"/>
      <w:lvlText w:val="•"/>
      <w:lvlJc w:val="left"/>
      <w:pPr>
        <w:ind w:left="6624" w:hanging="360"/>
      </w:pPr>
      <w:rPr>
        <w:rFonts w:hint="default"/>
      </w:rPr>
    </w:lvl>
    <w:lvl w:ilvl="8" w:tplc="2730E5DC">
      <w:numFmt w:val="bullet"/>
      <w:lvlText w:val="•"/>
      <w:lvlJc w:val="left"/>
      <w:pPr>
        <w:ind w:left="7558" w:hanging="360"/>
      </w:pPr>
      <w:rPr>
        <w:rFonts w:hint="default"/>
      </w:rPr>
    </w:lvl>
  </w:abstractNum>
  <w:abstractNum w:abstractNumId="4" w15:restartNumberingAfterBreak="0">
    <w:nsid w:val="5D2F21AD"/>
    <w:multiLevelType w:val="hybridMultilevel"/>
    <w:tmpl w:val="FFFFFFFF"/>
    <w:lvl w:ilvl="0" w:tplc="9DC6631E">
      <w:numFmt w:val="bullet"/>
      <w:lvlText w:val=""/>
      <w:lvlJc w:val="left"/>
      <w:pPr>
        <w:ind w:left="1020" w:hanging="361"/>
      </w:pPr>
      <w:rPr>
        <w:rFonts w:ascii="Symbol" w:eastAsia="Times New Roman" w:hAnsi="Symbol" w:hint="default"/>
        <w:w w:val="100"/>
        <w:sz w:val="28"/>
      </w:rPr>
    </w:lvl>
    <w:lvl w:ilvl="1" w:tplc="0C8826B4">
      <w:numFmt w:val="bullet"/>
      <w:lvlText w:val="•"/>
      <w:lvlJc w:val="left"/>
      <w:pPr>
        <w:ind w:left="1860" w:hanging="361"/>
      </w:pPr>
      <w:rPr>
        <w:rFonts w:hint="default"/>
      </w:rPr>
    </w:lvl>
    <w:lvl w:ilvl="2" w:tplc="0BEC99CE">
      <w:numFmt w:val="bullet"/>
      <w:lvlText w:val="•"/>
      <w:lvlJc w:val="left"/>
      <w:pPr>
        <w:ind w:left="2701" w:hanging="361"/>
      </w:pPr>
      <w:rPr>
        <w:rFonts w:hint="default"/>
      </w:rPr>
    </w:lvl>
    <w:lvl w:ilvl="3" w:tplc="16B20D24">
      <w:numFmt w:val="bullet"/>
      <w:lvlText w:val="•"/>
      <w:lvlJc w:val="left"/>
      <w:pPr>
        <w:ind w:left="3541" w:hanging="361"/>
      </w:pPr>
      <w:rPr>
        <w:rFonts w:hint="default"/>
      </w:rPr>
    </w:lvl>
    <w:lvl w:ilvl="4" w:tplc="86B8A2DC">
      <w:numFmt w:val="bullet"/>
      <w:lvlText w:val="•"/>
      <w:lvlJc w:val="left"/>
      <w:pPr>
        <w:ind w:left="4382" w:hanging="361"/>
      </w:pPr>
      <w:rPr>
        <w:rFonts w:hint="default"/>
      </w:rPr>
    </w:lvl>
    <w:lvl w:ilvl="5" w:tplc="7DE061BA">
      <w:numFmt w:val="bullet"/>
      <w:lvlText w:val="•"/>
      <w:lvlJc w:val="left"/>
      <w:pPr>
        <w:ind w:left="5223" w:hanging="361"/>
      </w:pPr>
      <w:rPr>
        <w:rFonts w:hint="default"/>
      </w:rPr>
    </w:lvl>
    <w:lvl w:ilvl="6" w:tplc="9EA83A98">
      <w:numFmt w:val="bullet"/>
      <w:lvlText w:val="•"/>
      <w:lvlJc w:val="left"/>
      <w:pPr>
        <w:ind w:left="6063" w:hanging="361"/>
      </w:pPr>
      <w:rPr>
        <w:rFonts w:hint="default"/>
      </w:rPr>
    </w:lvl>
    <w:lvl w:ilvl="7" w:tplc="54C0A024">
      <w:numFmt w:val="bullet"/>
      <w:lvlText w:val="•"/>
      <w:lvlJc w:val="left"/>
      <w:pPr>
        <w:ind w:left="6904" w:hanging="361"/>
      </w:pPr>
      <w:rPr>
        <w:rFonts w:hint="default"/>
      </w:rPr>
    </w:lvl>
    <w:lvl w:ilvl="8" w:tplc="353CC7A2">
      <w:numFmt w:val="bullet"/>
      <w:lvlText w:val="•"/>
      <w:lvlJc w:val="left"/>
      <w:pPr>
        <w:ind w:left="7745" w:hanging="361"/>
      </w:pPr>
      <w:rPr>
        <w:rFonts w:hint="default"/>
      </w:rPr>
    </w:lvl>
  </w:abstractNum>
  <w:abstractNum w:abstractNumId="5" w15:restartNumberingAfterBreak="0">
    <w:nsid w:val="7A3D39A8"/>
    <w:multiLevelType w:val="hybridMultilevel"/>
    <w:tmpl w:val="FFFFFFFF"/>
    <w:lvl w:ilvl="0" w:tplc="3DC055F0">
      <w:start w:val="1"/>
      <w:numFmt w:val="decimal"/>
      <w:lvlText w:val="%1."/>
      <w:lvlJc w:val="left"/>
      <w:pPr>
        <w:ind w:left="659" w:hanging="360"/>
      </w:pPr>
      <w:rPr>
        <w:rFonts w:cs="Times New Roman" w:hint="default"/>
      </w:rPr>
    </w:lvl>
    <w:lvl w:ilvl="1" w:tplc="08090019" w:tentative="1">
      <w:start w:val="1"/>
      <w:numFmt w:val="lowerLetter"/>
      <w:lvlText w:val="%2."/>
      <w:lvlJc w:val="left"/>
      <w:pPr>
        <w:ind w:left="1379" w:hanging="360"/>
      </w:pPr>
      <w:rPr>
        <w:rFonts w:cs="Times New Roman"/>
      </w:rPr>
    </w:lvl>
    <w:lvl w:ilvl="2" w:tplc="0809001B" w:tentative="1">
      <w:start w:val="1"/>
      <w:numFmt w:val="lowerRoman"/>
      <w:lvlText w:val="%3."/>
      <w:lvlJc w:val="right"/>
      <w:pPr>
        <w:ind w:left="2099" w:hanging="180"/>
      </w:pPr>
      <w:rPr>
        <w:rFonts w:cs="Times New Roman"/>
      </w:rPr>
    </w:lvl>
    <w:lvl w:ilvl="3" w:tplc="0809000F" w:tentative="1">
      <w:start w:val="1"/>
      <w:numFmt w:val="decimal"/>
      <w:lvlText w:val="%4."/>
      <w:lvlJc w:val="left"/>
      <w:pPr>
        <w:ind w:left="2819" w:hanging="360"/>
      </w:pPr>
      <w:rPr>
        <w:rFonts w:cs="Times New Roman"/>
      </w:rPr>
    </w:lvl>
    <w:lvl w:ilvl="4" w:tplc="08090019" w:tentative="1">
      <w:start w:val="1"/>
      <w:numFmt w:val="lowerLetter"/>
      <w:lvlText w:val="%5."/>
      <w:lvlJc w:val="left"/>
      <w:pPr>
        <w:ind w:left="3539" w:hanging="360"/>
      </w:pPr>
      <w:rPr>
        <w:rFonts w:cs="Times New Roman"/>
      </w:rPr>
    </w:lvl>
    <w:lvl w:ilvl="5" w:tplc="0809001B" w:tentative="1">
      <w:start w:val="1"/>
      <w:numFmt w:val="lowerRoman"/>
      <w:lvlText w:val="%6."/>
      <w:lvlJc w:val="right"/>
      <w:pPr>
        <w:ind w:left="4259" w:hanging="180"/>
      </w:pPr>
      <w:rPr>
        <w:rFonts w:cs="Times New Roman"/>
      </w:rPr>
    </w:lvl>
    <w:lvl w:ilvl="6" w:tplc="0809000F" w:tentative="1">
      <w:start w:val="1"/>
      <w:numFmt w:val="decimal"/>
      <w:lvlText w:val="%7."/>
      <w:lvlJc w:val="left"/>
      <w:pPr>
        <w:ind w:left="4979" w:hanging="360"/>
      </w:pPr>
      <w:rPr>
        <w:rFonts w:cs="Times New Roman"/>
      </w:rPr>
    </w:lvl>
    <w:lvl w:ilvl="7" w:tplc="08090019" w:tentative="1">
      <w:start w:val="1"/>
      <w:numFmt w:val="lowerLetter"/>
      <w:lvlText w:val="%8."/>
      <w:lvlJc w:val="left"/>
      <w:pPr>
        <w:ind w:left="5699" w:hanging="360"/>
      </w:pPr>
      <w:rPr>
        <w:rFonts w:cs="Times New Roman"/>
      </w:rPr>
    </w:lvl>
    <w:lvl w:ilvl="8" w:tplc="0809001B" w:tentative="1">
      <w:start w:val="1"/>
      <w:numFmt w:val="lowerRoman"/>
      <w:lvlText w:val="%9."/>
      <w:lvlJc w:val="right"/>
      <w:pPr>
        <w:ind w:left="6419" w:hanging="180"/>
      </w:pPr>
      <w:rPr>
        <w:rFonts w:cs="Times New Roman"/>
      </w:rPr>
    </w:lvl>
  </w:abstractNum>
  <w:num w:numId="1" w16cid:durableId="54670243">
    <w:abstractNumId w:val="0"/>
  </w:num>
  <w:num w:numId="2" w16cid:durableId="782454239">
    <w:abstractNumId w:val="3"/>
  </w:num>
  <w:num w:numId="3" w16cid:durableId="889875776">
    <w:abstractNumId w:val="4"/>
  </w:num>
  <w:num w:numId="4" w16cid:durableId="254434927">
    <w:abstractNumId w:val="1"/>
  </w:num>
  <w:num w:numId="5" w16cid:durableId="270020037">
    <w:abstractNumId w:val="5"/>
  </w:num>
  <w:num w:numId="6" w16cid:durableId="476655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0"/>
  </w:compat>
  <w:rsids>
    <w:rsidRoot w:val="006A71B8"/>
    <w:rsid w:val="00006FDA"/>
    <w:rsid w:val="00031730"/>
    <w:rsid w:val="00031C9B"/>
    <w:rsid w:val="00040EAB"/>
    <w:rsid w:val="000840EA"/>
    <w:rsid w:val="000930FA"/>
    <w:rsid w:val="000C56E0"/>
    <w:rsid w:val="000D1321"/>
    <w:rsid w:val="000D78BE"/>
    <w:rsid w:val="000E7719"/>
    <w:rsid w:val="00125AA6"/>
    <w:rsid w:val="0013584F"/>
    <w:rsid w:val="00180CD4"/>
    <w:rsid w:val="00181FD7"/>
    <w:rsid w:val="001A4B32"/>
    <w:rsid w:val="001A7856"/>
    <w:rsid w:val="002012CB"/>
    <w:rsid w:val="002148CB"/>
    <w:rsid w:val="00235FEE"/>
    <w:rsid w:val="00252355"/>
    <w:rsid w:val="00270E4B"/>
    <w:rsid w:val="00286336"/>
    <w:rsid w:val="002E580E"/>
    <w:rsid w:val="00305292"/>
    <w:rsid w:val="003A123B"/>
    <w:rsid w:val="003C79A8"/>
    <w:rsid w:val="00411943"/>
    <w:rsid w:val="004201B5"/>
    <w:rsid w:val="004432C3"/>
    <w:rsid w:val="00451D64"/>
    <w:rsid w:val="00482B29"/>
    <w:rsid w:val="004831DD"/>
    <w:rsid w:val="004E4756"/>
    <w:rsid w:val="0055244F"/>
    <w:rsid w:val="005832B9"/>
    <w:rsid w:val="00595AAE"/>
    <w:rsid w:val="005A711B"/>
    <w:rsid w:val="005B1976"/>
    <w:rsid w:val="005E69E1"/>
    <w:rsid w:val="00644E2C"/>
    <w:rsid w:val="00651C37"/>
    <w:rsid w:val="006A71B8"/>
    <w:rsid w:val="006C2EB4"/>
    <w:rsid w:val="006D222E"/>
    <w:rsid w:val="00711A02"/>
    <w:rsid w:val="00717C83"/>
    <w:rsid w:val="00721071"/>
    <w:rsid w:val="007315C4"/>
    <w:rsid w:val="00750F5D"/>
    <w:rsid w:val="007A011A"/>
    <w:rsid w:val="00811CF2"/>
    <w:rsid w:val="0086124B"/>
    <w:rsid w:val="008D1FA2"/>
    <w:rsid w:val="008D47F5"/>
    <w:rsid w:val="008F274E"/>
    <w:rsid w:val="00914664"/>
    <w:rsid w:val="009458E8"/>
    <w:rsid w:val="00952B4A"/>
    <w:rsid w:val="00956CE3"/>
    <w:rsid w:val="00960D0C"/>
    <w:rsid w:val="0098076F"/>
    <w:rsid w:val="009A0CD8"/>
    <w:rsid w:val="009A406E"/>
    <w:rsid w:val="009D5C0A"/>
    <w:rsid w:val="00A5429C"/>
    <w:rsid w:val="00A61EDC"/>
    <w:rsid w:val="00A80660"/>
    <w:rsid w:val="00AA745D"/>
    <w:rsid w:val="00AE74F9"/>
    <w:rsid w:val="00AF519A"/>
    <w:rsid w:val="00B33EEE"/>
    <w:rsid w:val="00B3467D"/>
    <w:rsid w:val="00B53F94"/>
    <w:rsid w:val="00B56F31"/>
    <w:rsid w:val="00B70124"/>
    <w:rsid w:val="00BA6765"/>
    <w:rsid w:val="00BD5163"/>
    <w:rsid w:val="00BE33B8"/>
    <w:rsid w:val="00C4390E"/>
    <w:rsid w:val="00C508D1"/>
    <w:rsid w:val="00C631C2"/>
    <w:rsid w:val="00CA366F"/>
    <w:rsid w:val="00CB3CF8"/>
    <w:rsid w:val="00D00E76"/>
    <w:rsid w:val="00D03C46"/>
    <w:rsid w:val="00D500B9"/>
    <w:rsid w:val="00D64BC7"/>
    <w:rsid w:val="00D934D6"/>
    <w:rsid w:val="00DC6BB5"/>
    <w:rsid w:val="00DD0CC6"/>
    <w:rsid w:val="00DD1C32"/>
    <w:rsid w:val="00DE2050"/>
    <w:rsid w:val="00E62E44"/>
    <w:rsid w:val="00E7555C"/>
    <w:rsid w:val="00E76E32"/>
    <w:rsid w:val="00E811B4"/>
    <w:rsid w:val="00E94604"/>
    <w:rsid w:val="00EF7DB8"/>
    <w:rsid w:val="00F03146"/>
    <w:rsid w:val="00F565F3"/>
    <w:rsid w:val="00F70859"/>
    <w:rsid w:val="00F80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7FCFFC"/>
  <w14:defaultImageDpi w14:val="0"/>
  <w15:docId w15:val="{8DB60FC4-1A3C-4FDC-A519-A521DB042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Arial" w:hAnsi="Arial" w:cs="Arial"/>
      <w:lang w:val="en-GB" w:eastAsia="en-GB"/>
    </w:rPr>
  </w:style>
  <w:style w:type="paragraph" w:styleId="Heading1">
    <w:name w:val="heading 1"/>
    <w:basedOn w:val="Normal"/>
    <w:link w:val="Heading1Char"/>
    <w:uiPriority w:val="9"/>
    <w:qFormat/>
    <w:pPr>
      <w:ind w:left="300"/>
      <w:outlineLvl w:val="0"/>
    </w:pPr>
    <w:rPr>
      <w:b/>
      <w:bCs/>
      <w:sz w:val="40"/>
      <w:szCs w:val="40"/>
    </w:rPr>
  </w:style>
  <w:style w:type="paragraph" w:styleId="Heading2">
    <w:name w:val="heading 2"/>
    <w:basedOn w:val="Normal"/>
    <w:link w:val="Heading2Char"/>
    <w:uiPriority w:val="9"/>
    <w:unhideWhenUsed/>
    <w:qFormat/>
    <w:pPr>
      <w:spacing w:before="48"/>
      <w:ind w:left="300"/>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GB" w:eastAsia="en-GB"/>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en-GB" w:eastAsia="en-GB"/>
    </w:rPr>
  </w:style>
  <w:style w:type="paragraph" w:styleId="BodyText">
    <w:name w:val="Body Text"/>
    <w:basedOn w:val="Normal"/>
    <w:link w:val="BodyTextChar"/>
    <w:uiPriority w:val="1"/>
    <w:qFormat/>
    <w:rPr>
      <w:b/>
      <w:bCs/>
      <w:sz w:val="28"/>
      <w:szCs w:val="28"/>
    </w:rPr>
  </w:style>
  <w:style w:type="character" w:customStyle="1" w:styleId="BodyTextChar">
    <w:name w:val="Body Text Char"/>
    <w:basedOn w:val="DefaultParagraphFont"/>
    <w:link w:val="BodyText"/>
    <w:uiPriority w:val="1"/>
    <w:locked/>
    <w:rPr>
      <w:rFonts w:ascii="Arial" w:hAnsi="Arial" w:cs="Arial"/>
      <w:lang w:val="en-GB" w:eastAsia="en-GB"/>
    </w:rPr>
  </w:style>
  <w:style w:type="paragraph" w:styleId="ListParagraph">
    <w:name w:val="List Paragraph"/>
    <w:basedOn w:val="Normal"/>
    <w:uiPriority w:val="1"/>
    <w:qFormat/>
    <w:pPr>
      <w:ind w:left="1020" w:hanging="360"/>
    </w:pPr>
  </w:style>
  <w:style w:type="paragraph" w:customStyle="1" w:styleId="TableParagraph">
    <w:name w:val="Table Paragraph"/>
    <w:basedOn w:val="Normal"/>
    <w:uiPriority w:val="1"/>
    <w:qFormat/>
    <w:pPr>
      <w:ind w:left="200"/>
    </w:pPr>
  </w:style>
  <w:style w:type="character" w:styleId="CommentReference">
    <w:name w:val="annotation reference"/>
    <w:basedOn w:val="DefaultParagraphFont"/>
    <w:uiPriority w:val="99"/>
    <w:semiHidden/>
    <w:unhideWhenUsed/>
    <w:rsid w:val="00BD5163"/>
    <w:rPr>
      <w:rFonts w:cs="Times New Roman"/>
      <w:sz w:val="16"/>
      <w:szCs w:val="16"/>
    </w:rPr>
  </w:style>
  <w:style w:type="paragraph" w:styleId="CommentText">
    <w:name w:val="annotation text"/>
    <w:basedOn w:val="Normal"/>
    <w:link w:val="CommentTextChar"/>
    <w:uiPriority w:val="99"/>
    <w:semiHidden/>
    <w:unhideWhenUsed/>
    <w:rsid w:val="00BD5163"/>
    <w:rPr>
      <w:sz w:val="20"/>
      <w:szCs w:val="20"/>
    </w:rPr>
  </w:style>
  <w:style w:type="character" w:customStyle="1" w:styleId="CommentTextChar">
    <w:name w:val="Comment Text Char"/>
    <w:basedOn w:val="DefaultParagraphFont"/>
    <w:link w:val="CommentText"/>
    <w:uiPriority w:val="99"/>
    <w:semiHidden/>
    <w:locked/>
    <w:rsid w:val="00BD5163"/>
    <w:rPr>
      <w:rFonts w:ascii="Arial" w:hAnsi="Arial"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BD5163"/>
    <w:rPr>
      <w:b/>
      <w:bCs/>
    </w:rPr>
  </w:style>
  <w:style w:type="character" w:customStyle="1" w:styleId="CommentSubjectChar">
    <w:name w:val="Comment Subject Char"/>
    <w:basedOn w:val="CommentTextChar"/>
    <w:link w:val="CommentSubject"/>
    <w:uiPriority w:val="99"/>
    <w:semiHidden/>
    <w:locked/>
    <w:rsid w:val="00BD5163"/>
    <w:rPr>
      <w:rFonts w:ascii="Arial" w:hAnsi="Arial" w:cs="Arial"/>
      <w:b/>
      <w:bCs/>
      <w:sz w:val="20"/>
      <w:szCs w:val="20"/>
      <w:lang w:val="en-GB" w:eastAsia="en-GB"/>
    </w:rPr>
  </w:style>
  <w:style w:type="paragraph" w:styleId="FootnoteText">
    <w:name w:val="footnote text"/>
    <w:basedOn w:val="Normal"/>
    <w:link w:val="FootnoteTextChar"/>
    <w:uiPriority w:val="99"/>
    <w:semiHidden/>
    <w:unhideWhenUsed/>
    <w:rsid w:val="00E7555C"/>
    <w:rPr>
      <w:sz w:val="20"/>
      <w:szCs w:val="20"/>
    </w:rPr>
  </w:style>
  <w:style w:type="character" w:customStyle="1" w:styleId="FootnoteTextChar">
    <w:name w:val="Footnote Text Char"/>
    <w:basedOn w:val="DefaultParagraphFont"/>
    <w:link w:val="FootnoteText"/>
    <w:uiPriority w:val="99"/>
    <w:semiHidden/>
    <w:locked/>
    <w:rsid w:val="00E7555C"/>
    <w:rPr>
      <w:rFonts w:ascii="Arial" w:hAnsi="Arial" w:cs="Arial"/>
      <w:sz w:val="20"/>
      <w:szCs w:val="20"/>
      <w:lang w:val="en-GB" w:eastAsia="en-GB"/>
    </w:rPr>
  </w:style>
  <w:style w:type="character" w:styleId="FootnoteReference">
    <w:name w:val="footnote reference"/>
    <w:basedOn w:val="DefaultParagraphFont"/>
    <w:uiPriority w:val="99"/>
    <w:semiHidden/>
    <w:unhideWhenUsed/>
    <w:rsid w:val="00E7555C"/>
    <w:rPr>
      <w:rFonts w:cs="Times New Roman"/>
      <w:vertAlign w:val="superscript"/>
    </w:rPr>
  </w:style>
  <w:style w:type="character" w:styleId="Hyperlink">
    <w:name w:val="Hyperlink"/>
    <w:basedOn w:val="DefaultParagraphFont"/>
    <w:uiPriority w:val="99"/>
    <w:unhideWhenUsed/>
    <w:rsid w:val="00E7555C"/>
    <w:rPr>
      <w:rFonts w:cs="Times New Roman"/>
      <w:color w:val="0000FF"/>
      <w:u w:val="single"/>
    </w:rPr>
  </w:style>
  <w:style w:type="paragraph" w:styleId="Header">
    <w:name w:val="header"/>
    <w:basedOn w:val="Normal"/>
    <w:link w:val="HeaderChar"/>
    <w:uiPriority w:val="99"/>
    <w:unhideWhenUsed/>
    <w:rsid w:val="00A61EDC"/>
    <w:pPr>
      <w:tabs>
        <w:tab w:val="center" w:pos="4513"/>
        <w:tab w:val="right" w:pos="9026"/>
      </w:tabs>
    </w:pPr>
  </w:style>
  <w:style w:type="character" w:customStyle="1" w:styleId="HeaderChar">
    <w:name w:val="Header Char"/>
    <w:basedOn w:val="DefaultParagraphFont"/>
    <w:link w:val="Header"/>
    <w:uiPriority w:val="99"/>
    <w:locked/>
    <w:rsid w:val="00A61EDC"/>
    <w:rPr>
      <w:rFonts w:ascii="Arial" w:hAnsi="Arial" w:cs="Arial"/>
      <w:lang w:val="en-GB" w:eastAsia="en-GB"/>
    </w:rPr>
  </w:style>
  <w:style w:type="paragraph" w:styleId="Footer">
    <w:name w:val="footer"/>
    <w:basedOn w:val="Normal"/>
    <w:link w:val="FooterChar"/>
    <w:uiPriority w:val="99"/>
    <w:unhideWhenUsed/>
    <w:rsid w:val="00A61EDC"/>
    <w:pPr>
      <w:tabs>
        <w:tab w:val="center" w:pos="4513"/>
        <w:tab w:val="right" w:pos="9026"/>
      </w:tabs>
    </w:pPr>
  </w:style>
  <w:style w:type="character" w:customStyle="1" w:styleId="FooterChar">
    <w:name w:val="Footer Char"/>
    <w:basedOn w:val="DefaultParagraphFont"/>
    <w:link w:val="Footer"/>
    <w:uiPriority w:val="99"/>
    <w:locked/>
    <w:rsid w:val="00A61EDC"/>
    <w:rPr>
      <w:rFonts w:ascii="Arial" w:hAnsi="Arial" w:cs="Arial"/>
      <w:lang w:val="en-GB" w:eastAsia="en-GB"/>
    </w:rPr>
  </w:style>
  <w:style w:type="character" w:styleId="UnresolvedMention">
    <w:name w:val="Unresolved Mention"/>
    <w:basedOn w:val="DefaultParagraphFont"/>
    <w:uiPriority w:val="99"/>
    <w:semiHidden/>
    <w:unhideWhenUsed/>
    <w:rsid w:val="008D47F5"/>
    <w:rPr>
      <w:rFonts w:cs="Times New Roman"/>
      <w:color w:val="605E5C"/>
      <w:shd w:val="clear" w:color="auto" w:fill="E1DFDD"/>
    </w:rPr>
  </w:style>
  <w:style w:type="table" w:styleId="TableGrid">
    <w:name w:val="Table Grid"/>
    <w:basedOn w:val="TableNormal"/>
    <w:uiPriority w:val="39"/>
    <w:rsid w:val="0075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16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24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consultations/strategic-road-network-and-the-delivery-of-sustainable-development-updates/consultation-to-update-the-strategic-road-network-and-the-delivery-of-sustainable-development-circular-02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jroberts@r-e-a.net"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B4CA9-BC6C-4A2E-A780-920741F9A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1242</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for Transport</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Stiffell</dc:creator>
  <cp:keywords/>
  <dc:description/>
  <cp:lastModifiedBy>Jacob Roberts</cp:lastModifiedBy>
  <cp:revision>15</cp:revision>
  <dcterms:created xsi:type="dcterms:W3CDTF">2022-09-14T16:16:00Z</dcterms:created>
  <dcterms:modified xsi:type="dcterms:W3CDTF">2022-09-15T16:04:00Z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2021-07-06T23:00:00Z</vt:filetime>
  </property>
  <property fmtid="{D5CDD505-2E9C-101B-9397-08002B2CF9AE}" pid="3" name="Creator">
    <vt:lpwstr>Acrobat PDFMaker 18 for Word</vt:lpwstr>
  </property>
  <property fmtid="{D5CDD505-2E9C-101B-9397-08002B2CF9AE}" pid="4" name="LastSaved">
    <vt:filetime>2021-07-07T23:00:00Z</vt:filetime>
  </property>
</Properties>
</file>