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F7AE4" w14:textId="77777777" w:rsidR="00B370FD" w:rsidRDefault="001961EF" w:rsidP="00880082">
      <w:pPr>
        <w:pBdr>
          <w:top w:val="nil"/>
          <w:left w:val="nil"/>
          <w:bottom w:val="nil"/>
          <w:right w:val="nil"/>
          <w:between w:val="nil"/>
        </w:pBdr>
        <w:spacing w:before="120" w:after="120" w:line="240" w:lineRule="auto"/>
        <w:rPr>
          <w:rFonts w:ascii="Open Sans" w:eastAsia="Open Sans" w:hAnsi="Open Sans" w:cs="Open Sans"/>
          <w:b/>
          <w:color w:val="06926B"/>
          <w:sz w:val="20"/>
          <w:szCs w:val="20"/>
        </w:rPr>
      </w:pPr>
      <w:r>
        <w:rPr>
          <w:rFonts w:ascii="Open Sans" w:eastAsia="Open Sans" w:hAnsi="Open Sans" w:cs="Open Sans"/>
          <w:b/>
          <w:color w:val="06926B"/>
          <w:sz w:val="20"/>
          <w:szCs w:val="20"/>
        </w:rPr>
        <w:t xml:space="preserve"> </w:t>
      </w:r>
      <w:r>
        <w:rPr>
          <w:noProof/>
        </w:rPr>
        <w:drawing>
          <wp:anchor distT="0" distB="0" distL="114300" distR="114300" simplePos="0" relativeHeight="251658240" behindDoc="0" locked="0" layoutInCell="1" hidden="0" allowOverlap="1" wp14:anchorId="2FD2EBCA" wp14:editId="49AC66C5">
            <wp:simplePos x="0" y="0"/>
            <wp:positionH relativeFrom="column">
              <wp:posOffset>4747260</wp:posOffset>
            </wp:positionH>
            <wp:positionV relativeFrom="paragraph">
              <wp:posOffset>0</wp:posOffset>
            </wp:positionV>
            <wp:extent cx="1684020" cy="87630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684020" cy="876300"/>
                    </a:xfrm>
                    <a:prstGeom prst="rect">
                      <a:avLst/>
                    </a:prstGeom>
                    <a:ln/>
                  </pic:spPr>
                </pic:pic>
              </a:graphicData>
            </a:graphic>
          </wp:anchor>
        </w:drawing>
      </w:r>
    </w:p>
    <w:p w14:paraId="265A54B9" w14:textId="753232C1" w:rsidR="00B370FD" w:rsidRDefault="00151624" w:rsidP="00880082">
      <w:pPr>
        <w:pBdr>
          <w:top w:val="nil"/>
          <w:left w:val="nil"/>
          <w:bottom w:val="nil"/>
          <w:right w:val="nil"/>
          <w:between w:val="nil"/>
        </w:pBdr>
        <w:spacing w:before="120" w:after="120" w:line="240" w:lineRule="auto"/>
        <w:rPr>
          <w:rFonts w:ascii="Open Sans" w:eastAsia="Open Sans" w:hAnsi="Open Sans" w:cs="Open Sans"/>
          <w:b/>
          <w:color w:val="06926B"/>
          <w:sz w:val="29"/>
          <w:szCs w:val="29"/>
        </w:rPr>
      </w:pPr>
      <w:r>
        <w:rPr>
          <w:rFonts w:ascii="Open Sans" w:eastAsia="Open Sans" w:hAnsi="Open Sans" w:cs="Open Sans"/>
          <w:b/>
          <w:color w:val="06926B"/>
          <w:sz w:val="29"/>
          <w:szCs w:val="29"/>
        </w:rPr>
        <w:t xml:space="preserve">REA’s Draft </w:t>
      </w:r>
      <w:r w:rsidR="000D6FD9">
        <w:rPr>
          <w:rFonts w:ascii="Open Sans" w:eastAsia="Open Sans" w:hAnsi="Open Sans" w:cs="Open Sans"/>
          <w:b/>
          <w:color w:val="06926B"/>
          <w:sz w:val="29"/>
          <w:szCs w:val="29"/>
        </w:rPr>
        <w:t xml:space="preserve">Internal </w:t>
      </w:r>
      <w:r>
        <w:rPr>
          <w:rFonts w:ascii="Open Sans" w:eastAsia="Open Sans" w:hAnsi="Open Sans" w:cs="Open Sans"/>
          <w:b/>
          <w:color w:val="06926B"/>
          <w:sz w:val="29"/>
          <w:szCs w:val="29"/>
        </w:rPr>
        <w:t xml:space="preserve">Briefing on </w:t>
      </w:r>
      <w:r w:rsidR="001961EF">
        <w:rPr>
          <w:rFonts w:ascii="Open Sans" w:eastAsia="Open Sans" w:hAnsi="Open Sans" w:cs="Open Sans"/>
          <w:b/>
          <w:color w:val="06926B"/>
          <w:sz w:val="29"/>
          <w:szCs w:val="29"/>
        </w:rPr>
        <w:t xml:space="preserve">Hydrogen and Domestic Heat </w:t>
      </w:r>
    </w:p>
    <w:p w14:paraId="7270FEA7" w14:textId="77777777" w:rsidR="00B370FD" w:rsidRDefault="00B370FD" w:rsidP="00880082">
      <w:pPr>
        <w:pBdr>
          <w:top w:val="nil"/>
          <w:left w:val="nil"/>
          <w:bottom w:val="nil"/>
          <w:right w:val="nil"/>
          <w:between w:val="nil"/>
        </w:pBdr>
        <w:spacing w:before="120" w:after="120" w:line="240" w:lineRule="auto"/>
        <w:rPr>
          <w:rFonts w:ascii="Open Sans" w:eastAsia="Open Sans" w:hAnsi="Open Sans" w:cs="Open Sans"/>
          <w:b/>
          <w:color w:val="06926B"/>
          <w:sz w:val="20"/>
          <w:szCs w:val="20"/>
        </w:rPr>
      </w:pPr>
    </w:p>
    <w:p w14:paraId="73E65320" w14:textId="77777777" w:rsidR="00B370FD" w:rsidRDefault="001961EF" w:rsidP="00880082">
      <w:pPr>
        <w:pBdr>
          <w:top w:val="nil"/>
          <w:left w:val="nil"/>
          <w:bottom w:val="nil"/>
          <w:right w:val="nil"/>
          <w:between w:val="nil"/>
        </w:pBdr>
        <w:spacing w:before="120" w:after="120" w:line="240" w:lineRule="auto"/>
        <w:rPr>
          <w:rFonts w:ascii="Open Sans" w:eastAsia="Open Sans" w:hAnsi="Open Sans" w:cs="Open Sans"/>
          <w:sz w:val="20"/>
          <w:szCs w:val="20"/>
        </w:rPr>
      </w:pPr>
      <w:r>
        <w:rPr>
          <w:rFonts w:ascii="Open Sans" w:eastAsia="Open Sans" w:hAnsi="Open Sans" w:cs="Open Sans"/>
          <w:b/>
          <w:color w:val="06926B"/>
          <w:sz w:val="20"/>
          <w:szCs w:val="20"/>
        </w:rPr>
        <w:t>Briefing for</w:t>
      </w:r>
      <w:r>
        <w:rPr>
          <w:rFonts w:ascii="Open Sans" w:eastAsia="Open Sans" w:hAnsi="Open Sans" w:cs="Open Sans"/>
          <w:color w:val="06926B"/>
          <w:sz w:val="20"/>
          <w:szCs w:val="20"/>
        </w:rPr>
        <w:t>:</w:t>
      </w:r>
      <w:r>
        <w:rPr>
          <w:rFonts w:ascii="Open Sans" w:eastAsia="Open Sans" w:hAnsi="Open Sans" w:cs="Open Sans"/>
          <w:sz w:val="20"/>
          <w:szCs w:val="20"/>
        </w:rPr>
        <w:t xml:space="preserve"> </w:t>
      </w:r>
      <w:r>
        <w:rPr>
          <w:rFonts w:ascii="Open Sans" w:eastAsia="Open Sans" w:hAnsi="Open Sans" w:cs="Open Sans"/>
          <w:sz w:val="20"/>
          <w:szCs w:val="20"/>
        </w:rPr>
        <w:tab/>
        <w:t>REA Policy Team</w:t>
      </w:r>
    </w:p>
    <w:p w14:paraId="660FDDFF" w14:textId="77777777" w:rsidR="00B370FD" w:rsidRDefault="001961EF" w:rsidP="00880082">
      <w:pPr>
        <w:pBdr>
          <w:top w:val="nil"/>
          <w:left w:val="nil"/>
          <w:bottom w:val="nil"/>
          <w:right w:val="nil"/>
          <w:between w:val="nil"/>
        </w:pBdr>
        <w:spacing w:before="120" w:after="120" w:line="240" w:lineRule="auto"/>
        <w:ind w:left="1440" w:hanging="1440"/>
        <w:rPr>
          <w:rFonts w:ascii="Open Sans" w:eastAsia="Open Sans" w:hAnsi="Open Sans" w:cs="Open Sans"/>
          <w:sz w:val="20"/>
          <w:szCs w:val="20"/>
        </w:rPr>
      </w:pPr>
      <w:r>
        <w:rPr>
          <w:rFonts w:ascii="Open Sans" w:eastAsia="Open Sans" w:hAnsi="Open Sans" w:cs="Open Sans"/>
          <w:b/>
          <w:color w:val="06926B"/>
          <w:sz w:val="20"/>
          <w:szCs w:val="20"/>
        </w:rPr>
        <w:t>Purpose</w:t>
      </w:r>
      <w:r>
        <w:rPr>
          <w:rFonts w:ascii="Open Sans" w:eastAsia="Open Sans" w:hAnsi="Open Sans" w:cs="Open Sans"/>
          <w:color w:val="06926B"/>
          <w:sz w:val="20"/>
          <w:szCs w:val="20"/>
        </w:rPr>
        <w:t xml:space="preserve">: </w:t>
      </w:r>
      <w:r>
        <w:rPr>
          <w:rFonts w:ascii="Open Sans" w:eastAsia="Open Sans" w:hAnsi="Open Sans" w:cs="Open Sans"/>
          <w:sz w:val="20"/>
          <w:szCs w:val="20"/>
        </w:rPr>
        <w:tab/>
        <w:t>To inform the REA’s position on hydrogen for heat</w:t>
      </w:r>
    </w:p>
    <w:p w14:paraId="09C464B8" w14:textId="025B9D12" w:rsidR="00B370FD" w:rsidRDefault="00472EFA" w:rsidP="00880082">
      <w:pPr>
        <w:pBdr>
          <w:top w:val="nil"/>
          <w:left w:val="nil"/>
          <w:bottom w:val="nil"/>
          <w:right w:val="nil"/>
          <w:between w:val="nil"/>
        </w:pBdr>
        <w:spacing w:before="120" w:after="120" w:line="240" w:lineRule="auto"/>
        <w:rPr>
          <w:rFonts w:ascii="Open Sans" w:eastAsia="Open Sans" w:hAnsi="Open Sans" w:cs="Open Sans"/>
          <w:color w:val="06926B"/>
          <w:sz w:val="20"/>
          <w:szCs w:val="20"/>
        </w:rPr>
      </w:pPr>
      <w:r>
        <w:rPr>
          <w:noProof/>
        </w:rPr>
        <mc:AlternateContent>
          <mc:Choice Requires="wps">
            <w:drawing>
              <wp:anchor distT="0" distB="0" distL="114300" distR="114300" simplePos="0" relativeHeight="251659264" behindDoc="0" locked="0" layoutInCell="1" hidden="0" allowOverlap="1" wp14:anchorId="75EF6ADB" wp14:editId="155448CD">
                <wp:simplePos x="0" y="0"/>
                <wp:positionH relativeFrom="column">
                  <wp:posOffset>-64770</wp:posOffset>
                </wp:positionH>
                <wp:positionV relativeFrom="paragraph">
                  <wp:posOffset>242570</wp:posOffset>
                </wp:positionV>
                <wp:extent cx="6566535" cy="1383030"/>
                <wp:effectExtent l="19050" t="19050" r="24765" b="26670"/>
                <wp:wrapTopAndBottom distT="0" distB="0"/>
                <wp:docPr id="9" name=""/>
                <wp:cNvGraphicFramePr/>
                <a:graphic xmlns:a="http://schemas.openxmlformats.org/drawingml/2006/main">
                  <a:graphicData uri="http://schemas.microsoft.com/office/word/2010/wordprocessingShape">
                    <wps:wsp>
                      <wps:cNvSpPr/>
                      <wps:spPr>
                        <a:xfrm>
                          <a:off x="0" y="0"/>
                          <a:ext cx="6566535" cy="1383030"/>
                        </a:xfrm>
                        <a:custGeom>
                          <a:avLst/>
                          <a:gdLst/>
                          <a:ahLst/>
                          <a:cxnLst/>
                          <a:rect l="l" t="t" r="r" b="b"/>
                          <a:pathLst>
                            <a:path w="6094730" h="949325" extrusionOk="0">
                              <a:moveTo>
                                <a:pt x="0" y="0"/>
                              </a:moveTo>
                              <a:lnTo>
                                <a:pt x="0" y="949325"/>
                              </a:lnTo>
                              <a:lnTo>
                                <a:pt x="6094730" y="949325"/>
                              </a:lnTo>
                              <a:lnTo>
                                <a:pt x="6094730" y="0"/>
                              </a:lnTo>
                              <a:close/>
                            </a:path>
                          </a:pathLst>
                        </a:custGeom>
                        <a:solidFill>
                          <a:srgbClr val="FFFFFF"/>
                        </a:solidFill>
                        <a:ln w="38100" cap="flat" cmpd="sng">
                          <a:solidFill>
                            <a:srgbClr val="06926B"/>
                          </a:solidFill>
                          <a:prstDash val="solid"/>
                          <a:miter lim="8000"/>
                          <a:headEnd type="none" w="sm" len="sm"/>
                          <a:tailEnd type="none" w="sm" len="sm"/>
                        </a:ln>
                      </wps:spPr>
                      <wps:txbx>
                        <w:txbxContent>
                          <w:p w14:paraId="38944E66" w14:textId="77777777" w:rsidR="00B370FD" w:rsidRDefault="001961EF">
                            <w:pPr>
                              <w:spacing w:after="0" w:line="273" w:lineRule="auto"/>
                              <w:textDirection w:val="btLr"/>
                            </w:pPr>
                            <w:r>
                              <w:rPr>
                                <w:rFonts w:ascii="Open Sans" w:eastAsia="Open Sans" w:hAnsi="Open Sans" w:cs="Open Sans"/>
                                <w:b/>
                                <w:color w:val="000000"/>
                                <w:sz w:val="19"/>
                              </w:rPr>
                              <w:t xml:space="preserve">Key Points: </w:t>
                            </w:r>
                          </w:p>
                          <w:p w14:paraId="3B6BAA6C" w14:textId="25AAE823" w:rsidR="00472EFA" w:rsidRPr="00472EFA" w:rsidRDefault="00472EFA" w:rsidP="00472EFA">
                            <w:pPr>
                              <w:pStyle w:val="ListParagraph"/>
                              <w:numPr>
                                <w:ilvl w:val="1"/>
                                <w:numId w:val="4"/>
                              </w:numPr>
                              <w:spacing w:after="0" w:line="240" w:lineRule="auto"/>
                              <w:textDirection w:val="btLr"/>
                              <w:rPr>
                                <w:rFonts w:ascii="Open Sans" w:eastAsia="Open Sans" w:hAnsi="Open Sans" w:cs="Open Sans"/>
                                <w:color w:val="000000"/>
                                <w:sz w:val="19"/>
                              </w:rPr>
                            </w:pPr>
                            <w:r w:rsidRPr="00472EFA">
                              <w:rPr>
                                <w:rFonts w:ascii="Open Sans" w:eastAsia="Open Sans" w:hAnsi="Open Sans" w:cs="Open Sans"/>
                                <w:sz w:val="20"/>
                                <w:szCs w:val="20"/>
                              </w:rPr>
                              <w:t xml:space="preserve">REA supports </w:t>
                            </w:r>
                            <w:r w:rsidRPr="00472EFA">
                              <w:rPr>
                                <w:rFonts w:ascii="Open Sans" w:eastAsia="Open Sans" w:hAnsi="Open Sans" w:cs="Open Sans"/>
                                <w:sz w:val="20"/>
                                <w:szCs w:val="20"/>
                              </w:rPr>
                              <w:t>the use of the right heat technology in the right situation</w:t>
                            </w:r>
                            <w:r>
                              <w:rPr>
                                <w:rFonts w:ascii="Open Sans" w:eastAsia="Open Sans" w:hAnsi="Open Sans" w:cs="Open Sans"/>
                                <w:sz w:val="20"/>
                                <w:szCs w:val="20"/>
                              </w:rPr>
                              <w:t>.</w:t>
                            </w:r>
                          </w:p>
                          <w:p w14:paraId="2C907560" w14:textId="013DA10C" w:rsidR="00B370FD" w:rsidRDefault="00472EFA" w:rsidP="00472EFA">
                            <w:pPr>
                              <w:pStyle w:val="ListParagraph"/>
                              <w:numPr>
                                <w:ilvl w:val="1"/>
                                <w:numId w:val="4"/>
                              </w:numPr>
                              <w:spacing w:after="0" w:line="240" w:lineRule="auto"/>
                              <w:textDirection w:val="btLr"/>
                            </w:pPr>
                            <w:r>
                              <w:rPr>
                                <w:rFonts w:ascii="Open Sans" w:eastAsia="Open Sans" w:hAnsi="Open Sans" w:cs="Open Sans"/>
                                <w:color w:val="000000"/>
                                <w:sz w:val="19"/>
                              </w:rPr>
                              <w:t>We believe h</w:t>
                            </w:r>
                            <w:r w:rsidR="001961EF" w:rsidRPr="00472EFA">
                              <w:rPr>
                                <w:rFonts w:ascii="Open Sans" w:eastAsia="Open Sans" w:hAnsi="Open Sans" w:cs="Open Sans"/>
                                <w:color w:val="000000"/>
                                <w:sz w:val="19"/>
                              </w:rPr>
                              <w:t>ydrogen will have a role to play in heating hard-to electrify buildings that are on the gas grid</w:t>
                            </w:r>
                            <w:r w:rsidR="0016681A">
                              <w:rPr>
                                <w:rFonts w:ascii="Open Sans" w:eastAsia="Open Sans" w:hAnsi="Open Sans" w:cs="Open Sans"/>
                                <w:color w:val="000000"/>
                                <w:sz w:val="19"/>
                              </w:rPr>
                              <w:t xml:space="preserve"> and is part of a mix of solutions. </w:t>
                            </w:r>
                          </w:p>
                          <w:p w14:paraId="592EC68B" w14:textId="2D20E592" w:rsidR="00B370FD" w:rsidRPr="00CF222B" w:rsidRDefault="00472EFA" w:rsidP="00472EFA">
                            <w:pPr>
                              <w:pStyle w:val="ListParagraph"/>
                              <w:numPr>
                                <w:ilvl w:val="1"/>
                                <w:numId w:val="4"/>
                              </w:numPr>
                              <w:spacing w:after="0" w:line="240" w:lineRule="auto"/>
                              <w:textDirection w:val="btLr"/>
                            </w:pPr>
                            <w:r>
                              <w:rPr>
                                <w:rFonts w:ascii="Open Sans" w:eastAsia="Open Sans" w:hAnsi="Open Sans" w:cs="Open Sans"/>
                                <w:color w:val="000000"/>
                                <w:sz w:val="19"/>
                              </w:rPr>
                              <w:t>R</w:t>
                            </w:r>
                            <w:r w:rsidR="001961EF" w:rsidRPr="00472EFA">
                              <w:rPr>
                                <w:rFonts w:ascii="Open Sans" w:eastAsia="Open Sans" w:hAnsi="Open Sans" w:cs="Open Sans"/>
                                <w:color w:val="000000"/>
                                <w:sz w:val="19"/>
                              </w:rPr>
                              <w:t xml:space="preserve">EA </w:t>
                            </w:r>
                            <w:r>
                              <w:rPr>
                                <w:rFonts w:ascii="Open Sans" w:eastAsia="Open Sans" w:hAnsi="Open Sans" w:cs="Open Sans"/>
                                <w:color w:val="000000"/>
                                <w:sz w:val="19"/>
                              </w:rPr>
                              <w:t>supports</w:t>
                            </w:r>
                            <w:r w:rsidRPr="00472EFA">
                              <w:rPr>
                                <w:rFonts w:ascii="Open Sans" w:eastAsia="Open Sans" w:hAnsi="Open Sans" w:cs="Open Sans"/>
                                <w:color w:val="000000"/>
                                <w:sz w:val="19"/>
                              </w:rPr>
                              <w:t xml:space="preserve"> </w:t>
                            </w:r>
                            <w:r w:rsidR="001961EF" w:rsidRPr="00472EFA">
                              <w:rPr>
                                <w:rFonts w:ascii="Open Sans" w:eastAsia="Open Sans" w:hAnsi="Open Sans" w:cs="Open Sans"/>
                                <w:color w:val="000000"/>
                                <w:sz w:val="19"/>
                              </w:rPr>
                              <w:t xml:space="preserve">a “hydrogen zoning approach” similar to </w:t>
                            </w:r>
                            <w:r w:rsidR="00880082" w:rsidRPr="00472EFA">
                              <w:rPr>
                                <w:rFonts w:ascii="Open Sans" w:eastAsia="Open Sans" w:hAnsi="Open Sans" w:cs="Open Sans"/>
                                <w:color w:val="000000"/>
                                <w:sz w:val="19"/>
                              </w:rPr>
                              <w:t xml:space="preserve">the one </w:t>
                            </w:r>
                            <w:r w:rsidR="001961EF" w:rsidRPr="00472EFA">
                              <w:rPr>
                                <w:rFonts w:ascii="Open Sans" w:eastAsia="Open Sans" w:hAnsi="Open Sans" w:cs="Open Sans"/>
                                <w:color w:val="000000"/>
                                <w:sz w:val="19"/>
                              </w:rPr>
                              <w:t xml:space="preserve">being </w:t>
                            </w:r>
                            <w:r w:rsidR="001437F3" w:rsidRPr="00472EFA">
                              <w:rPr>
                                <w:rFonts w:ascii="Open Sans" w:eastAsia="Open Sans" w:hAnsi="Open Sans" w:cs="Open Sans"/>
                                <w:color w:val="000000"/>
                                <w:sz w:val="19"/>
                              </w:rPr>
                              <w:t xml:space="preserve">adopted </w:t>
                            </w:r>
                            <w:r w:rsidR="001961EF" w:rsidRPr="00472EFA">
                              <w:rPr>
                                <w:rFonts w:ascii="Open Sans" w:eastAsia="Open Sans" w:hAnsi="Open Sans" w:cs="Open Sans"/>
                                <w:color w:val="000000"/>
                                <w:sz w:val="19"/>
                              </w:rPr>
                              <w:t>for heat networks</w:t>
                            </w:r>
                            <w:r w:rsidRPr="00472EFA">
                              <w:rPr>
                                <w:rFonts w:ascii="Open Sans" w:eastAsia="Open Sans" w:hAnsi="Open Sans" w:cs="Open Sans"/>
                                <w:color w:val="000000"/>
                                <w:sz w:val="19"/>
                              </w:rPr>
                              <w:t xml:space="preserve">. </w:t>
                            </w:r>
                          </w:p>
                          <w:p w14:paraId="1DC05213" w14:textId="5D632CC7" w:rsidR="00364C8A" w:rsidRDefault="00CF222B" w:rsidP="0029402A">
                            <w:pPr>
                              <w:pStyle w:val="ListParagraph"/>
                              <w:numPr>
                                <w:ilvl w:val="1"/>
                                <w:numId w:val="4"/>
                              </w:numPr>
                              <w:spacing w:after="0" w:line="240" w:lineRule="auto"/>
                              <w:textDirection w:val="btLr"/>
                            </w:pPr>
                            <w:r w:rsidRPr="00364C8A">
                              <w:rPr>
                                <w:rFonts w:ascii="Open Sans" w:eastAsia="Open Sans" w:hAnsi="Open Sans" w:cs="Open Sans"/>
                                <w:sz w:val="20"/>
                                <w:szCs w:val="20"/>
                              </w:rPr>
                              <w:t xml:space="preserve">A decision on the role of hydrogen for heating homes </w:t>
                            </w:r>
                            <w:r w:rsidRPr="00364C8A">
                              <w:rPr>
                                <w:rFonts w:ascii="Open Sans" w:eastAsia="Open Sans" w:hAnsi="Open Sans" w:cs="Open Sans"/>
                                <w:sz w:val="20"/>
                                <w:szCs w:val="20"/>
                              </w:rPr>
                              <w:t xml:space="preserve">needs to be made </w:t>
                            </w:r>
                            <w:r w:rsidRPr="00364C8A">
                              <w:rPr>
                                <w:rFonts w:ascii="Open Sans" w:eastAsia="Open Sans" w:hAnsi="Open Sans" w:cs="Open Sans"/>
                                <w:sz w:val="20"/>
                                <w:szCs w:val="20"/>
                              </w:rPr>
                              <w:t>as soon as practicably possible</w:t>
                            </w:r>
                            <w:r w:rsidRPr="00364C8A">
                              <w:rPr>
                                <w:rFonts w:ascii="Open Sans" w:eastAsia="Open Sans" w:hAnsi="Open Sans" w:cs="Open Sans"/>
                                <w:sz w:val="20"/>
                                <w:szCs w:val="20"/>
                              </w:rPr>
                              <w:t xml:space="preserve">. </w:t>
                            </w: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F6ADB" id="_x0000_s1026" style="position:absolute;margin-left:-5.1pt;margin-top:19.1pt;width:517.05pt;height:10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094730,949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" adj="-11796480,,5400" path="m,l,949325r6094730,l6094730,,,xe" strokecolor="#06926b" strokeweight="3pt">
                <v:stroke startarrowwidth="narrow" startarrowlength="short" endarrowwidth="narrow" endarrowlength="short" miterlimit="5243f" joinstyle="miter"/>
                <v:formulas/>
                <v:path arrowok="t" o:extrusionok="f" o:connecttype="custom" textboxrect="0,0,6094730,949325"/>
                <v:textbox inset="7pt,3pt,7pt,3pt">
                  <w:txbxContent>
                    <w:p w14:paraId="38944E66" w14:textId="77777777" w:rsidR="00B370FD" w:rsidRDefault="001961EF">
                      <w:pPr>
                        <w:spacing w:after="0" w:line="273" w:lineRule="auto"/>
                        <w:textDirection w:val="btLr"/>
                      </w:pPr>
                      <w:r>
                        <w:rPr>
                          <w:rFonts w:ascii="Open Sans" w:eastAsia="Open Sans" w:hAnsi="Open Sans" w:cs="Open Sans"/>
                          <w:b/>
                          <w:color w:val="000000"/>
                          <w:sz w:val="19"/>
                        </w:rPr>
                        <w:t xml:space="preserve">Key Points: </w:t>
                      </w:r>
                    </w:p>
                    <w:p w14:paraId="3B6BAA6C" w14:textId="25AAE823" w:rsidR="00472EFA" w:rsidRPr="00472EFA" w:rsidRDefault="00472EFA" w:rsidP="00472EFA">
                      <w:pPr>
                        <w:pStyle w:val="ListParagraph"/>
                        <w:numPr>
                          <w:ilvl w:val="1"/>
                          <w:numId w:val="4"/>
                        </w:numPr>
                        <w:spacing w:after="0" w:line="240" w:lineRule="auto"/>
                        <w:textDirection w:val="btLr"/>
                        <w:rPr>
                          <w:rFonts w:ascii="Open Sans" w:eastAsia="Open Sans" w:hAnsi="Open Sans" w:cs="Open Sans"/>
                          <w:color w:val="000000"/>
                          <w:sz w:val="19"/>
                        </w:rPr>
                      </w:pPr>
                      <w:r w:rsidRPr="00472EFA">
                        <w:rPr>
                          <w:rFonts w:ascii="Open Sans" w:eastAsia="Open Sans" w:hAnsi="Open Sans" w:cs="Open Sans"/>
                          <w:sz w:val="20"/>
                          <w:szCs w:val="20"/>
                        </w:rPr>
                        <w:t xml:space="preserve">REA supports </w:t>
                      </w:r>
                      <w:r w:rsidRPr="00472EFA">
                        <w:rPr>
                          <w:rFonts w:ascii="Open Sans" w:eastAsia="Open Sans" w:hAnsi="Open Sans" w:cs="Open Sans"/>
                          <w:sz w:val="20"/>
                          <w:szCs w:val="20"/>
                        </w:rPr>
                        <w:t>the use of the right heat technology in the right situation</w:t>
                      </w:r>
                      <w:r>
                        <w:rPr>
                          <w:rFonts w:ascii="Open Sans" w:eastAsia="Open Sans" w:hAnsi="Open Sans" w:cs="Open Sans"/>
                          <w:sz w:val="20"/>
                          <w:szCs w:val="20"/>
                        </w:rPr>
                        <w:t>.</w:t>
                      </w:r>
                    </w:p>
                    <w:p w14:paraId="2C907560" w14:textId="013DA10C" w:rsidR="00B370FD" w:rsidRDefault="00472EFA" w:rsidP="00472EFA">
                      <w:pPr>
                        <w:pStyle w:val="ListParagraph"/>
                        <w:numPr>
                          <w:ilvl w:val="1"/>
                          <w:numId w:val="4"/>
                        </w:numPr>
                        <w:spacing w:after="0" w:line="240" w:lineRule="auto"/>
                        <w:textDirection w:val="btLr"/>
                      </w:pPr>
                      <w:r>
                        <w:rPr>
                          <w:rFonts w:ascii="Open Sans" w:eastAsia="Open Sans" w:hAnsi="Open Sans" w:cs="Open Sans"/>
                          <w:color w:val="000000"/>
                          <w:sz w:val="19"/>
                        </w:rPr>
                        <w:t>We believe h</w:t>
                      </w:r>
                      <w:r w:rsidR="001961EF" w:rsidRPr="00472EFA">
                        <w:rPr>
                          <w:rFonts w:ascii="Open Sans" w:eastAsia="Open Sans" w:hAnsi="Open Sans" w:cs="Open Sans"/>
                          <w:color w:val="000000"/>
                          <w:sz w:val="19"/>
                        </w:rPr>
                        <w:t>ydrogen will have a role to play in heating hard-to electrify buildings that are on the gas grid</w:t>
                      </w:r>
                      <w:r w:rsidR="0016681A">
                        <w:rPr>
                          <w:rFonts w:ascii="Open Sans" w:eastAsia="Open Sans" w:hAnsi="Open Sans" w:cs="Open Sans"/>
                          <w:color w:val="000000"/>
                          <w:sz w:val="19"/>
                        </w:rPr>
                        <w:t xml:space="preserve"> and is part of a mix of solutions. </w:t>
                      </w:r>
                    </w:p>
                    <w:p w14:paraId="592EC68B" w14:textId="2D20E592" w:rsidR="00B370FD" w:rsidRPr="00CF222B" w:rsidRDefault="00472EFA" w:rsidP="00472EFA">
                      <w:pPr>
                        <w:pStyle w:val="ListParagraph"/>
                        <w:numPr>
                          <w:ilvl w:val="1"/>
                          <w:numId w:val="4"/>
                        </w:numPr>
                        <w:spacing w:after="0" w:line="240" w:lineRule="auto"/>
                        <w:textDirection w:val="btLr"/>
                      </w:pPr>
                      <w:r>
                        <w:rPr>
                          <w:rFonts w:ascii="Open Sans" w:eastAsia="Open Sans" w:hAnsi="Open Sans" w:cs="Open Sans"/>
                          <w:color w:val="000000"/>
                          <w:sz w:val="19"/>
                        </w:rPr>
                        <w:t>R</w:t>
                      </w:r>
                      <w:r w:rsidR="001961EF" w:rsidRPr="00472EFA">
                        <w:rPr>
                          <w:rFonts w:ascii="Open Sans" w:eastAsia="Open Sans" w:hAnsi="Open Sans" w:cs="Open Sans"/>
                          <w:color w:val="000000"/>
                          <w:sz w:val="19"/>
                        </w:rPr>
                        <w:t xml:space="preserve">EA </w:t>
                      </w:r>
                      <w:r>
                        <w:rPr>
                          <w:rFonts w:ascii="Open Sans" w:eastAsia="Open Sans" w:hAnsi="Open Sans" w:cs="Open Sans"/>
                          <w:color w:val="000000"/>
                          <w:sz w:val="19"/>
                        </w:rPr>
                        <w:t>supports</w:t>
                      </w:r>
                      <w:r w:rsidRPr="00472EFA">
                        <w:rPr>
                          <w:rFonts w:ascii="Open Sans" w:eastAsia="Open Sans" w:hAnsi="Open Sans" w:cs="Open Sans"/>
                          <w:color w:val="000000"/>
                          <w:sz w:val="19"/>
                        </w:rPr>
                        <w:t xml:space="preserve"> </w:t>
                      </w:r>
                      <w:r w:rsidR="001961EF" w:rsidRPr="00472EFA">
                        <w:rPr>
                          <w:rFonts w:ascii="Open Sans" w:eastAsia="Open Sans" w:hAnsi="Open Sans" w:cs="Open Sans"/>
                          <w:color w:val="000000"/>
                          <w:sz w:val="19"/>
                        </w:rPr>
                        <w:t xml:space="preserve">a “hydrogen zoning approach” similar to </w:t>
                      </w:r>
                      <w:r w:rsidR="00880082" w:rsidRPr="00472EFA">
                        <w:rPr>
                          <w:rFonts w:ascii="Open Sans" w:eastAsia="Open Sans" w:hAnsi="Open Sans" w:cs="Open Sans"/>
                          <w:color w:val="000000"/>
                          <w:sz w:val="19"/>
                        </w:rPr>
                        <w:t xml:space="preserve">the one </w:t>
                      </w:r>
                      <w:r w:rsidR="001961EF" w:rsidRPr="00472EFA">
                        <w:rPr>
                          <w:rFonts w:ascii="Open Sans" w:eastAsia="Open Sans" w:hAnsi="Open Sans" w:cs="Open Sans"/>
                          <w:color w:val="000000"/>
                          <w:sz w:val="19"/>
                        </w:rPr>
                        <w:t xml:space="preserve">being </w:t>
                      </w:r>
                      <w:r w:rsidR="001437F3" w:rsidRPr="00472EFA">
                        <w:rPr>
                          <w:rFonts w:ascii="Open Sans" w:eastAsia="Open Sans" w:hAnsi="Open Sans" w:cs="Open Sans"/>
                          <w:color w:val="000000"/>
                          <w:sz w:val="19"/>
                        </w:rPr>
                        <w:t xml:space="preserve">adopted </w:t>
                      </w:r>
                      <w:r w:rsidR="001961EF" w:rsidRPr="00472EFA">
                        <w:rPr>
                          <w:rFonts w:ascii="Open Sans" w:eastAsia="Open Sans" w:hAnsi="Open Sans" w:cs="Open Sans"/>
                          <w:color w:val="000000"/>
                          <w:sz w:val="19"/>
                        </w:rPr>
                        <w:t>for heat networks</w:t>
                      </w:r>
                      <w:r w:rsidRPr="00472EFA">
                        <w:rPr>
                          <w:rFonts w:ascii="Open Sans" w:eastAsia="Open Sans" w:hAnsi="Open Sans" w:cs="Open Sans"/>
                          <w:color w:val="000000"/>
                          <w:sz w:val="19"/>
                        </w:rPr>
                        <w:t xml:space="preserve">. </w:t>
                      </w:r>
                    </w:p>
                    <w:p w14:paraId="1DC05213" w14:textId="5D632CC7" w:rsidR="00364C8A" w:rsidRDefault="00CF222B" w:rsidP="0029402A">
                      <w:pPr>
                        <w:pStyle w:val="ListParagraph"/>
                        <w:numPr>
                          <w:ilvl w:val="1"/>
                          <w:numId w:val="4"/>
                        </w:numPr>
                        <w:spacing w:after="0" w:line="240" w:lineRule="auto"/>
                        <w:textDirection w:val="btLr"/>
                      </w:pPr>
                      <w:r w:rsidRPr="00364C8A">
                        <w:rPr>
                          <w:rFonts w:ascii="Open Sans" w:eastAsia="Open Sans" w:hAnsi="Open Sans" w:cs="Open Sans"/>
                          <w:sz w:val="20"/>
                          <w:szCs w:val="20"/>
                        </w:rPr>
                        <w:t xml:space="preserve">A decision on the role of hydrogen for heating homes </w:t>
                      </w:r>
                      <w:r w:rsidRPr="00364C8A">
                        <w:rPr>
                          <w:rFonts w:ascii="Open Sans" w:eastAsia="Open Sans" w:hAnsi="Open Sans" w:cs="Open Sans"/>
                          <w:sz w:val="20"/>
                          <w:szCs w:val="20"/>
                        </w:rPr>
                        <w:t xml:space="preserve">needs to be made </w:t>
                      </w:r>
                      <w:r w:rsidRPr="00364C8A">
                        <w:rPr>
                          <w:rFonts w:ascii="Open Sans" w:eastAsia="Open Sans" w:hAnsi="Open Sans" w:cs="Open Sans"/>
                          <w:sz w:val="20"/>
                          <w:szCs w:val="20"/>
                        </w:rPr>
                        <w:t>as soon as practicably possible</w:t>
                      </w:r>
                      <w:r w:rsidRPr="00364C8A">
                        <w:rPr>
                          <w:rFonts w:ascii="Open Sans" w:eastAsia="Open Sans" w:hAnsi="Open Sans" w:cs="Open Sans"/>
                          <w:sz w:val="20"/>
                          <w:szCs w:val="20"/>
                        </w:rPr>
                        <w:t xml:space="preserve">. </w:t>
                      </w:r>
                    </w:p>
                  </w:txbxContent>
                </v:textbox>
                <w10:wrap type="topAndBottom"/>
              </v:shape>
            </w:pict>
          </mc:Fallback>
        </mc:AlternateContent>
      </w:r>
      <w:r w:rsidR="001961EF">
        <w:rPr>
          <w:rFonts w:ascii="Open Sans" w:eastAsia="Open Sans" w:hAnsi="Open Sans" w:cs="Open Sans"/>
          <w:b/>
          <w:color w:val="06926B"/>
          <w:sz w:val="20"/>
          <w:szCs w:val="20"/>
        </w:rPr>
        <w:t>Date</w:t>
      </w:r>
      <w:r w:rsidR="001961EF">
        <w:rPr>
          <w:rFonts w:ascii="Open Sans" w:eastAsia="Open Sans" w:hAnsi="Open Sans" w:cs="Open Sans"/>
          <w:color w:val="06926B"/>
          <w:sz w:val="20"/>
          <w:szCs w:val="20"/>
        </w:rPr>
        <w:t xml:space="preserve">: </w:t>
      </w:r>
      <w:r w:rsidR="001961EF">
        <w:rPr>
          <w:rFonts w:ascii="Open Sans" w:eastAsia="Open Sans" w:hAnsi="Open Sans" w:cs="Open Sans"/>
          <w:sz w:val="20"/>
          <w:szCs w:val="20"/>
        </w:rPr>
        <w:tab/>
      </w:r>
      <w:r w:rsidR="001961EF">
        <w:rPr>
          <w:rFonts w:ascii="Open Sans" w:eastAsia="Open Sans" w:hAnsi="Open Sans" w:cs="Open Sans"/>
          <w:sz w:val="20"/>
          <w:szCs w:val="20"/>
        </w:rPr>
        <w:tab/>
      </w:r>
      <w:r w:rsidR="00880082">
        <w:rPr>
          <w:rFonts w:ascii="Open Sans" w:eastAsia="Open Sans" w:hAnsi="Open Sans" w:cs="Open Sans"/>
          <w:sz w:val="20"/>
          <w:szCs w:val="20"/>
        </w:rPr>
        <w:t>31</w:t>
      </w:r>
      <w:r w:rsidR="00880082" w:rsidRPr="00880082">
        <w:rPr>
          <w:rFonts w:ascii="Open Sans" w:eastAsia="Open Sans" w:hAnsi="Open Sans" w:cs="Open Sans"/>
          <w:sz w:val="20"/>
          <w:szCs w:val="20"/>
          <w:vertAlign w:val="superscript"/>
        </w:rPr>
        <w:t>st</w:t>
      </w:r>
      <w:r w:rsidR="00880082">
        <w:rPr>
          <w:rFonts w:ascii="Open Sans" w:eastAsia="Open Sans" w:hAnsi="Open Sans" w:cs="Open Sans"/>
          <w:sz w:val="20"/>
          <w:szCs w:val="20"/>
        </w:rPr>
        <w:t xml:space="preserve"> </w:t>
      </w:r>
      <w:r w:rsidR="001961EF">
        <w:rPr>
          <w:rFonts w:ascii="Open Sans" w:eastAsia="Open Sans" w:hAnsi="Open Sans" w:cs="Open Sans"/>
          <w:sz w:val="20"/>
          <w:szCs w:val="20"/>
        </w:rPr>
        <w:t xml:space="preserve">October 2022 </w:t>
      </w:r>
    </w:p>
    <w:p w14:paraId="4E589B98" w14:textId="0737CA61" w:rsidR="00B370FD" w:rsidRDefault="00B370FD" w:rsidP="00880082">
      <w:pPr>
        <w:pBdr>
          <w:top w:val="nil"/>
          <w:left w:val="nil"/>
          <w:bottom w:val="nil"/>
          <w:right w:val="nil"/>
          <w:between w:val="nil"/>
        </w:pBdr>
        <w:spacing w:before="120" w:after="120" w:line="240" w:lineRule="auto"/>
        <w:rPr>
          <w:rFonts w:ascii="Open Sans" w:eastAsia="Open Sans" w:hAnsi="Open Sans" w:cs="Open Sans"/>
          <w:b/>
          <w:sz w:val="20"/>
          <w:szCs w:val="20"/>
        </w:rPr>
      </w:pPr>
    </w:p>
    <w:p w14:paraId="3855EB43" w14:textId="56A13625" w:rsidR="00B370FD" w:rsidRDefault="001961EF" w:rsidP="00880082">
      <w:pPr>
        <w:numPr>
          <w:ilvl w:val="0"/>
          <w:numId w:val="2"/>
        </w:numPr>
        <w:pBdr>
          <w:top w:val="nil"/>
          <w:left w:val="nil"/>
          <w:bottom w:val="nil"/>
          <w:right w:val="nil"/>
          <w:between w:val="nil"/>
        </w:pBdr>
        <w:spacing w:before="120" w:after="120" w:line="240" w:lineRule="auto"/>
        <w:rPr>
          <w:rFonts w:ascii="Open Sans" w:eastAsia="Open Sans" w:hAnsi="Open Sans" w:cs="Open Sans"/>
          <w:b/>
          <w:color w:val="06926B"/>
          <w:sz w:val="20"/>
          <w:szCs w:val="20"/>
        </w:rPr>
      </w:pPr>
      <w:r>
        <w:rPr>
          <w:rFonts w:ascii="Open Sans" w:eastAsia="Open Sans" w:hAnsi="Open Sans" w:cs="Open Sans"/>
          <w:b/>
          <w:color w:val="06926B"/>
          <w:sz w:val="20"/>
          <w:szCs w:val="20"/>
        </w:rPr>
        <w:t xml:space="preserve">Summary </w:t>
      </w:r>
      <w:r w:rsidR="00F90259">
        <w:rPr>
          <w:rFonts w:ascii="Open Sans" w:eastAsia="Open Sans" w:hAnsi="Open Sans" w:cs="Open Sans"/>
          <w:b/>
          <w:color w:val="06926B"/>
          <w:sz w:val="20"/>
          <w:szCs w:val="20"/>
        </w:rPr>
        <w:t>p</w:t>
      </w:r>
      <w:r>
        <w:rPr>
          <w:rFonts w:ascii="Open Sans" w:eastAsia="Open Sans" w:hAnsi="Open Sans" w:cs="Open Sans"/>
          <w:b/>
          <w:color w:val="06926B"/>
          <w:sz w:val="20"/>
          <w:szCs w:val="20"/>
        </w:rPr>
        <w:t xml:space="preserve">osition on </w:t>
      </w:r>
      <w:r w:rsidR="00F90259">
        <w:rPr>
          <w:rFonts w:ascii="Open Sans" w:eastAsia="Open Sans" w:hAnsi="Open Sans" w:cs="Open Sans"/>
          <w:b/>
          <w:color w:val="06926B"/>
          <w:sz w:val="20"/>
          <w:szCs w:val="20"/>
        </w:rPr>
        <w:t>hydrogen for d</w:t>
      </w:r>
      <w:r>
        <w:rPr>
          <w:rFonts w:ascii="Open Sans" w:eastAsia="Open Sans" w:hAnsi="Open Sans" w:cs="Open Sans"/>
          <w:b/>
          <w:color w:val="06926B"/>
          <w:sz w:val="20"/>
          <w:szCs w:val="20"/>
        </w:rPr>
        <w:t xml:space="preserve">omestic </w:t>
      </w:r>
      <w:r w:rsidR="00F90259">
        <w:rPr>
          <w:rFonts w:ascii="Open Sans" w:eastAsia="Open Sans" w:hAnsi="Open Sans" w:cs="Open Sans"/>
          <w:b/>
          <w:color w:val="06926B"/>
          <w:sz w:val="20"/>
          <w:szCs w:val="20"/>
        </w:rPr>
        <w:t>h</w:t>
      </w:r>
      <w:r>
        <w:rPr>
          <w:rFonts w:ascii="Open Sans" w:eastAsia="Open Sans" w:hAnsi="Open Sans" w:cs="Open Sans"/>
          <w:b/>
          <w:color w:val="06926B"/>
          <w:sz w:val="20"/>
          <w:szCs w:val="20"/>
        </w:rPr>
        <w:t>eat</w:t>
      </w:r>
    </w:p>
    <w:p w14:paraId="174413EF" w14:textId="38335491" w:rsidR="007F3933" w:rsidRDefault="007F3933" w:rsidP="00880082">
      <w:pPr>
        <w:pBdr>
          <w:top w:val="nil"/>
          <w:left w:val="nil"/>
          <w:bottom w:val="nil"/>
          <w:right w:val="nil"/>
          <w:between w:val="nil"/>
        </w:pBdr>
        <w:spacing w:before="120" w:after="120" w:line="240" w:lineRule="auto"/>
        <w:rPr>
          <w:rFonts w:ascii="Open Sans" w:eastAsia="Open Sans" w:hAnsi="Open Sans" w:cs="Open Sans"/>
          <w:sz w:val="20"/>
          <w:szCs w:val="20"/>
        </w:rPr>
      </w:pPr>
      <w:r w:rsidRPr="007F3933">
        <w:rPr>
          <w:rFonts w:ascii="Open Sans" w:eastAsia="Open Sans" w:hAnsi="Open Sans" w:cs="Open Sans"/>
          <w:sz w:val="20"/>
          <w:szCs w:val="20"/>
        </w:rPr>
        <w:t>The REA have always supported the use of the right heat technology in the right situation. With this in mind, where other low carbon heat options may not be viable or optimal, then we recognise the</w:t>
      </w:r>
      <w:r w:rsidR="00472EFA">
        <w:rPr>
          <w:rFonts w:ascii="Open Sans" w:eastAsia="Open Sans" w:hAnsi="Open Sans" w:cs="Open Sans"/>
          <w:sz w:val="20"/>
          <w:szCs w:val="20"/>
        </w:rPr>
        <w:t>re</w:t>
      </w:r>
      <w:r w:rsidRPr="007F3933">
        <w:rPr>
          <w:rFonts w:ascii="Open Sans" w:eastAsia="Open Sans" w:hAnsi="Open Sans" w:cs="Open Sans"/>
          <w:sz w:val="20"/>
          <w:szCs w:val="20"/>
        </w:rPr>
        <w:t xml:space="preserve"> may</w:t>
      </w:r>
      <w:r w:rsidR="00472EFA">
        <w:rPr>
          <w:rFonts w:ascii="Open Sans" w:eastAsia="Open Sans" w:hAnsi="Open Sans" w:cs="Open Sans"/>
          <w:sz w:val="20"/>
          <w:szCs w:val="20"/>
        </w:rPr>
        <w:t xml:space="preserve"> </w:t>
      </w:r>
      <w:r w:rsidRPr="007F3933">
        <w:rPr>
          <w:rFonts w:ascii="Open Sans" w:eastAsia="Open Sans" w:hAnsi="Open Sans" w:cs="Open Sans"/>
          <w:sz w:val="20"/>
          <w:szCs w:val="20"/>
        </w:rPr>
        <w:t>be a role for hydrogen in domestic heating.</w:t>
      </w:r>
    </w:p>
    <w:p w14:paraId="581FA2A6" w14:textId="5B84F8A7" w:rsidR="00B370FD" w:rsidRDefault="001961EF" w:rsidP="00880082">
      <w:pPr>
        <w:pBdr>
          <w:top w:val="nil"/>
          <w:left w:val="nil"/>
          <w:bottom w:val="nil"/>
          <w:right w:val="nil"/>
          <w:between w:val="nil"/>
        </w:pBd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Overall, the REA supports hydrogen in domestic heat in </w:t>
      </w:r>
      <w:r w:rsidR="00880082">
        <w:rPr>
          <w:rFonts w:ascii="Open Sans" w:eastAsia="Open Sans" w:hAnsi="Open Sans" w:cs="Open Sans"/>
          <w:sz w:val="20"/>
          <w:szCs w:val="20"/>
        </w:rPr>
        <w:t xml:space="preserve">existing </w:t>
      </w:r>
      <w:r>
        <w:rPr>
          <w:rFonts w:ascii="Open Sans" w:eastAsia="Open Sans" w:hAnsi="Open Sans" w:cs="Open Sans"/>
          <w:sz w:val="20"/>
          <w:szCs w:val="20"/>
        </w:rPr>
        <w:t xml:space="preserve">properties on the gas grid where other low-carbon heating options are not viable. </w:t>
      </w:r>
    </w:p>
    <w:p w14:paraId="7B3D7C53" w14:textId="7B1AC1B1" w:rsidR="00B370FD" w:rsidRDefault="001961EF" w:rsidP="00880082">
      <w:pPr>
        <w:pBdr>
          <w:top w:val="nil"/>
          <w:left w:val="nil"/>
          <w:bottom w:val="nil"/>
          <w:right w:val="nil"/>
          <w:between w:val="nil"/>
        </w:pBdr>
        <w:spacing w:before="120" w:after="120" w:line="240" w:lineRule="auto"/>
        <w:rPr>
          <w:rFonts w:ascii="Open Sans" w:eastAsia="Open Sans" w:hAnsi="Open Sans" w:cs="Open Sans"/>
          <w:sz w:val="20"/>
          <w:szCs w:val="20"/>
        </w:rPr>
        <w:sectPr w:rsidR="00B370FD">
          <w:headerReference w:type="even" r:id="rId12"/>
          <w:headerReference w:type="default" r:id="rId13"/>
          <w:footerReference w:type="even" r:id="rId14"/>
          <w:footerReference w:type="default" r:id="rId15"/>
          <w:headerReference w:type="first" r:id="rId16"/>
          <w:footerReference w:type="first" r:id="rId17"/>
          <w:pgSz w:w="11906" w:h="16838"/>
          <w:pgMar w:top="144" w:right="1274" w:bottom="0" w:left="1080" w:header="0" w:footer="0" w:gutter="0"/>
          <w:pgNumType w:start="1"/>
          <w:cols w:space="720"/>
        </w:sectPr>
      </w:pPr>
      <w:r>
        <w:rPr>
          <w:rFonts w:ascii="Open Sans" w:eastAsia="Open Sans" w:hAnsi="Open Sans" w:cs="Open Sans"/>
          <w:sz w:val="20"/>
          <w:szCs w:val="20"/>
        </w:rPr>
        <w:t xml:space="preserve">Our </w:t>
      </w:r>
      <w:hyperlink r:id="rId18">
        <w:r>
          <w:rPr>
            <w:rFonts w:ascii="Open Sans" w:eastAsia="Open Sans" w:hAnsi="Open Sans" w:cs="Open Sans"/>
            <w:color w:val="0000FF"/>
            <w:sz w:val="20"/>
            <w:szCs w:val="20"/>
            <w:u w:val="single"/>
          </w:rPr>
          <w:t>position statement</w:t>
        </w:r>
      </w:hyperlink>
      <w:r>
        <w:rPr>
          <w:rFonts w:ascii="Open Sans" w:eastAsia="Open Sans" w:hAnsi="Open Sans" w:cs="Open Sans"/>
          <w:sz w:val="20"/>
          <w:szCs w:val="20"/>
        </w:rPr>
        <w:t xml:space="preserve">  on hydrogen states that ‘we believe hydrogen will play a role to decarbonise domestic heat, especially where other already established low-carbon options are not viable. There are other various forms of renewable heat generation (biomethane, solar thermal, heat pumps, biomass, biopropane and other bioenergy) which the REA continues to support and given the scale of the decarbonisation challenge, it is clear that a combination of technologies will be needed</w:t>
      </w:r>
      <w:r w:rsidR="00880082">
        <w:rPr>
          <w:rFonts w:ascii="Open Sans" w:eastAsia="Open Sans" w:hAnsi="Open Sans" w:cs="Open Sans"/>
          <w:sz w:val="20"/>
          <w:szCs w:val="20"/>
        </w:rPr>
        <w:t>. T</w:t>
      </w:r>
      <w:r>
        <w:rPr>
          <w:rFonts w:ascii="Open Sans" w:eastAsia="Open Sans" w:hAnsi="Open Sans" w:cs="Open Sans"/>
          <w:sz w:val="20"/>
          <w:szCs w:val="20"/>
        </w:rPr>
        <w:t>he REA very much believes in a truly multi-technology approach. We also think that there could be a strong role for hybrid systems, which use a heat pump most of the time, but then switch to (green) gas during stress periods.</w:t>
      </w:r>
      <w:r w:rsidR="007265D8">
        <w:rPr>
          <w:rFonts w:ascii="Open Sans" w:eastAsia="Open Sans" w:hAnsi="Open Sans" w:cs="Open Sans"/>
          <w:sz w:val="20"/>
          <w:szCs w:val="20"/>
        </w:rPr>
        <w:t>’</w:t>
      </w:r>
    </w:p>
    <w:p w14:paraId="00D77CE2" w14:textId="77777777" w:rsidR="00B370FD" w:rsidRDefault="00B370FD" w:rsidP="00880082">
      <w:pPr>
        <w:pBdr>
          <w:top w:val="nil"/>
          <w:left w:val="nil"/>
          <w:bottom w:val="nil"/>
          <w:right w:val="nil"/>
          <w:between w:val="nil"/>
        </w:pBdr>
        <w:spacing w:before="120" w:after="120" w:line="240" w:lineRule="auto"/>
        <w:rPr>
          <w:rFonts w:ascii="Open Sans" w:eastAsia="Open Sans" w:hAnsi="Open Sans" w:cs="Open Sans"/>
          <w:b/>
          <w:sz w:val="20"/>
          <w:szCs w:val="20"/>
        </w:rPr>
      </w:pPr>
    </w:p>
    <w:p w14:paraId="65DE9FF9" w14:textId="2ABC1957" w:rsidR="00B370FD" w:rsidRDefault="001961EF" w:rsidP="00880082">
      <w:pPr>
        <w:numPr>
          <w:ilvl w:val="0"/>
          <w:numId w:val="2"/>
        </w:numPr>
        <w:pBdr>
          <w:top w:val="nil"/>
          <w:left w:val="nil"/>
          <w:bottom w:val="nil"/>
          <w:right w:val="nil"/>
          <w:between w:val="nil"/>
        </w:pBdr>
        <w:spacing w:before="120" w:after="120" w:line="240" w:lineRule="auto"/>
        <w:rPr>
          <w:rFonts w:ascii="Open Sans" w:eastAsia="Open Sans" w:hAnsi="Open Sans" w:cs="Open Sans"/>
          <w:b/>
          <w:color w:val="06926B"/>
          <w:sz w:val="20"/>
          <w:szCs w:val="20"/>
        </w:rPr>
      </w:pPr>
      <w:r>
        <w:rPr>
          <w:rFonts w:ascii="Open Sans" w:eastAsia="Open Sans" w:hAnsi="Open Sans" w:cs="Open Sans"/>
          <w:b/>
          <w:color w:val="06926B"/>
          <w:sz w:val="20"/>
          <w:szCs w:val="20"/>
        </w:rPr>
        <w:t xml:space="preserve">Infrastructure and </w:t>
      </w:r>
      <w:r w:rsidR="00F90259">
        <w:rPr>
          <w:rFonts w:ascii="Open Sans" w:eastAsia="Open Sans" w:hAnsi="Open Sans" w:cs="Open Sans"/>
          <w:b/>
          <w:color w:val="06926B"/>
          <w:sz w:val="20"/>
          <w:szCs w:val="20"/>
        </w:rPr>
        <w:t>z</w:t>
      </w:r>
      <w:r>
        <w:rPr>
          <w:rFonts w:ascii="Open Sans" w:eastAsia="Open Sans" w:hAnsi="Open Sans" w:cs="Open Sans"/>
          <w:b/>
          <w:color w:val="06926B"/>
          <w:sz w:val="20"/>
          <w:szCs w:val="20"/>
        </w:rPr>
        <w:t>oning</w:t>
      </w:r>
    </w:p>
    <w:p w14:paraId="7FCD1025" w14:textId="4E390BE4" w:rsidR="00880082" w:rsidRDefault="001961EF" w:rsidP="00880082">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As specified in our </w:t>
      </w:r>
      <w:hyperlink r:id="rId19">
        <w:r>
          <w:rPr>
            <w:rFonts w:ascii="Open Sans" w:eastAsia="Open Sans" w:hAnsi="Open Sans" w:cs="Open Sans"/>
            <w:color w:val="0000FF"/>
            <w:sz w:val="20"/>
            <w:szCs w:val="20"/>
            <w:u w:val="single"/>
          </w:rPr>
          <w:t>response</w:t>
        </w:r>
      </w:hyperlink>
      <w:r>
        <w:rPr>
          <w:rFonts w:ascii="Open Sans" w:eastAsia="Open Sans" w:hAnsi="Open Sans" w:cs="Open Sans"/>
          <w:sz w:val="20"/>
          <w:szCs w:val="20"/>
        </w:rPr>
        <w:t xml:space="preserve"> to BEIS ‘</w:t>
      </w:r>
      <w:r w:rsidRPr="00880082">
        <w:rPr>
          <w:rFonts w:ascii="Open Sans" w:eastAsia="Open Sans" w:hAnsi="Open Sans" w:cs="Open Sans"/>
          <w:i/>
          <w:iCs/>
          <w:sz w:val="20"/>
          <w:szCs w:val="20"/>
        </w:rPr>
        <w:t>Call for Evidence: Enabling or requiring hydrogen-ready industrial boiler equipment</w:t>
      </w:r>
      <w:r>
        <w:rPr>
          <w:rFonts w:ascii="Open Sans" w:eastAsia="Open Sans" w:hAnsi="Open Sans" w:cs="Open Sans"/>
          <w:sz w:val="20"/>
          <w:szCs w:val="20"/>
        </w:rPr>
        <w:t xml:space="preserve">’, the  REA supports introducing a “hydrogen zoning approach” similar to that being adopted for heat networks. This could for example enable zones to be identified and designated by a relevant authority in conjunction with the relevant local stakeholders where the likelihood of hydrogen delivery is high and hydrogen is the only cost effective and technically feasible solution (e.g. delivering the greatest </w:t>
      </w:r>
      <w:r w:rsidR="00880082">
        <w:rPr>
          <w:rFonts w:ascii="Open Sans" w:eastAsia="Open Sans" w:hAnsi="Open Sans" w:cs="Open Sans"/>
          <w:sz w:val="20"/>
          <w:szCs w:val="20"/>
        </w:rPr>
        <w:t>greenhouse gas emission</w:t>
      </w:r>
      <w:r>
        <w:rPr>
          <w:rFonts w:ascii="Open Sans" w:eastAsia="Open Sans" w:hAnsi="Open Sans" w:cs="Open Sans"/>
          <w:sz w:val="20"/>
          <w:szCs w:val="20"/>
        </w:rPr>
        <w:t xml:space="preserve"> savings at the lowest costs to consumers). A similar approach was also recently recommended in the </w:t>
      </w:r>
      <w:hyperlink r:id="rId20">
        <w:r>
          <w:rPr>
            <w:rFonts w:ascii="Open Sans" w:eastAsia="Open Sans" w:hAnsi="Open Sans" w:cs="Open Sans"/>
            <w:color w:val="0000FF"/>
            <w:sz w:val="20"/>
            <w:szCs w:val="20"/>
            <w:u w:val="single"/>
          </w:rPr>
          <w:t>report</w:t>
        </w:r>
      </w:hyperlink>
      <w:r>
        <w:rPr>
          <w:rFonts w:ascii="Open Sans" w:eastAsia="Open Sans" w:hAnsi="Open Sans" w:cs="Open Sans"/>
          <w:sz w:val="20"/>
          <w:szCs w:val="20"/>
        </w:rPr>
        <w:t xml:space="preserve"> </w:t>
      </w:r>
      <w:r w:rsidRPr="00FC4F97">
        <w:rPr>
          <w:rFonts w:ascii="Open Sans" w:eastAsia="Open Sans" w:hAnsi="Open Sans" w:cs="Open Sans"/>
          <w:i/>
          <w:iCs/>
          <w:sz w:val="20"/>
          <w:szCs w:val="20"/>
        </w:rPr>
        <w:t>‘Pathways for local heat delivery’</w:t>
      </w:r>
      <w:r>
        <w:rPr>
          <w:rFonts w:ascii="Open Sans" w:eastAsia="Open Sans" w:hAnsi="Open Sans" w:cs="Open Sans"/>
          <w:sz w:val="20"/>
          <w:szCs w:val="20"/>
        </w:rPr>
        <w:t xml:space="preserve"> published by the University of Birmingham in partnership with the Energy Research Accelerator. </w:t>
      </w:r>
      <w:r w:rsidR="00880082">
        <w:rPr>
          <w:rFonts w:ascii="Open Sans" w:eastAsia="Open Sans" w:hAnsi="Open Sans" w:cs="Open Sans"/>
          <w:sz w:val="20"/>
          <w:szCs w:val="20"/>
        </w:rPr>
        <w:t xml:space="preserve">It is worth highlighting that the Climate Change Committee’s Independent </w:t>
      </w:r>
      <w:hyperlink r:id="rId21" w:history="1">
        <w:r w:rsidR="00880082" w:rsidRPr="000A2684">
          <w:rPr>
            <w:rStyle w:val="Hyperlink"/>
            <w:rFonts w:ascii="Open Sans" w:eastAsia="Open Sans" w:hAnsi="Open Sans" w:cs="Open Sans"/>
            <w:sz w:val="20"/>
            <w:szCs w:val="20"/>
          </w:rPr>
          <w:t>Assessment</w:t>
        </w:r>
      </w:hyperlink>
      <w:r w:rsidR="00880082">
        <w:rPr>
          <w:rFonts w:ascii="Open Sans" w:eastAsia="Open Sans" w:hAnsi="Open Sans" w:cs="Open Sans"/>
          <w:sz w:val="20"/>
          <w:szCs w:val="20"/>
        </w:rPr>
        <w:t xml:space="preserve"> of the UK’s Heat and Buildings Strategy state that ‘</w:t>
      </w:r>
      <w:r w:rsidR="00880082" w:rsidRPr="009D73E8">
        <w:rPr>
          <w:rFonts w:ascii="Open Sans" w:eastAsia="Open Sans" w:hAnsi="Open Sans" w:cs="Open Sans"/>
          <w:i/>
          <w:iCs/>
          <w:sz w:val="20"/>
          <w:szCs w:val="20"/>
        </w:rPr>
        <w:t>As well as determining the feasibility of, and best locations for, using hydrogen, ruling out specific low-carbon heating options for areas which are poorly suited will help local authorities and the private sector to plan and invest. We recommended in our Progress Report in June last year that Ofgem and BEIS identify areas which are unlikely to be suitable for hydrogen, allowing these areas to prioritise electrification or other alternative sources of low-carbon heat. This has not yet occurred.’</w:t>
      </w:r>
      <w:r w:rsidR="00880082">
        <w:rPr>
          <w:rFonts w:ascii="Open Sans" w:eastAsia="Open Sans" w:hAnsi="Open Sans" w:cs="Open Sans"/>
          <w:i/>
          <w:iCs/>
          <w:sz w:val="20"/>
          <w:szCs w:val="20"/>
        </w:rPr>
        <w:t xml:space="preserve"> </w:t>
      </w:r>
      <w:r w:rsidR="00880082">
        <w:rPr>
          <w:rFonts w:ascii="Open Sans" w:eastAsia="Open Sans" w:hAnsi="Open Sans" w:cs="Open Sans"/>
          <w:sz w:val="20"/>
          <w:szCs w:val="20"/>
        </w:rPr>
        <w:t xml:space="preserve"> This approach is </w:t>
      </w:r>
      <w:r w:rsidR="00FC4F97">
        <w:rPr>
          <w:rFonts w:ascii="Open Sans" w:eastAsia="Open Sans" w:hAnsi="Open Sans" w:cs="Open Sans"/>
          <w:sz w:val="20"/>
          <w:szCs w:val="20"/>
        </w:rPr>
        <w:t xml:space="preserve">similar to </w:t>
      </w:r>
      <w:r w:rsidR="00880082">
        <w:rPr>
          <w:rFonts w:ascii="Open Sans" w:eastAsia="Open Sans" w:hAnsi="Open Sans" w:cs="Open Sans"/>
          <w:sz w:val="20"/>
          <w:szCs w:val="20"/>
        </w:rPr>
        <w:t xml:space="preserve">the suggestion on zoning we gave above. </w:t>
      </w:r>
    </w:p>
    <w:p w14:paraId="7D8A0B75" w14:textId="77777777" w:rsidR="00997156" w:rsidRPr="009D73E8" w:rsidRDefault="00997156" w:rsidP="00880082">
      <w:pPr>
        <w:spacing w:before="120" w:after="120" w:line="240" w:lineRule="auto"/>
        <w:rPr>
          <w:rFonts w:ascii="Open Sans" w:eastAsia="Open Sans" w:hAnsi="Open Sans" w:cs="Open Sans"/>
          <w:sz w:val="20"/>
          <w:szCs w:val="20"/>
        </w:rPr>
      </w:pPr>
    </w:p>
    <w:p w14:paraId="5CE15E97" w14:textId="5CDA1DBD" w:rsidR="00B370FD" w:rsidRPr="00997156" w:rsidRDefault="00FC4F97" w:rsidP="00997156">
      <w:pPr>
        <w:numPr>
          <w:ilvl w:val="0"/>
          <w:numId w:val="2"/>
        </w:numPr>
        <w:pBdr>
          <w:top w:val="nil"/>
          <w:left w:val="nil"/>
          <w:bottom w:val="nil"/>
          <w:right w:val="nil"/>
          <w:between w:val="nil"/>
        </w:pBdr>
        <w:spacing w:before="120" w:after="120" w:line="240" w:lineRule="auto"/>
        <w:rPr>
          <w:rFonts w:ascii="Open Sans" w:eastAsia="Open Sans" w:hAnsi="Open Sans" w:cs="Open Sans"/>
          <w:b/>
          <w:color w:val="06926B"/>
          <w:sz w:val="20"/>
          <w:szCs w:val="20"/>
        </w:rPr>
      </w:pPr>
      <w:r>
        <w:rPr>
          <w:rFonts w:ascii="Open Sans" w:eastAsia="Open Sans" w:hAnsi="Open Sans" w:cs="Open Sans"/>
          <w:b/>
          <w:color w:val="06926B"/>
          <w:sz w:val="20"/>
          <w:szCs w:val="20"/>
        </w:rPr>
        <w:lastRenderedPageBreak/>
        <w:t xml:space="preserve">REA </w:t>
      </w:r>
      <w:r w:rsidR="00F90259">
        <w:rPr>
          <w:rFonts w:ascii="Open Sans" w:eastAsia="Open Sans" w:hAnsi="Open Sans" w:cs="Open Sans"/>
          <w:b/>
          <w:color w:val="06926B"/>
          <w:sz w:val="20"/>
          <w:szCs w:val="20"/>
        </w:rPr>
        <w:t>p</w:t>
      </w:r>
      <w:r>
        <w:rPr>
          <w:rFonts w:ascii="Open Sans" w:eastAsia="Open Sans" w:hAnsi="Open Sans" w:cs="Open Sans"/>
          <w:b/>
          <w:color w:val="06926B"/>
          <w:sz w:val="20"/>
          <w:szCs w:val="20"/>
        </w:rPr>
        <w:t xml:space="preserve">olicy </w:t>
      </w:r>
      <w:r w:rsidR="00F90259">
        <w:rPr>
          <w:rFonts w:ascii="Open Sans" w:eastAsia="Open Sans" w:hAnsi="Open Sans" w:cs="Open Sans"/>
          <w:b/>
          <w:color w:val="06926B"/>
          <w:sz w:val="20"/>
          <w:szCs w:val="20"/>
        </w:rPr>
        <w:t>a</w:t>
      </w:r>
      <w:r>
        <w:rPr>
          <w:rFonts w:ascii="Open Sans" w:eastAsia="Open Sans" w:hAnsi="Open Sans" w:cs="Open Sans"/>
          <w:b/>
          <w:color w:val="06926B"/>
          <w:sz w:val="20"/>
          <w:szCs w:val="20"/>
        </w:rPr>
        <w:t>sks</w:t>
      </w:r>
      <w:r w:rsidRPr="00FC4F97">
        <w:rPr>
          <w:rFonts w:ascii="Open Sans" w:eastAsia="Open Sans" w:hAnsi="Open Sans" w:cs="Open Sans"/>
          <w:b/>
          <w:color w:val="06926B"/>
          <w:sz w:val="20"/>
          <w:szCs w:val="20"/>
        </w:rPr>
        <w:t xml:space="preserve"> on</w:t>
      </w:r>
      <w:r w:rsidRPr="00997156">
        <w:rPr>
          <w:rFonts w:ascii="Open Sans" w:eastAsia="Open Sans" w:hAnsi="Open Sans" w:cs="Open Sans"/>
          <w:b/>
          <w:color w:val="06926B"/>
          <w:sz w:val="20"/>
          <w:szCs w:val="20"/>
        </w:rPr>
        <w:t xml:space="preserve"> </w:t>
      </w:r>
      <w:r w:rsidR="00F90259">
        <w:rPr>
          <w:rFonts w:ascii="Open Sans" w:eastAsia="Open Sans" w:hAnsi="Open Sans" w:cs="Open Sans"/>
          <w:b/>
          <w:color w:val="06926B"/>
          <w:sz w:val="20"/>
          <w:szCs w:val="20"/>
        </w:rPr>
        <w:t>h</w:t>
      </w:r>
      <w:r w:rsidR="001961EF">
        <w:rPr>
          <w:rFonts w:ascii="Open Sans" w:eastAsia="Open Sans" w:hAnsi="Open Sans" w:cs="Open Sans"/>
          <w:b/>
          <w:color w:val="06926B"/>
          <w:sz w:val="20"/>
          <w:szCs w:val="20"/>
        </w:rPr>
        <w:t xml:space="preserve">ydrogen </w:t>
      </w:r>
      <w:r>
        <w:rPr>
          <w:rFonts w:ascii="Open Sans" w:eastAsia="Open Sans" w:hAnsi="Open Sans" w:cs="Open Sans"/>
          <w:b/>
          <w:color w:val="06926B"/>
          <w:sz w:val="20"/>
          <w:szCs w:val="20"/>
        </w:rPr>
        <w:t xml:space="preserve">for </w:t>
      </w:r>
      <w:r w:rsidR="00F90259">
        <w:rPr>
          <w:rFonts w:ascii="Open Sans" w:eastAsia="Open Sans" w:hAnsi="Open Sans" w:cs="Open Sans"/>
          <w:b/>
          <w:color w:val="06926B"/>
          <w:sz w:val="20"/>
          <w:szCs w:val="20"/>
        </w:rPr>
        <w:t>h</w:t>
      </w:r>
      <w:r w:rsidR="001961EF">
        <w:rPr>
          <w:rFonts w:ascii="Open Sans" w:eastAsia="Open Sans" w:hAnsi="Open Sans" w:cs="Open Sans"/>
          <w:b/>
          <w:color w:val="06926B"/>
          <w:sz w:val="20"/>
          <w:szCs w:val="20"/>
        </w:rPr>
        <w:t>eat</w:t>
      </w:r>
      <w:r>
        <w:rPr>
          <w:rFonts w:ascii="Open Sans" w:eastAsia="Open Sans" w:hAnsi="Open Sans" w:cs="Open Sans"/>
          <w:b/>
          <w:color w:val="06926B"/>
          <w:sz w:val="20"/>
          <w:szCs w:val="20"/>
        </w:rPr>
        <w:t>ing</w:t>
      </w:r>
    </w:p>
    <w:p w14:paraId="1A6608EC" w14:textId="37F9D3E0" w:rsidR="00FC4F97" w:rsidRDefault="00FC4F97" w:rsidP="00880082">
      <w:pPr>
        <w:tabs>
          <w:tab w:val="left" w:pos="0"/>
        </w:tabs>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The gas network will face a transformation with the move to hydrogen, the extent of which will depend on the Government decision on the role of hydrogen for decarbonising domestic heat. Visibility on this decision as soon as possible will enable the gas networks to invest into the necessary conversion of existing infrastructure, or construction of new infrastructure.  </w:t>
      </w:r>
    </w:p>
    <w:p w14:paraId="48571117" w14:textId="7A91A3B5" w:rsidR="00ED68C2" w:rsidRPr="00ED68C2" w:rsidRDefault="00ED68C2" w:rsidP="00ED68C2">
      <w:pPr>
        <w:tabs>
          <w:tab w:val="left" w:pos="0"/>
        </w:tabs>
        <w:spacing w:before="120" w:after="120" w:line="240" w:lineRule="auto"/>
        <w:rPr>
          <w:rFonts w:ascii="Open Sans" w:eastAsia="Open Sans" w:hAnsi="Open Sans" w:cs="Open Sans"/>
          <w:sz w:val="20"/>
          <w:szCs w:val="20"/>
        </w:rPr>
      </w:pPr>
      <w:r w:rsidRPr="00ED68C2">
        <w:rPr>
          <w:rFonts w:ascii="Open Sans" w:eastAsia="Open Sans" w:hAnsi="Open Sans" w:cs="Open Sans"/>
          <w:sz w:val="20"/>
          <w:szCs w:val="20"/>
        </w:rPr>
        <w:t xml:space="preserve">A decision </w:t>
      </w:r>
      <w:r w:rsidR="00CF222B" w:rsidRPr="00ED68C2">
        <w:rPr>
          <w:rFonts w:ascii="Open Sans" w:eastAsia="Open Sans" w:hAnsi="Open Sans" w:cs="Open Sans"/>
          <w:sz w:val="20"/>
          <w:szCs w:val="20"/>
        </w:rPr>
        <w:t xml:space="preserve">on </w:t>
      </w:r>
      <w:r w:rsidR="00CF222B">
        <w:rPr>
          <w:rFonts w:ascii="Open Sans" w:eastAsia="Open Sans" w:hAnsi="Open Sans" w:cs="Open Sans"/>
          <w:sz w:val="20"/>
          <w:szCs w:val="20"/>
        </w:rPr>
        <w:t xml:space="preserve">the role of </w:t>
      </w:r>
      <w:r w:rsidR="00CF222B" w:rsidRPr="00ED68C2">
        <w:rPr>
          <w:rFonts w:ascii="Open Sans" w:eastAsia="Open Sans" w:hAnsi="Open Sans" w:cs="Open Sans"/>
          <w:sz w:val="20"/>
          <w:szCs w:val="20"/>
        </w:rPr>
        <w:t xml:space="preserve">hydrogen for heating homes </w:t>
      </w:r>
      <w:r w:rsidRPr="00ED68C2">
        <w:rPr>
          <w:rFonts w:ascii="Open Sans" w:eastAsia="Open Sans" w:hAnsi="Open Sans" w:cs="Open Sans"/>
          <w:sz w:val="20"/>
          <w:szCs w:val="20"/>
        </w:rPr>
        <w:t>needs to be made as soon as practicably possible</w:t>
      </w:r>
      <w:r>
        <w:rPr>
          <w:rFonts w:ascii="Open Sans" w:eastAsia="Open Sans" w:hAnsi="Open Sans" w:cs="Open Sans"/>
          <w:sz w:val="20"/>
          <w:szCs w:val="20"/>
        </w:rPr>
        <w:t xml:space="preserve">, </w:t>
      </w:r>
      <w:r w:rsidRPr="00ED68C2">
        <w:rPr>
          <w:rFonts w:ascii="Open Sans" w:eastAsia="Open Sans" w:hAnsi="Open Sans" w:cs="Open Sans"/>
          <w:sz w:val="20"/>
          <w:szCs w:val="20"/>
        </w:rPr>
        <w:t>being aware of the 2026 Government target but bearing in mind the urgency of decarbonising the heat sector and moving the UK off volatile international fossil gas supplies.</w:t>
      </w:r>
    </w:p>
    <w:p w14:paraId="4CF6B72C" w14:textId="06CA8830" w:rsidR="00B370FD" w:rsidRDefault="001961EF" w:rsidP="00880082">
      <w:pPr>
        <w:tabs>
          <w:tab w:val="left" w:pos="0"/>
        </w:tabs>
        <w:spacing w:before="120" w:after="120" w:line="240" w:lineRule="auto"/>
        <w:rPr>
          <w:rFonts w:ascii="Open Sans" w:eastAsia="Open Sans" w:hAnsi="Open Sans" w:cs="Open Sans"/>
          <w:sz w:val="20"/>
          <w:szCs w:val="20"/>
        </w:rPr>
      </w:pPr>
      <w:r>
        <w:rPr>
          <w:rFonts w:ascii="Open Sans" w:eastAsia="Open Sans" w:hAnsi="Open Sans" w:cs="Open Sans"/>
          <w:sz w:val="20"/>
          <w:szCs w:val="20"/>
        </w:rPr>
        <w:t>Government</w:t>
      </w:r>
      <w:r w:rsidR="00FC4F97">
        <w:rPr>
          <w:rFonts w:ascii="Open Sans" w:eastAsia="Open Sans" w:hAnsi="Open Sans" w:cs="Open Sans"/>
          <w:sz w:val="20"/>
          <w:szCs w:val="20"/>
        </w:rPr>
        <w:t xml:space="preserve"> </w:t>
      </w:r>
      <w:r w:rsidR="00ED68C2">
        <w:rPr>
          <w:rFonts w:ascii="Open Sans" w:eastAsia="Open Sans" w:hAnsi="Open Sans" w:cs="Open Sans"/>
          <w:sz w:val="20"/>
          <w:szCs w:val="20"/>
        </w:rPr>
        <w:t xml:space="preserve">should </w:t>
      </w:r>
      <w:r>
        <w:rPr>
          <w:rFonts w:ascii="Open Sans" w:eastAsia="Open Sans" w:hAnsi="Open Sans" w:cs="Open Sans"/>
          <w:sz w:val="20"/>
          <w:szCs w:val="20"/>
        </w:rPr>
        <w:t>set out clearly and transparently the framework underpinning this decision. We urge Government to provide industry with visibility on:</w:t>
      </w:r>
    </w:p>
    <w:p w14:paraId="2FDDF78A" w14:textId="4753111F" w:rsidR="00B370FD" w:rsidRDefault="001961EF" w:rsidP="00880082">
      <w:pPr>
        <w:numPr>
          <w:ilvl w:val="0"/>
          <w:numId w:val="1"/>
        </w:numPr>
        <w:tabs>
          <w:tab w:val="left" w:pos="0"/>
        </w:tabs>
        <w:spacing w:before="120" w:after="120" w:line="240" w:lineRule="auto"/>
        <w:rPr>
          <w:rFonts w:ascii="Open Sans" w:eastAsia="Open Sans" w:hAnsi="Open Sans" w:cs="Open Sans"/>
          <w:sz w:val="20"/>
          <w:szCs w:val="20"/>
        </w:rPr>
      </w:pPr>
      <w:r>
        <w:rPr>
          <w:rFonts w:ascii="Open Sans" w:eastAsia="Open Sans" w:hAnsi="Open Sans" w:cs="Open Sans"/>
          <w:sz w:val="20"/>
          <w:szCs w:val="20"/>
        </w:rPr>
        <w:t>what this decision entails</w:t>
      </w:r>
      <w:r w:rsidR="00997156">
        <w:rPr>
          <w:rFonts w:ascii="Open Sans" w:eastAsia="Open Sans" w:hAnsi="Open Sans" w:cs="Open Sans"/>
          <w:sz w:val="20"/>
          <w:szCs w:val="20"/>
        </w:rPr>
        <w:t xml:space="preserve"> </w:t>
      </w:r>
      <w:proofErr w:type="spellStart"/>
      <w:r w:rsidR="00997156">
        <w:rPr>
          <w:rFonts w:ascii="Open Sans" w:eastAsia="Open Sans" w:hAnsi="Open Sans" w:cs="Open Sans"/>
          <w:sz w:val="20"/>
          <w:szCs w:val="20"/>
        </w:rPr>
        <w:t>ie</w:t>
      </w:r>
      <w:proofErr w:type="spellEnd"/>
      <w:r w:rsidR="00997156">
        <w:rPr>
          <w:rFonts w:ascii="Open Sans" w:eastAsia="Open Sans" w:hAnsi="Open Sans" w:cs="Open Sans"/>
          <w:sz w:val="20"/>
          <w:szCs w:val="20"/>
        </w:rPr>
        <w:t xml:space="preserve"> what is the relevant framework underpinning this decision,</w:t>
      </w:r>
    </w:p>
    <w:p w14:paraId="716E39D4" w14:textId="2EA5EE4B" w:rsidR="00B370FD" w:rsidRDefault="001961EF" w:rsidP="00880082">
      <w:pPr>
        <w:numPr>
          <w:ilvl w:val="0"/>
          <w:numId w:val="1"/>
        </w:numPr>
        <w:tabs>
          <w:tab w:val="left" w:pos="0"/>
        </w:tabs>
        <w:spacing w:before="120" w:after="120" w:line="240" w:lineRule="auto"/>
        <w:rPr>
          <w:rFonts w:ascii="Open Sans" w:eastAsia="Open Sans" w:hAnsi="Open Sans" w:cs="Open Sans"/>
          <w:sz w:val="20"/>
          <w:szCs w:val="20"/>
        </w:rPr>
      </w:pPr>
      <w:r>
        <w:rPr>
          <w:rFonts w:ascii="Open Sans" w:eastAsia="Open Sans" w:hAnsi="Open Sans" w:cs="Open Sans"/>
          <w:sz w:val="20"/>
          <w:szCs w:val="20"/>
        </w:rPr>
        <w:t>what is the engagement process leading to a decision being made from BEIS</w:t>
      </w:r>
      <w:r w:rsidR="00997156">
        <w:rPr>
          <w:rFonts w:ascii="Open Sans" w:eastAsia="Open Sans" w:hAnsi="Open Sans" w:cs="Open Sans"/>
          <w:sz w:val="20"/>
          <w:szCs w:val="20"/>
        </w:rPr>
        <w:t>,</w:t>
      </w:r>
      <w:r w:rsidR="00FC4F97">
        <w:rPr>
          <w:rFonts w:ascii="Open Sans" w:eastAsia="Open Sans" w:hAnsi="Open Sans" w:cs="Open Sans"/>
          <w:sz w:val="20"/>
          <w:szCs w:val="20"/>
        </w:rPr>
        <w:t xml:space="preserve"> and</w:t>
      </w:r>
    </w:p>
    <w:p w14:paraId="2CAD6BE8" w14:textId="7F257223" w:rsidR="00B370FD" w:rsidRDefault="001961EF" w:rsidP="00880082">
      <w:pPr>
        <w:numPr>
          <w:ilvl w:val="0"/>
          <w:numId w:val="1"/>
        </w:numPr>
        <w:tabs>
          <w:tab w:val="left" w:pos="0"/>
        </w:tabs>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what industry can do to address any </w:t>
      </w:r>
      <w:r w:rsidR="00997156">
        <w:rPr>
          <w:rFonts w:ascii="Open Sans" w:eastAsia="Open Sans" w:hAnsi="Open Sans" w:cs="Open Sans"/>
          <w:sz w:val="20"/>
          <w:szCs w:val="20"/>
        </w:rPr>
        <w:t xml:space="preserve">remaining </w:t>
      </w:r>
      <w:r>
        <w:rPr>
          <w:rFonts w:ascii="Open Sans" w:eastAsia="Open Sans" w:hAnsi="Open Sans" w:cs="Open Sans"/>
          <w:sz w:val="20"/>
          <w:szCs w:val="20"/>
        </w:rPr>
        <w:t xml:space="preserve">evidence gaps. </w:t>
      </w:r>
    </w:p>
    <w:p w14:paraId="65A60343" w14:textId="77777777" w:rsidR="00F90259" w:rsidRDefault="001961EF" w:rsidP="00F90259">
      <w:pPr>
        <w:spacing w:before="120" w:after="120" w:line="240" w:lineRule="auto"/>
        <w:rPr>
          <w:rFonts w:ascii="Open Sans" w:eastAsia="Open Sans" w:hAnsi="Open Sans" w:cs="Open Sans"/>
          <w:sz w:val="20"/>
          <w:szCs w:val="20"/>
        </w:rPr>
      </w:pPr>
      <w:r>
        <w:t xml:space="preserve">   </w:t>
      </w:r>
    </w:p>
    <w:p w14:paraId="2CD81568" w14:textId="77777777" w:rsidR="00F90259" w:rsidRDefault="00F90259" w:rsidP="00F90259">
      <w:pPr>
        <w:numPr>
          <w:ilvl w:val="0"/>
          <w:numId w:val="2"/>
        </w:numPr>
        <w:spacing w:before="120" w:after="120" w:line="240" w:lineRule="auto"/>
        <w:rPr>
          <w:rFonts w:ascii="Open Sans" w:eastAsia="Open Sans" w:hAnsi="Open Sans" w:cs="Open Sans"/>
          <w:b/>
          <w:color w:val="06926B"/>
          <w:sz w:val="20"/>
          <w:szCs w:val="20"/>
        </w:rPr>
      </w:pPr>
      <w:r>
        <w:rPr>
          <w:rFonts w:ascii="Open Sans" w:eastAsia="Open Sans" w:hAnsi="Open Sans" w:cs="Open Sans"/>
          <w:b/>
          <w:color w:val="06926B"/>
          <w:sz w:val="20"/>
          <w:szCs w:val="20"/>
        </w:rPr>
        <w:t xml:space="preserve">Consumer protection when promoting hydrogen and hydrogen boilers </w:t>
      </w:r>
    </w:p>
    <w:p w14:paraId="78B9F81E" w14:textId="0E420689" w:rsidR="00F90259" w:rsidRDefault="00F90259" w:rsidP="00F9025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In our response to the CMA consultation on consumer protection in the green heating and insulation sector </w:t>
      </w:r>
      <w:r w:rsidRPr="00364C8A">
        <w:rPr>
          <w:rFonts w:ascii="Open Sans" w:eastAsia="Open Sans" w:hAnsi="Open Sans" w:cs="Open Sans"/>
          <w:sz w:val="20"/>
          <w:szCs w:val="20"/>
          <w:highlight w:val="yellow"/>
        </w:rPr>
        <w:t>[embed URL],</w:t>
      </w:r>
      <w:r>
        <w:rPr>
          <w:rFonts w:ascii="Open Sans" w:eastAsia="Open Sans" w:hAnsi="Open Sans" w:cs="Open Sans"/>
          <w:sz w:val="20"/>
          <w:szCs w:val="20"/>
        </w:rPr>
        <w:t xml:space="preserve"> we said that the CMA should also focus on consumer protection for new and innovative technologies such as hydrogen where best practice is still developing. Any labelling and information on gas boilers should not be misleading and should be transparent on the timeframes for hydrogen delivery via the gas grid. It should not lead consumers to make unnecessary purchases or delay the adoption of alternative, mature and available low carbon solutions where these can deliver the greatest greenhouse gas emission savings most cost effectively. </w:t>
      </w:r>
    </w:p>
    <w:p w14:paraId="11707FBA" w14:textId="77777777" w:rsidR="00F90259" w:rsidRDefault="00F90259" w:rsidP="00F9025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Hydrogen information and awareness campaigns should be as targeted as possible e.g. at communities or within areas where hydrogen is likely to be delivered in the future. Where possible they should be run by independent organisations and at the right time to ensure they don’t mislead consumers about the timeframes for hydrogen delivery via the gas networks. </w:t>
      </w:r>
    </w:p>
    <w:p w14:paraId="23E0BA8B" w14:textId="77777777" w:rsidR="00F90259" w:rsidRDefault="00F90259" w:rsidP="00F90259">
      <w:pPr>
        <w:spacing w:before="120" w:after="120" w:line="240" w:lineRule="auto"/>
        <w:rPr>
          <w:rFonts w:ascii="Open Sans" w:eastAsia="Open Sans" w:hAnsi="Open Sans" w:cs="Open Sans"/>
          <w:sz w:val="20"/>
          <w:szCs w:val="20"/>
        </w:rPr>
      </w:pPr>
    </w:p>
    <w:p w14:paraId="7E83D9B9" w14:textId="7F613445" w:rsidR="00B370FD" w:rsidRDefault="00B370FD" w:rsidP="00880082">
      <w:pPr>
        <w:spacing w:before="120" w:after="120" w:line="240" w:lineRule="auto"/>
        <w:rPr>
          <w:rFonts w:ascii="Open Sans" w:eastAsia="Open Sans" w:hAnsi="Open Sans" w:cs="Open Sans"/>
          <w:sz w:val="20"/>
          <w:szCs w:val="20"/>
        </w:rPr>
      </w:pPr>
    </w:p>
    <w:p w14:paraId="234487F8" w14:textId="77777777" w:rsidR="00B370FD" w:rsidRDefault="00B370FD" w:rsidP="00880082">
      <w:pPr>
        <w:spacing w:before="120" w:after="120" w:line="240" w:lineRule="auto"/>
        <w:ind w:left="720"/>
        <w:rPr>
          <w:rFonts w:ascii="Open Sans" w:eastAsia="Open Sans" w:hAnsi="Open Sans" w:cs="Open Sans"/>
          <w:b/>
          <w:sz w:val="20"/>
          <w:szCs w:val="20"/>
        </w:rPr>
      </w:pPr>
    </w:p>
    <w:p w14:paraId="1720EF04" w14:textId="77777777" w:rsidR="00B370FD" w:rsidRDefault="00B370FD" w:rsidP="00880082">
      <w:pPr>
        <w:pBdr>
          <w:top w:val="nil"/>
          <w:left w:val="nil"/>
          <w:bottom w:val="nil"/>
          <w:right w:val="nil"/>
          <w:between w:val="nil"/>
        </w:pBdr>
        <w:spacing w:before="120" w:after="120" w:line="240" w:lineRule="auto"/>
        <w:ind w:left="360"/>
        <w:rPr>
          <w:rFonts w:ascii="Open Sans" w:eastAsia="Open Sans" w:hAnsi="Open Sans" w:cs="Open Sans"/>
          <w:b/>
          <w:sz w:val="20"/>
          <w:szCs w:val="20"/>
        </w:rPr>
      </w:pPr>
    </w:p>
    <w:p w14:paraId="657E2F96" w14:textId="77777777" w:rsidR="00B370FD" w:rsidRDefault="00B370FD" w:rsidP="00880082">
      <w:pPr>
        <w:spacing w:before="120" w:after="120" w:line="240" w:lineRule="auto"/>
        <w:ind w:left="720"/>
        <w:rPr>
          <w:rFonts w:ascii="Open Sans" w:eastAsia="Open Sans" w:hAnsi="Open Sans" w:cs="Open Sans"/>
          <w:sz w:val="20"/>
          <w:szCs w:val="20"/>
        </w:rPr>
      </w:pPr>
    </w:p>
    <w:p w14:paraId="34F4841B" w14:textId="77777777" w:rsidR="00B370FD" w:rsidRDefault="00B370FD" w:rsidP="00880082">
      <w:pPr>
        <w:spacing w:before="120" w:after="120" w:line="240" w:lineRule="auto"/>
        <w:rPr>
          <w:rFonts w:ascii="Open Sans" w:eastAsia="Open Sans" w:hAnsi="Open Sans" w:cs="Open Sans"/>
          <w:sz w:val="20"/>
          <w:szCs w:val="20"/>
        </w:rPr>
      </w:pPr>
    </w:p>
    <w:p w14:paraId="237CC7E4" w14:textId="77777777" w:rsidR="00B370FD" w:rsidRDefault="00B370FD" w:rsidP="00880082">
      <w:pPr>
        <w:spacing w:before="120" w:after="120" w:line="240" w:lineRule="auto"/>
        <w:rPr>
          <w:rFonts w:ascii="Open Sans" w:eastAsia="Open Sans" w:hAnsi="Open Sans" w:cs="Open Sans"/>
          <w:sz w:val="20"/>
          <w:szCs w:val="20"/>
        </w:rPr>
      </w:pPr>
    </w:p>
    <w:p w14:paraId="050D45A1" w14:textId="77777777" w:rsidR="00B370FD" w:rsidRDefault="00B370FD" w:rsidP="00880082">
      <w:pPr>
        <w:spacing w:before="120" w:after="120" w:line="240" w:lineRule="auto"/>
        <w:rPr>
          <w:rFonts w:ascii="Open Sans" w:eastAsia="Open Sans" w:hAnsi="Open Sans" w:cs="Open Sans"/>
          <w:sz w:val="20"/>
          <w:szCs w:val="20"/>
        </w:rPr>
      </w:pPr>
    </w:p>
    <w:p w14:paraId="6934F61F" w14:textId="77777777" w:rsidR="00B370FD" w:rsidRDefault="00B370FD" w:rsidP="00880082">
      <w:pPr>
        <w:spacing w:before="120" w:after="120" w:line="240" w:lineRule="auto"/>
        <w:rPr>
          <w:rFonts w:ascii="Open Sans" w:eastAsia="Open Sans" w:hAnsi="Open Sans" w:cs="Open Sans"/>
          <w:b/>
          <w:sz w:val="20"/>
          <w:szCs w:val="20"/>
        </w:rPr>
      </w:pPr>
    </w:p>
    <w:sectPr w:rsidR="00B370FD">
      <w:type w:val="continuous"/>
      <w:pgSz w:w="11906" w:h="16838"/>
      <w:pgMar w:top="144" w:right="1274" w:bottom="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C026E" w14:textId="77777777" w:rsidR="00810A79" w:rsidRDefault="001961EF">
      <w:pPr>
        <w:spacing w:after="0" w:line="240" w:lineRule="auto"/>
      </w:pPr>
      <w:r>
        <w:separator/>
      </w:r>
    </w:p>
  </w:endnote>
  <w:endnote w:type="continuationSeparator" w:id="0">
    <w:p w14:paraId="396F5A5F" w14:textId="77777777" w:rsidR="00810A79" w:rsidRDefault="00196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FDC5" w14:textId="77777777" w:rsidR="00B370FD" w:rsidRDefault="00B370FD">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651685"/>
      <w:docPartObj>
        <w:docPartGallery w:val="Page Numbers (Bottom of Page)"/>
        <w:docPartUnique/>
      </w:docPartObj>
    </w:sdtPr>
    <w:sdtEndPr>
      <w:rPr>
        <w:noProof/>
      </w:rPr>
    </w:sdtEndPr>
    <w:sdtContent>
      <w:p w14:paraId="5ABE4DF8" w14:textId="1A535C2E" w:rsidR="00FC4F97" w:rsidRDefault="00FC4F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74962F" w14:textId="77777777" w:rsidR="00B370FD" w:rsidRDefault="00B370FD">
    <w:pPr>
      <w:pBdr>
        <w:top w:val="nil"/>
        <w:left w:val="nil"/>
        <w:bottom w:val="nil"/>
        <w:right w:val="nil"/>
        <w:between w:val="nil"/>
      </w:pBdr>
      <w:tabs>
        <w:tab w:val="center" w:pos="4513"/>
        <w:tab w:val="center" w:pos="4776"/>
        <w:tab w:val="left" w:pos="8573"/>
        <w:tab w:val="right" w:pos="9026"/>
      </w:tabs>
      <w:rPr>
        <w:rFonts w:ascii="Open Sans" w:eastAsia="Open Sans" w:hAnsi="Open Sans" w:cs="Open San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825EE" w14:textId="77777777" w:rsidR="00B370FD" w:rsidRDefault="001961EF">
    <w:pPr>
      <w:tabs>
        <w:tab w:val="center" w:pos="4513"/>
        <w:tab w:val="right" w:pos="9026"/>
      </w:tabs>
      <w:spacing w:after="0" w:line="240" w:lineRule="auto"/>
      <w:rPr>
        <w:rFonts w:ascii="Open Sans" w:eastAsia="Open Sans" w:hAnsi="Open Sans" w:cs="Open Sans"/>
        <w:b/>
        <w:sz w:val="16"/>
        <w:szCs w:val="16"/>
      </w:rPr>
    </w:pPr>
    <w:r>
      <w:rPr>
        <w:rFonts w:ascii="Open Sans" w:eastAsia="Open Sans" w:hAnsi="Open Sans" w:cs="Open Sans"/>
        <w:b/>
        <w:sz w:val="16"/>
        <w:szCs w:val="16"/>
      </w:rPr>
      <w:t>____________________________________________</w:t>
    </w:r>
  </w:p>
  <w:p w14:paraId="0F740124" w14:textId="77777777" w:rsidR="00B370FD" w:rsidRDefault="001961EF">
    <w:pPr>
      <w:tabs>
        <w:tab w:val="center" w:pos="4513"/>
        <w:tab w:val="right" w:pos="9026"/>
      </w:tabs>
      <w:spacing w:after="0" w:line="240" w:lineRule="auto"/>
      <w:rPr>
        <w:rFonts w:ascii="Open Sans" w:eastAsia="Open Sans" w:hAnsi="Open Sans" w:cs="Open Sans"/>
        <w:b/>
        <w:sz w:val="16"/>
        <w:szCs w:val="16"/>
      </w:rPr>
    </w:pPr>
    <w:r>
      <w:rPr>
        <w:rFonts w:ascii="Open Sans" w:eastAsia="Open Sans" w:hAnsi="Open Sans" w:cs="Open Sans"/>
        <w:b/>
        <w:sz w:val="16"/>
        <w:szCs w:val="16"/>
      </w:rPr>
      <w:t>Please contact Pablo John, Heat Policy Analyst - at pjohn@r-e-an.et</w:t>
    </w:r>
  </w:p>
  <w:p w14:paraId="705C8835" w14:textId="77777777" w:rsidR="00B370FD" w:rsidRDefault="001961EF">
    <w:pPr>
      <w:tabs>
        <w:tab w:val="center" w:pos="4513"/>
        <w:tab w:val="right" w:pos="9026"/>
      </w:tabs>
      <w:spacing w:after="0" w:line="240" w:lineRule="auto"/>
      <w:jc w:val="center"/>
      <w:rPr>
        <w:rFonts w:ascii="Open Sans" w:eastAsia="Open Sans" w:hAnsi="Open Sans" w:cs="Open Sans"/>
        <w:sz w:val="16"/>
        <w:szCs w:val="16"/>
      </w:rPr>
    </w:pPr>
    <w:r>
      <w:rPr>
        <w:rFonts w:ascii="Open Sans" w:eastAsia="Open Sans" w:hAnsi="Open Sans" w:cs="Open Sans"/>
        <w:sz w:val="16"/>
        <w:szCs w:val="16"/>
      </w:rPr>
      <w:t>1</w:t>
    </w:r>
  </w:p>
  <w:p w14:paraId="28E25A0F" w14:textId="77777777" w:rsidR="00B370FD" w:rsidRDefault="00B370FD">
    <w:pPr>
      <w:pBdr>
        <w:top w:val="nil"/>
        <w:left w:val="nil"/>
        <w:bottom w:val="nil"/>
        <w:right w:val="nil"/>
        <w:between w:val="nil"/>
      </w:pBdr>
      <w:tabs>
        <w:tab w:val="center" w:pos="4513"/>
        <w:tab w:val="right" w:pos="9026"/>
      </w:tabs>
      <w:spacing w:after="40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52B40" w14:textId="77777777" w:rsidR="00810A79" w:rsidRDefault="001961EF">
      <w:pPr>
        <w:spacing w:after="0" w:line="240" w:lineRule="auto"/>
      </w:pPr>
      <w:r>
        <w:separator/>
      </w:r>
    </w:p>
  </w:footnote>
  <w:footnote w:type="continuationSeparator" w:id="0">
    <w:p w14:paraId="7D77BDED" w14:textId="77777777" w:rsidR="00810A79" w:rsidRDefault="00196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BE4C7" w14:textId="77777777" w:rsidR="00B370FD" w:rsidRDefault="00B370F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7D0C0" w14:textId="77777777" w:rsidR="00B370FD" w:rsidRDefault="00B370FD">
    <w:pPr>
      <w:pBdr>
        <w:top w:val="nil"/>
        <w:left w:val="nil"/>
        <w:bottom w:val="nil"/>
        <w:right w:val="nil"/>
        <w:between w:val="nil"/>
      </w:pBdr>
      <w:tabs>
        <w:tab w:val="center" w:pos="4513"/>
        <w:tab w:val="right" w:pos="9026"/>
      </w:tabs>
      <w:spacing w:before="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352D" w14:textId="77777777" w:rsidR="00B370FD" w:rsidRDefault="00B370FD">
    <w:pPr>
      <w:pBdr>
        <w:top w:val="nil"/>
        <w:left w:val="nil"/>
        <w:bottom w:val="nil"/>
        <w:right w:val="nil"/>
        <w:between w:val="nil"/>
      </w:pBdr>
      <w:tabs>
        <w:tab w:val="center" w:pos="4513"/>
        <w:tab w:val="right" w:pos="9026"/>
      </w:tabs>
      <w:spacing w:before="284"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473AE"/>
    <w:multiLevelType w:val="multilevel"/>
    <w:tmpl w:val="56F695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224796"/>
    <w:multiLevelType w:val="hybridMultilevel"/>
    <w:tmpl w:val="F2986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F77A38"/>
    <w:multiLevelType w:val="multilevel"/>
    <w:tmpl w:val="FE324F68"/>
    <w:lvl w:ilvl="0">
      <w:start w:val="1"/>
      <w:numFmt w:val="decimal"/>
      <w:lvlText w:val="%1."/>
      <w:lvlJc w:val="left"/>
      <w:pPr>
        <w:ind w:left="360" w:hanging="360"/>
      </w:pPr>
    </w:lvl>
    <w:lvl w:ilvl="1">
      <w:start w:val="1"/>
      <w:numFmt w:val="decimal"/>
      <w:lvlText w:val="%1.%2"/>
      <w:lvlJc w:val="left"/>
      <w:pPr>
        <w:ind w:left="362" w:hanging="570"/>
      </w:pPr>
      <w:rPr>
        <w:rFonts w:ascii="Open Sans" w:eastAsia="Open Sans" w:hAnsi="Open Sans" w:cs="Open Sans"/>
        <w:b/>
      </w:rPr>
    </w:lvl>
    <w:lvl w:ilvl="2">
      <w:start w:val="1"/>
      <w:numFmt w:val="decimal"/>
      <w:lvlText w:val="%1.%2.%3"/>
      <w:lvlJc w:val="left"/>
      <w:pPr>
        <w:ind w:left="512" w:hanging="720"/>
      </w:pPr>
      <w:rPr>
        <w:rFonts w:ascii="Open Sans" w:eastAsia="Open Sans" w:hAnsi="Open Sans" w:cs="Open Sans"/>
      </w:rPr>
    </w:lvl>
    <w:lvl w:ilvl="3">
      <w:start w:val="1"/>
      <w:numFmt w:val="decimal"/>
      <w:lvlText w:val="%1.%2.%3.%4"/>
      <w:lvlJc w:val="left"/>
      <w:pPr>
        <w:ind w:left="872" w:hanging="1080"/>
      </w:pPr>
    </w:lvl>
    <w:lvl w:ilvl="4">
      <w:start w:val="1"/>
      <w:numFmt w:val="decimal"/>
      <w:lvlText w:val="%1.%2.%3.%4.%5"/>
      <w:lvlJc w:val="left"/>
      <w:pPr>
        <w:ind w:left="872" w:hanging="1080"/>
      </w:pPr>
    </w:lvl>
    <w:lvl w:ilvl="5">
      <w:start w:val="1"/>
      <w:numFmt w:val="decimal"/>
      <w:lvlText w:val="%1.%2.%3.%4.%5.%6"/>
      <w:lvlJc w:val="left"/>
      <w:pPr>
        <w:ind w:left="1232" w:hanging="1440"/>
      </w:pPr>
    </w:lvl>
    <w:lvl w:ilvl="6">
      <w:start w:val="1"/>
      <w:numFmt w:val="decimal"/>
      <w:lvlText w:val="%1.%2.%3.%4.%5.%6.%7"/>
      <w:lvlJc w:val="left"/>
      <w:pPr>
        <w:ind w:left="1232" w:hanging="1440"/>
      </w:pPr>
    </w:lvl>
    <w:lvl w:ilvl="7">
      <w:start w:val="1"/>
      <w:numFmt w:val="decimal"/>
      <w:lvlText w:val="%1.%2.%3.%4.%5.%6.%7.%8"/>
      <w:lvlJc w:val="left"/>
      <w:pPr>
        <w:ind w:left="1592" w:hanging="1800"/>
      </w:pPr>
    </w:lvl>
    <w:lvl w:ilvl="8">
      <w:start w:val="1"/>
      <w:numFmt w:val="decimal"/>
      <w:lvlText w:val="%1.%2.%3.%4.%5.%6.%7.%8.%9"/>
      <w:lvlJc w:val="left"/>
      <w:pPr>
        <w:ind w:left="1592" w:hanging="1800"/>
      </w:pPr>
    </w:lvl>
  </w:abstractNum>
  <w:abstractNum w:abstractNumId="3" w15:restartNumberingAfterBreak="0">
    <w:nsid w:val="3EEE66E8"/>
    <w:multiLevelType w:val="hybridMultilevel"/>
    <w:tmpl w:val="4CD4F83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cs="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07926837">
    <w:abstractNumId w:val="0"/>
  </w:num>
  <w:num w:numId="2" w16cid:durableId="1991251000">
    <w:abstractNumId w:val="2"/>
  </w:num>
  <w:num w:numId="3" w16cid:durableId="2105225396">
    <w:abstractNumId w:val="1"/>
  </w:num>
  <w:num w:numId="4" w16cid:durableId="206257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0FD"/>
    <w:rsid w:val="000D6FD9"/>
    <w:rsid w:val="001437F3"/>
    <w:rsid w:val="00151624"/>
    <w:rsid w:val="0016681A"/>
    <w:rsid w:val="001961EF"/>
    <w:rsid w:val="002C46ED"/>
    <w:rsid w:val="00364C8A"/>
    <w:rsid w:val="00472EFA"/>
    <w:rsid w:val="007265D8"/>
    <w:rsid w:val="007F3933"/>
    <w:rsid w:val="00810A79"/>
    <w:rsid w:val="00877EFC"/>
    <w:rsid w:val="00880082"/>
    <w:rsid w:val="00997156"/>
    <w:rsid w:val="00B33196"/>
    <w:rsid w:val="00B370FD"/>
    <w:rsid w:val="00CF222B"/>
    <w:rsid w:val="00ED68C2"/>
    <w:rsid w:val="00F90259"/>
    <w:rsid w:val="00FC4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AE3AC"/>
  <w15:docId w15:val="{A97F3583-2F74-48B8-9187-53839393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12E7C"/>
    <w:pPr>
      <w:spacing w:after="0" w:line="240" w:lineRule="auto"/>
    </w:pPr>
  </w:style>
  <w:style w:type="paragraph" w:styleId="CommentSubject">
    <w:name w:val="annotation subject"/>
    <w:basedOn w:val="CommentText"/>
    <w:next w:val="CommentText"/>
    <w:link w:val="CommentSubjectChar"/>
    <w:uiPriority w:val="99"/>
    <w:semiHidden/>
    <w:unhideWhenUsed/>
    <w:rsid w:val="00A12E7C"/>
    <w:rPr>
      <w:b/>
      <w:bCs/>
    </w:rPr>
  </w:style>
  <w:style w:type="character" w:customStyle="1" w:styleId="CommentSubjectChar">
    <w:name w:val="Comment Subject Char"/>
    <w:basedOn w:val="CommentTextChar"/>
    <w:link w:val="CommentSubject"/>
    <w:uiPriority w:val="99"/>
    <w:semiHidden/>
    <w:rsid w:val="00A12E7C"/>
    <w:rPr>
      <w:b/>
      <w:bCs/>
      <w:sz w:val="20"/>
      <w:szCs w:val="20"/>
    </w:rPr>
  </w:style>
  <w:style w:type="character" w:styleId="Hyperlink">
    <w:name w:val="Hyperlink"/>
    <w:basedOn w:val="DefaultParagraphFont"/>
    <w:uiPriority w:val="99"/>
    <w:unhideWhenUsed/>
    <w:rsid w:val="00A12E7C"/>
    <w:rPr>
      <w:color w:val="0000FF" w:themeColor="hyperlink"/>
      <w:u w:val="single"/>
    </w:rPr>
  </w:style>
  <w:style w:type="character" w:styleId="UnresolvedMention">
    <w:name w:val="Unresolved Mention"/>
    <w:basedOn w:val="DefaultParagraphFont"/>
    <w:uiPriority w:val="99"/>
    <w:semiHidden/>
    <w:unhideWhenUsed/>
    <w:rsid w:val="00A12E7C"/>
    <w:rPr>
      <w:color w:val="605E5C"/>
      <w:shd w:val="clear" w:color="auto" w:fill="E1DFDD"/>
    </w:rPr>
  </w:style>
  <w:style w:type="paragraph" w:customStyle="1" w:styleId="pf0">
    <w:name w:val="pf0"/>
    <w:basedOn w:val="Normal"/>
    <w:rsid w:val="00A12E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12E7C"/>
    <w:rPr>
      <w:rFonts w:ascii="Segoe UI" w:hAnsi="Segoe UI" w:cs="Segoe UI" w:hint="default"/>
      <w:sz w:val="18"/>
      <w:szCs w:val="18"/>
    </w:rPr>
  </w:style>
  <w:style w:type="paragraph" w:styleId="Footer">
    <w:name w:val="footer"/>
    <w:basedOn w:val="Normal"/>
    <w:link w:val="FooterChar"/>
    <w:uiPriority w:val="99"/>
    <w:unhideWhenUsed/>
    <w:rsid w:val="00FC4F97"/>
    <w:pPr>
      <w:tabs>
        <w:tab w:val="center" w:pos="4680"/>
        <w:tab w:val="right" w:pos="9360"/>
      </w:tabs>
      <w:spacing w:after="0" w:line="240" w:lineRule="auto"/>
    </w:pPr>
    <w:rPr>
      <w:rFonts w:asciiTheme="minorHAnsi" w:eastAsiaTheme="minorEastAsia" w:hAnsiTheme="minorHAnsi" w:cs="Times New Roman"/>
      <w:lang w:val="en-US" w:eastAsia="en-US"/>
    </w:rPr>
  </w:style>
  <w:style w:type="character" w:customStyle="1" w:styleId="FooterChar">
    <w:name w:val="Footer Char"/>
    <w:basedOn w:val="DefaultParagraphFont"/>
    <w:link w:val="Footer"/>
    <w:uiPriority w:val="99"/>
    <w:rsid w:val="00FC4F97"/>
    <w:rPr>
      <w:rFonts w:asciiTheme="minorHAnsi" w:eastAsiaTheme="minorEastAsia" w:hAnsiTheme="minorHAnsi" w:cs="Times New Roman"/>
      <w:lang w:val="en-US" w:eastAsia="en-US"/>
    </w:rPr>
  </w:style>
  <w:style w:type="paragraph" w:styleId="ListParagraph">
    <w:name w:val="List Paragraph"/>
    <w:basedOn w:val="Normal"/>
    <w:uiPriority w:val="34"/>
    <w:qFormat/>
    <w:rsid w:val="00472E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976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r-e-a.net/resources/rea-updates-position-paper-on-hydrogen/" TargetMode="External"/><Relationship Id="rId3" Type="http://schemas.openxmlformats.org/officeDocument/2006/relationships/customXml" Target="../customXml/item3.xml"/><Relationship Id="rId21" Type="http://schemas.openxmlformats.org/officeDocument/2006/relationships/hyperlink" Target="https://www.theccc.org.uk/publication/independent-assessment-the-uks-heat-and-buildings-strategy/"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birmingham.ac.uk/research/energy/policy/pathways-for-local-heat-delivery.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a.net/resources/rea-response-to-beis-call-for-evidence-enabling-or-requiring-hydrogen-ready-industrial-boiler-equip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49497E5814C44BB49A305FE0EEA207" ma:contentTypeVersion="10" ma:contentTypeDescription="Create a new document." ma:contentTypeScope="" ma:versionID="5d2354f393dc51ad807f613e2d5df91a">
  <xsd:schema xmlns:xsd="http://www.w3.org/2001/XMLSchema" xmlns:xs="http://www.w3.org/2001/XMLSchema" xmlns:p="http://schemas.microsoft.com/office/2006/metadata/properties" xmlns:ns3="751aa27e-8d3f-40d2-9070-a3f434a0f1a1" xmlns:ns4="fe4ea9f9-f575-4347-954d-b298d795d1a5" targetNamespace="http://schemas.microsoft.com/office/2006/metadata/properties" ma:root="true" ma:fieldsID="ba8b37feb97cc7c759287e20fe9a3e7f" ns3:_="" ns4:_="">
    <xsd:import namespace="751aa27e-8d3f-40d2-9070-a3f434a0f1a1"/>
    <xsd:import namespace="fe4ea9f9-f575-4347-954d-b298d795d1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aa27e-8d3f-40d2-9070-a3f434a0f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4ea9f9-f575-4347-954d-b298d795d1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fPA3wK0sdI7g7TyTcqTSHlxFSLA==">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</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F08578-EB62-489E-A7C4-3EA0A1A80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aa27e-8d3f-40d2-9070-a3f434a0f1a1"/>
    <ds:schemaRef ds:uri="fe4ea9f9-f575-4347-954d-b298d795d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93CA37E2-AD5D-4CF7-851D-B4DB6912623E}">
  <ds:schemaRefs>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fe4ea9f9-f575-4347-954d-b298d795d1a5"/>
    <ds:schemaRef ds:uri="751aa27e-8d3f-40d2-9070-a3f434a0f1a1"/>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F9A1FAA4-8FFE-4B22-A6BD-835ABAA480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John, Kiara Zennaro</dc:creator>
  <cp:lastModifiedBy>Kiara Zennaro</cp:lastModifiedBy>
  <cp:revision>18</cp:revision>
  <dcterms:created xsi:type="dcterms:W3CDTF">2022-10-31T16:08:00Z</dcterms:created>
  <dcterms:modified xsi:type="dcterms:W3CDTF">2022-11-01T18:51:00Z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0x0101009A49497E5814C44BB49A305FE0EEA207</vt:lpwstr>
  </property>
</Properties>
</file>