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Style w:val="None"/>
          <w:rFonts w:ascii="Open Sans" w:cs="Open Sans" w:hAnsi="Open Sans" w:eastAsia="Open Sans"/>
          <w:b w:val="1"/>
          <w:bCs w:val="1"/>
        </w:rPr>
      </w:pPr>
      <w:r>
        <w:rPr>
          <w:rStyle w:val="None"/>
          <w:rFonts w:ascii="Open Sans" w:cs="Open Sans" w:hAnsi="Open Sans" w:eastAsia="Open Sans"/>
          <w:b w:val="1"/>
          <w:bCs w:val="1"/>
          <w:rtl w:val="0"/>
          <w:lang w:val="de-DE"/>
        </w:rPr>
        <w:t>Phillipa Pickford</w:t>
      </w:r>
    </w:p>
    <w:p>
      <w:pPr>
        <w:pStyle w:val="Body"/>
        <w:spacing w:after="0" w:line="240" w:lineRule="auto"/>
      </w:pPr>
      <w:r>
        <w:rPr>
          <w:rStyle w:val="None"/>
          <w:rtl w:val="0"/>
          <w:lang w:val="de-DE"/>
        </w:rPr>
        <w:t>Ofgem 10 S Colonnade</w:t>
      </w:r>
    </w:p>
    <w:p>
      <w:pPr>
        <w:pStyle w:val="Body"/>
        <w:spacing w:after="0" w:line="240" w:lineRule="auto"/>
      </w:pPr>
      <w:r>
        <w:rPr>
          <w:rStyle w:val="None"/>
          <w:rtl w:val="0"/>
          <w:lang w:val="it-IT"/>
        </w:rPr>
        <w:t>London</w:t>
      </w:r>
    </w:p>
    <w:p>
      <w:pPr>
        <w:pStyle w:val="Body"/>
        <w:spacing w:after="0" w:line="240" w:lineRule="auto"/>
      </w:pPr>
      <w:r>
        <w:rPr>
          <w:rStyle w:val="None"/>
          <w:rtl w:val="0"/>
        </w:rPr>
        <w:t>E14 4PU</w:t>
      </w:r>
    </w:p>
    <w:p>
      <w:pPr>
        <w:pStyle w:val="Body"/>
        <w:spacing w:after="0" w:line="240" w:lineRule="auto"/>
      </w:pPr>
    </w:p>
    <w:p>
      <w:pPr>
        <w:pStyle w:val="Body"/>
        <w:spacing w:after="0" w:line="240" w:lineRule="auto"/>
        <w:rPr>
          <w:rStyle w:val="None"/>
          <w:rFonts w:ascii="Open Sans" w:cs="Open Sans" w:hAnsi="Open Sans" w:eastAsia="Open Sans"/>
          <w:b w:val="1"/>
          <w:bCs w:val="1"/>
        </w:rPr>
      </w:pPr>
      <w:r>
        <w:rPr>
          <w:rStyle w:val="None"/>
          <w:rFonts w:ascii="Open Sans" w:cs="Open Sans" w:hAnsi="Open Sans" w:eastAsia="Open Sans"/>
          <w:b w:val="1"/>
          <w:bCs w:val="1"/>
          <w:rtl w:val="0"/>
          <w:lang w:val="it-IT"/>
        </w:rPr>
        <w:t>David Capper</w:t>
      </w:r>
    </w:p>
    <w:p>
      <w:pPr>
        <w:pStyle w:val="Body"/>
        <w:spacing w:after="0" w:line="240" w:lineRule="auto"/>
      </w:pPr>
      <w:r>
        <w:rPr>
          <w:rStyle w:val="None"/>
          <w:rtl w:val="0"/>
          <w:lang w:val="en-US"/>
        </w:rPr>
        <w:t>1 Victoria Street</w:t>
      </w:r>
    </w:p>
    <w:p>
      <w:pPr>
        <w:pStyle w:val="Body"/>
        <w:spacing w:after="0" w:line="240" w:lineRule="auto"/>
      </w:pPr>
      <w:r>
        <w:rPr>
          <w:rStyle w:val="None"/>
          <w:rtl w:val="0"/>
          <w:lang w:val="it-IT"/>
        </w:rPr>
        <w:t>London</w:t>
      </w:r>
    </w:p>
    <w:p>
      <w:pPr>
        <w:pStyle w:val="Body"/>
        <w:spacing w:after="0" w:line="240" w:lineRule="auto"/>
        <w:rPr>
          <w:rStyle w:val="None"/>
          <w:rFonts w:ascii="Open Sans" w:cs="Open Sans" w:hAnsi="Open Sans" w:eastAsia="Open Sans"/>
          <w:b w:val="1"/>
          <w:bCs w:val="1"/>
        </w:rPr>
      </w:pPr>
      <w:r>
        <w:rPr>
          <w:rStyle w:val="None"/>
          <w:rtl w:val="0"/>
          <w:lang w:val="de-DE"/>
        </w:rPr>
        <w:t>SW1H 0ET</w:t>
      </w:r>
    </w:p>
    <w:p>
      <w:pPr>
        <w:pStyle w:val="Body"/>
        <w:jc w:val="right"/>
      </w:pPr>
      <w:r>
        <w:rPr>
          <w:rStyle w:val="None"/>
          <w:rtl w:val="0"/>
        </w:rPr>
        <w:tab/>
        <w:tab/>
        <w:tab/>
        <w:tab/>
        <w:tab/>
        <w:tab/>
        <w:tab/>
        <w:tab/>
        <w:tab/>
        <w:t>XX November 2022</w:t>
      </w:r>
    </w:p>
    <w:p>
      <w:pPr>
        <w:pStyle w:val="Body"/>
        <w:rPr>
          <w:rStyle w:val="None"/>
          <w:rFonts w:ascii="Open Sans" w:cs="Open Sans" w:hAnsi="Open Sans" w:eastAsia="Open Sans"/>
          <w:b w:val="1"/>
          <w:bCs w:val="1"/>
        </w:rPr>
      </w:pPr>
      <w:r>
        <w:rPr>
          <w:rStyle w:val="None"/>
          <w:rtl w:val="0"/>
          <w:lang w:val="en-US"/>
        </w:rPr>
        <w:t>Dear Phillipa and David</w:t>
      </w:r>
    </w:p>
    <w:p>
      <w:pPr>
        <w:pStyle w:val="Body"/>
        <w:rPr>
          <w:rStyle w:val="None"/>
          <w:rFonts w:ascii="Open Sans" w:cs="Open Sans" w:hAnsi="Open Sans" w:eastAsia="Open Sans"/>
          <w:b w:val="1"/>
          <w:bCs w:val="1"/>
        </w:rPr>
      </w:pPr>
      <w:r>
        <w:rPr>
          <w:rStyle w:val="None"/>
          <w:rFonts w:ascii="Open Sans" w:cs="Open Sans" w:hAnsi="Open Sans" w:eastAsia="Open Sans"/>
          <w:b w:val="1"/>
          <w:bCs w:val="1"/>
          <w:rtl w:val="0"/>
          <w:lang w:val="en-US"/>
        </w:rPr>
        <w:t>NDRHI Meter Requirement Issues</w:t>
      </w:r>
    </w:p>
    <w:p>
      <w:pPr>
        <w:pStyle w:val="Body"/>
        <w:spacing w:after="0" w:line="240" w:lineRule="auto"/>
        <w:jc w:val="both"/>
      </w:pPr>
      <w:r>
        <w:rPr>
          <w:rStyle w:val="None"/>
          <w:rtl w:val="0"/>
          <w:lang w:val="en-US"/>
        </w:rPr>
        <w:t>I am writing to both Ofgem and BEIS to request a meeting - and highlight member concerns - around the current meter recalibration requirements under the ND RHI. This follows recent communications from Ofgem which set out guidance stating that participants must either have their meters fully replaced or sent to a lab for recalibration every 10 years. For the reasons described below, the industry strongly believes these requirements to be unreasonable, costly and environmentally damaging.  We hope this meeting could spur conversations about how ND RHI participants could still ensure accurate meter operations, in line with the original intention of the ND RHI regulations, without having to see meters removed and operations disrupted. I have attached a more detailed briefing for your information which both describes the difficulties with the current guidance and proposed options for how this obligation could be best met to still provide confidence to BEIS and Ofgem</w:t>
      </w:r>
    </w:p>
    <w:p>
      <w:pPr>
        <w:pStyle w:val="Body"/>
        <w:spacing w:after="0" w:line="240" w:lineRule="auto"/>
        <w:jc w:val="both"/>
      </w:pPr>
    </w:p>
    <w:p>
      <w:pPr>
        <w:pStyle w:val="Body"/>
        <w:spacing w:after="0" w:line="240" w:lineRule="auto"/>
        <w:jc w:val="both"/>
      </w:pPr>
      <w:r>
        <w:rPr>
          <w:rStyle w:val="None"/>
          <w:rtl w:val="0"/>
          <w:lang w:val="en-US"/>
        </w:rPr>
        <w:t xml:space="preserve">In a recent member call, REA members across a range of NDRHI technologies, raised concerns around the ten-year recalibration requirement under the NDRHI. This echoes concerns the REA has raised in previous conversations: </w:t>
      </w:r>
    </w:p>
    <w:p>
      <w:pPr>
        <w:pStyle w:val="Body"/>
        <w:numPr>
          <w:ilvl w:val="0"/>
          <w:numId w:val="2"/>
        </w:numPr>
        <w:spacing w:after="0" w:line="240" w:lineRule="auto"/>
        <w:jc w:val="both"/>
        <w:rPr>
          <w:lang w:val="en-US"/>
        </w:rPr>
      </w:pPr>
      <w:r>
        <w:rPr>
          <w:rStyle w:val="None"/>
          <w:rtl w:val="0"/>
          <w:lang w:val="en-US"/>
        </w:rPr>
        <w:t xml:space="preserve">The most notable issue is the cost to participants with recalibration costing as much as </w:t>
      </w:r>
      <w:r>
        <w:rPr>
          <w:rStyle w:val="None"/>
          <w:rtl w:val="0"/>
        </w:rPr>
        <w:t>£</w:t>
      </w:r>
      <w:r>
        <w:rPr>
          <w:rStyle w:val="None"/>
          <w:rtl w:val="0"/>
          <w:lang w:val="en-US"/>
        </w:rPr>
        <w:t xml:space="preserve">2,500 per meter, and replacement around </w:t>
      </w:r>
      <w:r>
        <w:rPr>
          <w:rStyle w:val="None"/>
          <w:rtl w:val="0"/>
        </w:rPr>
        <w:t>£</w:t>
      </w:r>
      <w:r>
        <w:rPr>
          <w:rStyle w:val="None"/>
          <w:rtl w:val="0"/>
          <w:lang w:val="en-US"/>
        </w:rPr>
        <w:t xml:space="preserve">1,500. These costs could be many times larger for sites with multiple meters, especially those which are part of a district heating scheme. </w:t>
      </w:r>
    </w:p>
    <w:p>
      <w:pPr>
        <w:pStyle w:val="Body"/>
        <w:numPr>
          <w:ilvl w:val="0"/>
          <w:numId w:val="2"/>
        </w:numPr>
        <w:spacing w:after="0" w:line="240" w:lineRule="auto"/>
        <w:jc w:val="both"/>
        <w:rPr>
          <w:lang w:val="en-US"/>
        </w:rPr>
      </w:pPr>
      <w:r>
        <w:rPr>
          <w:rStyle w:val="None"/>
          <w:rtl w:val="0"/>
          <w:lang w:val="en-US"/>
        </w:rPr>
        <w:t>There are also serious environmental concerns around electronic wastage as it is expected that most participants will opt for the cheaper meter replacement option despite their meters being perfectly operational. The removed meters will include lithium batteries, meaning they will need to be treated as hazardous waste, with additional costs implied.</w:t>
      </w:r>
    </w:p>
    <w:p>
      <w:pPr>
        <w:pStyle w:val="Body"/>
        <w:numPr>
          <w:ilvl w:val="0"/>
          <w:numId w:val="2"/>
        </w:numPr>
        <w:spacing w:after="0" w:line="240" w:lineRule="auto"/>
        <w:jc w:val="both"/>
        <w:rPr>
          <w:lang w:val="en-US"/>
        </w:rPr>
      </w:pPr>
      <w:r>
        <w:rPr>
          <w:rStyle w:val="None"/>
          <w:rtl w:val="0"/>
          <w:lang w:val="en-US"/>
        </w:rPr>
        <w:t>Members raised concerns that off-site recalibration itself could harm a heating system's performance, allowing dirt and air into the system and itself causing inaccurate meter readings.</w:t>
      </w:r>
    </w:p>
    <w:p>
      <w:pPr>
        <w:pStyle w:val="Body"/>
        <w:numPr>
          <w:ilvl w:val="0"/>
          <w:numId w:val="2"/>
        </w:numPr>
        <w:spacing w:after="0" w:line="240" w:lineRule="auto"/>
        <w:jc w:val="both"/>
        <w:rPr>
          <w:lang w:val="en-US"/>
        </w:rPr>
      </w:pPr>
      <w:r>
        <w:rPr>
          <w:rStyle w:val="None"/>
          <w:rtl w:val="0"/>
          <w:lang w:val="en-US"/>
        </w:rPr>
        <w:t>The guidance also needs to be clearer to address some outstanding industry questions. This includes as to when the ten year requirement begins and how different forms of meters (including those associated with Ana</w:t>
      </w:r>
      <w:r>
        <w:rPr>
          <w:rStyle w:val="None"/>
          <w:rtl w:val="0"/>
          <w:lang w:val="en-US"/>
        </w:rPr>
        <w:t>e</w:t>
      </w:r>
      <w:r>
        <w:rPr>
          <w:rStyle w:val="None"/>
          <w:rtl w:val="0"/>
        </w:rPr>
        <w:t>rob</w:t>
      </w:r>
      <w:r>
        <w:rPr>
          <w:rStyle w:val="None"/>
          <w:rtl w:val="0"/>
          <w:lang w:val="en-US"/>
        </w:rPr>
        <w:t>ic</w:t>
      </w:r>
      <w:r>
        <w:rPr>
          <w:rStyle w:val="None"/>
          <w:rtl w:val="0"/>
        </w:rPr>
        <w:t xml:space="preserve"> D</w:t>
      </w:r>
      <w:r>
        <w:rPr>
          <w:rStyle w:val="None"/>
          <w:rtl w:val="0"/>
          <w:lang w:val="en-US"/>
        </w:rPr>
        <w:t>igestion (AD)</w:t>
      </w:r>
      <w:r>
        <w:rPr>
          <w:rStyle w:val="None"/>
          <w:rtl w:val="0"/>
          <w:lang w:val="en-US"/>
        </w:rPr>
        <w:t xml:space="preserve"> systems) are captured within the regulations.</w:t>
      </w:r>
    </w:p>
    <w:p>
      <w:pPr>
        <w:pStyle w:val="Body"/>
        <w:spacing w:after="0" w:line="240" w:lineRule="auto"/>
        <w:jc w:val="both"/>
      </w:pPr>
    </w:p>
    <w:p>
      <w:pPr>
        <w:pStyle w:val="Body"/>
        <w:spacing w:after="0" w:line="240" w:lineRule="auto"/>
        <w:jc w:val="both"/>
      </w:pPr>
      <w:r>
        <w:rPr>
          <w:rStyle w:val="None"/>
          <w:rtl w:val="0"/>
          <w:lang w:val="en-US"/>
        </w:rPr>
        <w:t>You can read member concerns in more detail in the attached briefing.</w:t>
      </w:r>
    </w:p>
    <w:p>
      <w:pPr>
        <w:pStyle w:val="Body"/>
        <w:spacing w:after="0" w:line="240" w:lineRule="auto"/>
        <w:jc w:val="both"/>
      </w:pPr>
    </w:p>
    <w:p>
      <w:pPr>
        <w:pStyle w:val="Body"/>
        <w:spacing w:after="0" w:line="240" w:lineRule="auto"/>
        <w:jc w:val="both"/>
      </w:pPr>
      <w:r>
        <w:rPr>
          <w:rStyle w:val="None"/>
          <w:rtl w:val="0"/>
          <w:lang w:val="en-US"/>
        </w:rPr>
        <w:t xml:space="preserve">In our briefing we raise several alternative suggestions as to how legislated obligations could be more appropriately met </w:t>
      </w:r>
      <w:r>
        <w:rPr>
          <w:rStyle w:val="None"/>
          <w:rtl w:val="0"/>
          <w:lang w:val="en-US"/>
        </w:rPr>
        <w:t>that</w:t>
      </w:r>
      <w:r>
        <w:rPr>
          <w:rStyle w:val="None"/>
          <w:rtl w:val="0"/>
          <w:lang w:val="fr-FR"/>
        </w:rPr>
        <w:t xml:space="preserve"> ensur</w:t>
      </w:r>
      <w:r>
        <w:rPr>
          <w:rStyle w:val="None"/>
          <w:rtl w:val="0"/>
          <w:lang w:val="en-US"/>
        </w:rPr>
        <w:t>es</w:t>
      </w:r>
      <w:r>
        <w:rPr>
          <w:rStyle w:val="None"/>
          <w:rtl w:val="0"/>
          <w:lang w:val="en-US"/>
        </w:rPr>
        <w:t xml:space="preserve"> Government concerns are addressed</w:t>
      </w:r>
      <w:r>
        <w:rPr>
          <w:rStyle w:val="None"/>
          <w:rtl w:val="0"/>
          <w:lang w:val="en-US"/>
        </w:rPr>
        <w:t xml:space="preserve"> whilst </w:t>
      </w:r>
      <w:r>
        <w:rPr>
          <w:rtl w:val="0"/>
        </w:rPr>
        <w:t>minimis</w:t>
      </w:r>
      <w:r>
        <w:rPr>
          <w:rtl w:val="0"/>
          <w:lang w:val="en-US"/>
        </w:rPr>
        <w:t>ing</w:t>
      </w:r>
      <w:r>
        <w:rPr>
          <w:rtl w:val="0"/>
          <w:lang w:val="en-US"/>
        </w:rPr>
        <w:t xml:space="preserve"> disruption to the industry</w:t>
      </w:r>
      <w:r>
        <w:rPr>
          <w:rStyle w:val="None"/>
          <w:rtl w:val="0"/>
          <w:lang w:val="en-US"/>
        </w:rPr>
        <w:t xml:space="preserve">. These proposals include on-site testing and in-use monitoring of heat meters. We also call on Ofgem to establish a technical working group to address some of the questions raised by the meter recalibration requirements and its enforcement. </w:t>
      </w:r>
    </w:p>
    <w:p>
      <w:pPr>
        <w:pStyle w:val="Body"/>
        <w:spacing w:after="0" w:line="240" w:lineRule="auto"/>
        <w:jc w:val="both"/>
      </w:pPr>
    </w:p>
    <w:p>
      <w:pPr>
        <w:pStyle w:val="Body"/>
        <w:spacing w:after="0" w:line="240" w:lineRule="auto"/>
        <w:jc w:val="both"/>
      </w:pPr>
      <w:r>
        <w:rPr>
          <w:rStyle w:val="None"/>
          <w:rtl w:val="0"/>
          <w:lang w:val="en-US"/>
        </w:rPr>
        <w:t>We would also like to organise a meeting as soon as convenient to discuss these alternative interpretations and the development of a technical working group - as well as to discuss potential amendments to legislation should this become necessary.</w:t>
      </w:r>
    </w:p>
    <w:p>
      <w:pPr>
        <w:pStyle w:val="Body"/>
        <w:spacing w:after="0" w:line="240" w:lineRule="auto"/>
        <w:jc w:val="both"/>
      </w:pPr>
    </w:p>
    <w:p>
      <w:pPr>
        <w:pStyle w:val="Body"/>
      </w:pPr>
      <w:r>
        <w:rPr>
          <w:rStyle w:val="None"/>
          <w:rtl w:val="0"/>
          <w:lang w:val="en-US"/>
        </w:rPr>
        <w:t>Yours sincerely,</w:t>
      </w:r>
    </w:p>
    <w:p>
      <w:pPr>
        <w:pStyle w:val="Body"/>
        <w:spacing w:after="0" w:line="240" w:lineRule="auto"/>
        <w:rPr>
          <w:rStyle w:val="None"/>
          <w:rFonts w:ascii="Open Sans" w:cs="Open Sans" w:hAnsi="Open Sans" w:eastAsia="Open Sans"/>
          <w:b w:val="1"/>
          <w:bCs w:val="1"/>
        </w:rPr>
      </w:pPr>
      <w:r>
        <w:rPr>
          <w:rStyle w:val="None"/>
          <w:rFonts w:ascii="Open Sans" w:cs="Open Sans" w:hAnsi="Open Sans" w:eastAsia="Open Sans"/>
          <w:b w:val="1"/>
          <w:bCs w:val="1"/>
          <w:rtl w:val="0"/>
          <w:lang w:val="en-US"/>
        </w:rPr>
        <w:t>Dr Nina Skorupska CBE FEI, Chief Executive, REA</w:t>
      </w:r>
    </w:p>
    <w:p>
      <w:pPr>
        <w:pStyle w:val="Body"/>
        <w:spacing w:after="0" w:line="240" w:lineRule="auto"/>
      </w:pPr>
      <w:r>
        <w:rPr>
          <w:rStyle w:val="None"/>
          <w:b w:val="1"/>
          <w:bCs w:val="1"/>
        </w:rPr>
      </w:r>
    </w:p>
    <w:sectPr>
      <w:headerReference w:type="default" r:id="rId4"/>
      <w:headerReference w:type="first" r:id="rId5"/>
      <w:footerReference w:type="default" r:id="rId6"/>
      <w:footerReference w:type="first" r:id="rId7"/>
      <w:pgSz w:w="11900" w:h="16840" w:orient="portrait"/>
      <w:pgMar w:top="284" w:right="1440" w:bottom="1440" w:left="1440" w:header="290" w:footer="332"/>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Open Sans">
    <w:charset w:val="00"/>
    <w:family w:val="roman"/>
    <w:pitch w:val="default"/>
  </w:font>
  <w:font w:name="Poppins Light">
    <w:charset w:val="00"/>
    <w:family w:val="roman"/>
    <w:pitch w:val="default"/>
  </w:font>
  <w:font w:name="Poppi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00"/>
      </w:tabs>
    </w:pPr>
    <w:r>
      <w:rPr>
        <w:outline w:val="0"/>
        <w:color w:val="000000"/>
        <w:u w:color="000000"/>
        <w14:textFill>
          <w14:solidFill>
            <w14:srgbClr w14:val="000000"/>
          </w14:solidFill>
        </w14:textFill>
      </w:rPr>
      <w:fldChar w:fldCharType="begin" w:fldLock="0"/>
    </w:r>
    <w:r>
      <w:rPr>
        <w:outline w:val="0"/>
        <w:color w:val="000000"/>
        <w:u w:color="000000"/>
        <w14:textFill>
          <w14:solidFill>
            <w14:srgbClr w14:val="000000"/>
          </w14:solidFill>
        </w14:textFill>
      </w:rPr>
      <w:instrText xml:space="preserve"> PAGE </w:instrText>
    </w:r>
    <w:r>
      <w:rPr>
        <w:outline w:val="0"/>
        <w:color w:val="000000"/>
        <w:u w:color="000000"/>
        <w14:textFill>
          <w14:solidFill>
            <w14:srgbClr w14:val="000000"/>
          </w14:solidFill>
        </w14:textFill>
      </w:rPr>
      <w:fldChar w:fldCharType="separate" w:fldLock="0"/>
    </w:r>
    <w:r>
      <w:rPr>
        <w:outline w:val="0"/>
        <w:color w:val="000000"/>
        <w:u w:color="000000"/>
        <w14:textFill>
          <w14:solidFill>
            <w14:srgbClr w14:val="000000"/>
          </w14:solidFill>
        </w14:textFill>
      </w:rPr>
    </w:r>
    <w:r>
      <w:rPr>
        <w:outline w:val="0"/>
        <w:color w:val="000000"/>
        <w:u w:color="000000"/>
        <w14:textFill>
          <w14:solidFill>
            <w14:srgbClr w14:val="000000"/>
          </w14:solidFill>
        </w14:textFill>
      </w:rPr>
      <w:fldChar w:fldCharType="end" w:fldLock="0"/>
    </w:r>
    <w:r>
      <w:rPr>
        <w:rFonts w:ascii="Open Sans" w:cs="Open Sans" w:hAnsi="Open Sans" w:eastAsia="Open Sans"/>
        <w:b w:val="1"/>
        <w:bCs w:val="1"/>
        <w:outline w:val="0"/>
        <w:color w:val="000000"/>
        <w:u w:color="000000"/>
        <w:rtl w:val="0"/>
        <w14:textFill>
          <w14:solidFill>
            <w14:srgbClr w14:val="000000"/>
          </w14:solidFill>
        </w14:textFill>
      </w:rPr>
      <w:t xml:space="preserve"> | </w:t>
    </w:r>
    <w:r>
      <w:rPr>
        <w:outline w:val="0"/>
        <w:color w:val="7f7f7f"/>
        <w:u w:color="7f7f7f"/>
        <w:rtl w:val="0"/>
        <w:lang w:val="pt-PT"/>
        <w14:textFill>
          <w14:solidFill>
            <w14:srgbClr w14:val="7F7F7F"/>
          </w14:solidFill>
        </w14:textFill>
      </w:rPr>
      <w:t>Page</w:t>
    </w:r>
    <w:r>
      <w:rPr>
        <w:rFonts w:ascii="Open Sans" w:cs="Open Sans" w:hAnsi="Open Sans" w:eastAsia="Open Sans"/>
        <w:b w:val="1"/>
        <w:bCs w:val="1"/>
        <w:outline w:val="0"/>
        <w:color w:val="000000"/>
        <w:u w:color="000000"/>
        <w14:textFill>
          <w14:solidFill>
            <w14:srgbClr w14:val="000000"/>
          </w14:solidFill>
        </w14:textFill>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rPr>
        <w:rFonts w:ascii="Poppins Light" w:cs="Poppins Light" w:hAnsi="Poppins Light" w:eastAsia="Poppins Light"/>
        <w:outline w:val="0"/>
        <w:color w:val="000000"/>
        <w:sz w:val="20"/>
        <w:szCs w:val="20"/>
        <w:u w:color="000000"/>
        <w14:textFill>
          <w14:solidFill>
            <w14:srgbClr w14:val="000000"/>
          </w14:solidFill>
        </w14:textFill>
      </w:rPr>
    </w:pPr>
    <w:r>
      <w:rPr>
        <w:rFonts w:ascii="Poppins Light" w:cs="Poppins Light" w:hAnsi="Poppins Light" w:eastAsia="Poppins Light"/>
        <w:outline w:val="0"/>
        <w:color w:val="000000"/>
        <w:sz w:val="20"/>
        <w:szCs w:val="20"/>
        <w:u w:color="000000"/>
        <w14:textFill>
          <w14:solidFill>
            <w14:srgbClr w14:val="000000"/>
          </w14:solidFill>
        </w14:textFill>
      </w:rPr>
      <mc:AlternateContent>
        <mc:Choice Requires="wps">
          <w:drawing xmlns:a="http://schemas.openxmlformats.org/drawingml/2006/main">
            <wp:inline distT="0" distB="0" distL="0" distR="0">
              <wp:extent cx="5727573" cy="0"/>
              <wp:effectExtent l="0" t="0" r="0" b="0"/>
              <wp:docPr id="1073741827" name="officeArt object" descr="Line"/>
              <wp:cNvGraphicFramePr/>
              <a:graphic xmlns:a="http://schemas.openxmlformats.org/drawingml/2006/main">
                <a:graphicData uri="http://schemas.microsoft.com/office/word/2010/wordprocessingShape">
                  <wps:wsp>
                    <wps:cNvSpPr/>
                    <wps:spPr>
                      <a:xfrm>
                        <a:off x="0" y="0"/>
                        <a:ext cx="5727573" cy="0"/>
                      </a:xfrm>
                      <a:prstGeom prst="line">
                        <a:avLst/>
                      </a:prstGeom>
                      <a:noFill/>
                      <a:ln w="15650" cap="flat">
                        <a:solidFill>
                          <a:srgbClr val="41906D"/>
                        </a:solidFill>
                        <a:prstDash val="solid"/>
                        <a:round/>
                      </a:ln>
                      <a:effectLst/>
                    </wps:spPr>
                    <wps:bodyPr/>
                  </wps:wsp>
                </a:graphicData>
              </a:graphic>
            </wp:inline>
          </w:drawing>
        </mc:Choice>
        <mc:Fallback>
          <w:pict>
            <v:line id="_x0000_s1026" style="visibility:visible;width:451.0pt;height:0.0pt;">
              <v:fill on="f"/>
              <v:stroke filltype="solid" color="#41906D" opacity="100.0%" weight="1.2pt" dashstyle="solid" endcap="flat" joinstyle="round" linestyle="single" startarrow="none" startarrowwidth="medium" startarrowlength="medium" endarrow="none" endarrowwidth="medium" endarrowlength="medium"/>
            </v:line>
          </w:pict>
        </mc:Fallback>
      </mc:AlternateContent>
    </w:r>
  </w:p>
  <w:p>
    <w:pPr>
      <w:pStyle w:val="Body"/>
      <w:widowControl w:val="0"/>
      <w:jc w:val="center"/>
      <w:rPr>
        <w:rFonts w:ascii="Poppins Light" w:cs="Poppins Light" w:hAnsi="Poppins Light" w:eastAsia="Poppins Light"/>
        <w:outline w:val="0"/>
        <w:color w:val="000000"/>
        <w:sz w:val="20"/>
        <w:szCs w:val="20"/>
        <w:u w:color="000000"/>
        <w14:textFill>
          <w14:solidFill>
            <w14:srgbClr w14:val="000000"/>
          </w14:solidFill>
        </w14:textFill>
      </w:rPr>
    </w:pPr>
    <w:r>
      <w:rPr>
        <w:rFonts w:ascii="Poppins Light" w:cs="Poppins Light" w:hAnsi="Poppins Light" w:eastAsia="Poppins Light"/>
        <w:outline w:val="0"/>
        <w:color w:val="000000"/>
        <w:sz w:val="20"/>
        <w:szCs w:val="20"/>
        <w:u w:color="000000"/>
        <w:rtl w:val="0"/>
        <w:lang w:val="de-DE"/>
        <w14:textFill>
          <w14:solidFill>
            <w14:srgbClr w14:val="000000"/>
          </w14:solidFill>
        </w14:textFill>
      </w:rPr>
      <w:t>THE ASSOCIATION FOR RENEWABLE ENERGY AND CLEAN TECHNOLOGY</w:t>
    </w:r>
  </w:p>
  <w:p>
    <w:pPr>
      <w:pStyle w:val="Body"/>
      <w:widowControl w:val="0"/>
      <w:jc w:val="center"/>
      <w:rPr>
        <w:rFonts w:ascii="Poppins Light" w:cs="Poppins Light" w:hAnsi="Poppins Light" w:eastAsia="Poppins Light"/>
        <w:outline w:val="0"/>
        <w:color w:val="000000"/>
        <w:sz w:val="20"/>
        <w:szCs w:val="20"/>
        <w:u w:color="000000"/>
        <w14:textFill>
          <w14:solidFill>
            <w14:srgbClr w14:val="000000"/>
          </w14:solidFill>
        </w14:textFill>
      </w:rPr>
    </w:pPr>
    <w:r>
      <w:rPr>
        <w:rFonts w:ascii="Poppins Light" w:cs="Poppins Light" w:hAnsi="Poppins Light" w:eastAsia="Poppins Light"/>
        <w:outline w:val="0"/>
        <w:color w:val="000000"/>
        <w:sz w:val="20"/>
        <w:szCs w:val="20"/>
        <w:u w:color="000000"/>
        <w:rtl w:val="0"/>
        <w:lang w:val="en-US"/>
        <w14:textFill>
          <w14:solidFill>
            <w14:srgbClr w14:val="000000"/>
          </w14:solidFill>
        </w14:textFill>
      </w:rPr>
      <w:t>Brettenham House, 2-19 Lancaster Place, London, WC2E 7EN</w:t>
    </w:r>
  </w:p>
  <w:p>
    <w:pPr>
      <w:pStyle w:val="Body"/>
      <w:widowControl w:val="0"/>
      <w:jc w:val="center"/>
      <w:rPr>
        <w:rStyle w:val="Hyperlink.0"/>
      </w:rPr>
    </w:pPr>
    <w:r>
      <w:rPr>
        <w:rFonts w:ascii="Poppins" w:cs="Poppins" w:hAnsi="Poppins" w:eastAsia="Poppins"/>
        <w:outline w:val="0"/>
        <w:color w:val="06926b"/>
        <w:sz w:val="18"/>
        <w:szCs w:val="18"/>
        <w:u w:color="06926b"/>
        <w:rtl w:val="0"/>
        <w14:textFill>
          <w14:solidFill>
            <w14:srgbClr w14:val="06926B"/>
          </w14:solidFill>
        </w14:textFill>
      </w:rPr>
      <w:t xml:space="preserve">Tel: </w:t>
    </w:r>
    <w:r>
      <w:rPr>
        <w:rFonts w:ascii="Poppins Light" w:cs="Poppins Light" w:hAnsi="Poppins Light" w:eastAsia="Poppins Light"/>
        <w:outline w:val="0"/>
        <w:color w:val="06926b"/>
        <w:sz w:val="18"/>
        <w:szCs w:val="18"/>
        <w:u w:color="06926b"/>
        <w:rtl w:val="0"/>
        <w14:textFill>
          <w14:solidFill>
            <w14:srgbClr w14:val="06926B"/>
          </w14:solidFill>
        </w14:textFill>
      </w:rPr>
      <w:t xml:space="preserve">+44 (0)20 7925 3570 </w:t>
    </w:r>
    <w:r>
      <w:rPr>
        <w:rFonts w:ascii="Poppins" w:cs="Poppins" w:hAnsi="Poppins" w:eastAsia="Poppins"/>
        <w:outline w:val="0"/>
        <w:color w:val="06926b"/>
        <w:sz w:val="18"/>
        <w:szCs w:val="18"/>
        <w:u w:color="06926b"/>
        <w:rtl w:val="0"/>
        <w14:textFill>
          <w14:solidFill>
            <w14:srgbClr w14:val="06926B"/>
          </w14:solidFill>
        </w14:textFill>
      </w:rPr>
      <w:t xml:space="preserve">Email: </w:t>
    </w:r>
    <w:r>
      <w:rPr>
        <w:rStyle w:val="Hyperlink.0"/>
      </w:rPr>
      <w:fldChar w:fldCharType="begin" w:fldLock="0"/>
    </w:r>
    <w:r>
      <w:rPr>
        <w:rStyle w:val="Hyperlink.0"/>
      </w:rPr>
      <w:instrText xml:space="preserve"> HYPERLINK "mailto:info@r-e-a.net"</w:instrText>
    </w:r>
    <w:r>
      <w:rPr>
        <w:rStyle w:val="Hyperlink.0"/>
      </w:rPr>
      <w:fldChar w:fldCharType="separate" w:fldLock="0"/>
    </w:r>
    <w:r>
      <w:rPr>
        <w:rStyle w:val="Hyperlink.0"/>
        <w:rtl w:val="0"/>
        <w:lang w:val="en-US"/>
      </w:rPr>
      <w:t>info@r-e-a.net</w:t>
    </w:r>
    <w:r>
      <w:rPr/>
      <w:fldChar w:fldCharType="end" w:fldLock="0"/>
    </w:r>
    <w:r>
      <w:rPr>
        <w:rStyle w:val="Hyperlink.0"/>
        <w:rtl w:val="0"/>
      </w:rPr>
      <w:t xml:space="preserve"> </w:t>
    </w:r>
    <w:r>
      <w:rPr>
        <w:rStyle w:val="None"/>
        <w:rFonts w:ascii="Poppins" w:cs="Poppins" w:hAnsi="Poppins" w:eastAsia="Poppins"/>
        <w:outline w:val="0"/>
        <w:color w:val="06926b"/>
        <w:sz w:val="18"/>
        <w:szCs w:val="18"/>
        <w:u w:color="06926b"/>
        <w:rtl w:val="0"/>
        <w14:textFill>
          <w14:solidFill>
            <w14:srgbClr w14:val="06926B"/>
          </w14:solidFill>
        </w14:textFill>
      </w:rPr>
      <w:t xml:space="preserve">Web: </w:t>
    </w:r>
    <w:r>
      <w:rPr>
        <w:rStyle w:val="Hyperlink.0"/>
      </w:rPr>
      <w:fldChar w:fldCharType="begin" w:fldLock="0"/>
    </w:r>
    <w:r>
      <w:rPr>
        <w:rStyle w:val="Hyperlink.0"/>
      </w:rPr>
      <w:instrText xml:space="preserve"> HYPERLINK "http://www.r-e-a.net/"</w:instrText>
    </w:r>
    <w:r>
      <w:rPr>
        <w:rStyle w:val="Hyperlink.0"/>
      </w:rPr>
      <w:fldChar w:fldCharType="separate" w:fldLock="0"/>
    </w:r>
    <w:r>
      <w:rPr>
        <w:rStyle w:val="Hyperlink.0"/>
        <w:rtl w:val="0"/>
      </w:rPr>
      <w:t>www.r-e-a.net</w:t>
    </w:r>
    <w:r>
      <w:rPr/>
      <w:fldChar w:fldCharType="end" w:fldLock="0"/>
    </w:r>
  </w:p>
  <w:p>
    <w:pPr>
      <w:pStyle w:val="Body"/>
      <w:widowControl w:val="0"/>
      <w:jc w:val="center"/>
    </w:pPr>
    <w:r>
      <w:rPr>
        <w:rStyle w:val="None"/>
        <w:rFonts w:ascii="Poppins Light" w:cs="Poppins Light" w:hAnsi="Poppins Light" w:eastAsia="Poppins Light"/>
        <w:outline w:val="0"/>
        <w:color w:val="000000"/>
        <w:sz w:val="20"/>
        <w:szCs w:val="20"/>
        <w:u w:color="000000"/>
        <w:rtl w:val="0"/>
        <w:lang w:val="en-US"/>
        <w14:textFill>
          <w14:solidFill>
            <w14:srgbClr w14:val="000000"/>
          </w14:solidFill>
        </w14:textFill>
      </w:rPr>
      <w:t>Company no: 04241430 Registered in England and Wales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00"/>
      </w:tabs>
      <w:jc w:val="right"/>
    </w:pPr>
    <w:r>
      <w:rPr>
        <w:outline w:val="0"/>
        <w:color w:val="000000"/>
        <w:u w:color="000000"/>
        <w14:textFill>
          <w14:solidFill>
            <w14:srgbClr w14:val="000000"/>
          </w14:solidFill>
        </w14:textFill>
      </w:rPr>
      <w:drawing xmlns:a="http://schemas.openxmlformats.org/drawingml/2006/main">
        <wp:inline distT="0" distB="0" distL="0" distR="0">
          <wp:extent cx="1706841" cy="707202"/>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706841" cy="707202"/>
                  </a:xfrm>
                  <a:prstGeom prst="rect">
                    <a:avLst/>
                  </a:prstGeom>
                  <a:ln w="12700" cap="flat">
                    <a:noFill/>
                    <a:miter lim="400000"/>
                  </a:ln>
                  <a:effectLst/>
                </pic:spPr>
              </pic:pic>
            </a:graphicData>
          </a:graphic>
        </wp:inline>
      </w:draw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00"/>
      </w:tabs>
      <w:jc w:val="right"/>
    </w:pPr>
    <w:r>
      <w:rPr>
        <w:outline w:val="0"/>
        <w:color w:val="000000"/>
        <w:u w:color="000000"/>
        <w14:textFill>
          <w14:solidFill>
            <w14:srgbClr w14:val="000000"/>
          </w14:solidFill>
        </w14:textFill>
      </w:rPr>
      <w:drawing xmlns:a="http://schemas.openxmlformats.org/drawingml/2006/main">
        <wp:inline distT="0" distB="0" distL="0" distR="0">
          <wp:extent cx="1706841" cy="707202"/>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1706841" cy="70720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20" w:line="276" w:lineRule="auto"/>
      <w:ind w:left="0" w:right="0" w:firstLine="0"/>
      <w:jc w:val="left"/>
      <w:outlineLvl w:val="9"/>
    </w:pPr>
    <w:rPr>
      <w:rFonts w:ascii="Open Sans" w:cs="Open Sans" w:hAnsi="Open Sans" w:eastAsia="Open San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Poppins Light" w:cs="Poppins Light" w:hAnsi="Poppins Light" w:eastAsia="Poppins Light"/>
      <w:outline w:val="0"/>
      <w:color w:val="06926b"/>
      <w:sz w:val="18"/>
      <w:szCs w:val="18"/>
      <w:u w:color="06926b"/>
      <w14:textFill>
        <w14:solidFill>
          <w14:srgbClr w14:val="06926B"/>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