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38761d"/>
          <w:sz w:val="36"/>
          <w:szCs w:val="36"/>
          <w:vertAlign w:val="superscript"/>
        </w:rPr>
      </w:pPr>
      <w:r w:rsidDel="00000000" w:rsidR="00000000" w:rsidRPr="00000000">
        <w:rPr>
          <w:b w:val="1"/>
          <w:color w:val="38761d"/>
          <w:sz w:val="36"/>
          <w:szCs w:val="36"/>
          <w:rtl w:val="0"/>
        </w:rPr>
        <w:t xml:space="preserve">REA reply to the review process of the World Resources Institute’s Greenhouse Gas Protocol Draft </w:t>
      </w:r>
      <w:r w:rsidDel="00000000" w:rsidR="00000000" w:rsidRPr="00000000">
        <w:rPr>
          <w:b w:val="1"/>
          <w:i w:val="1"/>
          <w:color w:val="38761d"/>
          <w:sz w:val="36"/>
          <w:szCs w:val="36"/>
          <w:rtl w:val="0"/>
        </w:rPr>
        <w:t xml:space="preserve">Land Sector and Removals Guidance</w:t>
      </w:r>
      <w:r w:rsidDel="00000000" w:rsidR="00000000" w:rsidRPr="00000000">
        <w:rPr>
          <w:b w:val="1"/>
          <w:color w:val="38761d"/>
          <w:sz w:val="36"/>
          <w:szCs w:val="36"/>
          <w:rtl w:val="0"/>
        </w:rPr>
        <w:t xml:space="preserve">.</w:t>
      </w:r>
      <w:r w:rsidDel="00000000" w:rsidR="00000000" w:rsidRPr="00000000">
        <w:rPr>
          <w:b w:val="1"/>
          <w:color w:val="38761d"/>
          <w:sz w:val="36"/>
          <w:szCs w:val="36"/>
          <w:vertAlign w:val="superscript"/>
        </w:rPr>
        <w:footnoteReference w:customMarkFollows="0" w:id="0"/>
      </w:r>
      <w:r w:rsidDel="00000000" w:rsidR="00000000" w:rsidRPr="00000000">
        <w:rPr>
          <w:b w:val="1"/>
          <w:color w:val="38761d"/>
          <w:sz w:val="36"/>
          <w:szCs w:val="36"/>
          <w:vertAlign w:val="superscript"/>
          <w:rtl w:val="0"/>
        </w:rPr>
        <w:t xml:space="preserve">,</w:t>
      </w:r>
      <w:r w:rsidDel="00000000" w:rsidR="00000000" w:rsidRPr="00000000">
        <w:rPr>
          <w:b w:val="1"/>
          <w:color w:val="38761d"/>
          <w:sz w:val="36"/>
          <w:szCs w:val="36"/>
          <w:vertAlign w:val="superscript"/>
        </w:rPr>
        <w:footnoteReference w:customMarkFollows="0" w:id="1"/>
      </w:r>
      <w:r w:rsidDel="00000000" w:rsidR="00000000" w:rsidRPr="00000000">
        <w:rPr>
          <w:rtl w:val="0"/>
        </w:rPr>
      </w:r>
    </w:p>
    <w:p w:rsidR="00000000" w:rsidDel="00000000" w:rsidP="00000000" w:rsidRDefault="00000000" w:rsidRPr="00000000" w14:paraId="00000002">
      <w:pPr>
        <w:rPr>
          <w:b w:val="1"/>
          <w:color w:val="000000"/>
          <w:sz w:val="24"/>
          <w:szCs w:val="24"/>
        </w:rPr>
      </w:pPr>
      <w:r w:rsidDel="00000000" w:rsidR="00000000" w:rsidRPr="00000000">
        <w:rPr>
          <w:rtl w:val="0"/>
        </w:rPr>
      </w:r>
    </w:p>
    <w:p w:rsidR="00000000" w:rsidDel="00000000" w:rsidP="00000000" w:rsidRDefault="00000000" w:rsidRPr="00000000" w14:paraId="00000003">
      <w:pPr>
        <w:rPr>
          <w:b w:val="1"/>
          <w:color w:val="000000"/>
          <w:sz w:val="24"/>
          <w:szCs w:val="24"/>
        </w:rPr>
      </w:pPr>
      <w:r w:rsidDel="00000000" w:rsidR="00000000" w:rsidRPr="00000000">
        <w:rPr>
          <w:b w:val="1"/>
          <w:color w:val="000000"/>
          <w:sz w:val="24"/>
          <w:szCs w:val="24"/>
          <w:rtl w:val="0"/>
        </w:rPr>
        <w:t xml:space="preserve">Below is the draft REA response to the review process. REA and GGCS members may wish to provide comments to the below and supporting examples where GoO have led to additional production/investment decisions.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Part 1 – Page 20 Lines 19-20 “</w:t>
      </w:r>
      <w:r w:rsidDel="00000000" w:rsidR="00000000" w:rsidRPr="00000000">
        <w:rPr>
          <w:b w:val="1"/>
          <w:i w:val="1"/>
          <w:sz w:val="24"/>
          <w:szCs w:val="24"/>
          <w:rtl w:val="0"/>
        </w:rPr>
        <w:t xml:space="preserve">Comparability</w:t>
      </w:r>
      <w:r w:rsidDel="00000000" w:rsidR="00000000" w:rsidRPr="00000000">
        <w:rPr>
          <w:i w:val="1"/>
          <w:sz w:val="24"/>
          <w:szCs w:val="24"/>
          <w:rtl w:val="0"/>
        </w:rPr>
        <w:t xml:space="preserve">: Apply common methodologies, data sources, assumptions, and reporting formats such that the reported GHG inventories from multiple companies can be compared</w:t>
      </w:r>
      <w:r w:rsidDel="00000000" w:rsidR="00000000" w:rsidRPr="00000000">
        <w:rPr>
          <w:sz w:val="24"/>
          <w:szCs w:val="24"/>
          <w:rtl w:val="0"/>
        </w:rPr>
        <w:t xml:space="preserve">.”</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In relation to reporting of biomethane sourced via ‘common carrier pipelines’, companies within the European Union will be applying the “common methodology” of using Guarantees of Origin (a type of Renewable Energy Certificate (REC)) for disclosing and reporting their use of renewable gas. This is clearly set out in the </w:t>
      </w:r>
      <w:hyperlink r:id="rId8">
        <w:r w:rsidDel="00000000" w:rsidR="00000000" w:rsidRPr="00000000">
          <w:rPr>
            <w:color w:val="0563c1"/>
            <w:sz w:val="24"/>
            <w:szCs w:val="24"/>
            <w:u w:val="single"/>
            <w:rtl w:val="0"/>
          </w:rPr>
          <w:t xml:space="preserve">Renewable Energy Directive (RED)</w:t>
        </w:r>
      </w:hyperlink>
      <w:r w:rsidDel="00000000" w:rsidR="00000000" w:rsidRPr="00000000">
        <w:rPr>
          <w:sz w:val="24"/>
          <w:szCs w:val="24"/>
          <w:rtl w:val="0"/>
        </w:rPr>
        <w:t xml:space="preserve"> Article 19 “</w:t>
      </w:r>
      <w:r w:rsidDel="00000000" w:rsidR="00000000" w:rsidRPr="00000000">
        <w:rPr>
          <w:i w:val="1"/>
          <w:sz w:val="24"/>
          <w:szCs w:val="24"/>
          <w:rtl w:val="0"/>
        </w:rPr>
        <w:t xml:space="preserve">Guarantees of origin for energy from renewable sources</w:t>
      </w:r>
      <w:r w:rsidDel="00000000" w:rsidR="00000000" w:rsidRPr="00000000">
        <w:rPr>
          <w:sz w:val="24"/>
          <w:szCs w:val="24"/>
          <w:rtl w:val="0"/>
        </w:rPr>
        <w:t xml:space="preserve">” (section 7 (b) ii), which includes a clear reference to renewable “gas”.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Annex B – Page 128 </w:t>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Line 5 </w:t>
      </w:r>
      <w:r w:rsidDel="00000000" w:rsidR="00000000" w:rsidRPr="00000000">
        <w:rPr>
          <w:sz w:val="24"/>
          <w:szCs w:val="24"/>
          <w:rtl w:val="0"/>
        </w:rPr>
        <w:t xml:space="preserve">references the</w:t>
      </w:r>
      <w:r w:rsidDel="00000000" w:rsidR="00000000" w:rsidRPr="00000000">
        <w:rPr>
          <w:b w:val="1"/>
          <w:sz w:val="24"/>
          <w:szCs w:val="24"/>
          <w:rtl w:val="0"/>
        </w:rPr>
        <w:t xml:space="preserve"> “</w:t>
      </w:r>
      <w:r w:rsidDel="00000000" w:rsidR="00000000" w:rsidRPr="00000000">
        <w:rPr>
          <w:i w:val="1"/>
          <w:sz w:val="24"/>
          <w:szCs w:val="24"/>
          <w:rtl w:val="0"/>
        </w:rPr>
        <w:t xml:space="preserve">average data approach to account for scope 1 and scope 3 emissions.” </w:t>
      </w:r>
      <w:r w:rsidDel="00000000" w:rsidR="00000000" w:rsidRPr="00000000">
        <w:rPr>
          <w:sz w:val="24"/>
          <w:szCs w:val="24"/>
          <w:rtl w:val="0"/>
        </w:rPr>
        <w:t xml:space="preserve">GHG Protocol Scope 3 guidance allows for the use of average data as an option where no specific data is available but also sets out a preference for the use of primary data. There seems no reason not to use primary data in this case i.e. emission factors from biomethane producers tracked via a certificate where such information is available.  There are now multiple registries around the world that are accurately and reliably tracking biomethane (see details on ERGaR, GGCS, MRETS, at the following links: </w:t>
      </w:r>
      <w:hyperlink r:id="rId9">
        <w:r w:rsidDel="00000000" w:rsidR="00000000" w:rsidRPr="00000000">
          <w:rPr>
            <w:color w:val="0563c1"/>
            <w:sz w:val="24"/>
            <w:szCs w:val="24"/>
            <w:u w:val="single"/>
            <w:rtl w:val="0"/>
          </w:rPr>
          <w:t xml:space="preserve">https://www.ergar.org/</w:t>
        </w:r>
      </w:hyperlink>
      <w:r w:rsidDel="00000000" w:rsidR="00000000" w:rsidRPr="00000000">
        <w:rPr>
          <w:sz w:val="24"/>
          <w:szCs w:val="24"/>
          <w:rtl w:val="0"/>
        </w:rPr>
        <w:t xml:space="preserve">, </w:t>
      </w:r>
      <w:hyperlink r:id="rId10">
        <w:r w:rsidDel="00000000" w:rsidR="00000000" w:rsidRPr="00000000">
          <w:rPr>
            <w:color w:val="0563c1"/>
            <w:sz w:val="24"/>
            <w:szCs w:val="24"/>
            <w:u w:val="single"/>
            <w:rtl w:val="0"/>
          </w:rPr>
          <w:t xml:space="preserve">www.greengas.org.uk</w:t>
        </w:r>
      </w:hyperlink>
      <w:r w:rsidDel="00000000" w:rsidR="00000000" w:rsidRPr="00000000">
        <w:rPr>
          <w:sz w:val="24"/>
          <w:szCs w:val="24"/>
          <w:rtl w:val="0"/>
        </w:rPr>
        <w:t xml:space="preserve">, </w:t>
      </w:r>
      <w:hyperlink r:id="rId11">
        <w:r w:rsidDel="00000000" w:rsidR="00000000" w:rsidRPr="00000000">
          <w:rPr>
            <w:color w:val="0563c1"/>
            <w:sz w:val="24"/>
            <w:szCs w:val="24"/>
            <w:u w:val="single"/>
            <w:rtl w:val="0"/>
          </w:rPr>
          <w:t xml:space="preserve">https://www.mrets.org/m-rets-renewable-thermal-tracking-system/</w:t>
        </w:r>
      </w:hyperlink>
      <w:r w:rsidDel="00000000" w:rsidR="00000000" w:rsidRPr="00000000">
        <w:rPr>
          <w:sz w:val="24"/>
          <w:szCs w:val="24"/>
          <w:rtl w:val="0"/>
        </w:rPr>
        <w:t xml:space="preserve">,   </w:t>
      </w:r>
      <w:hyperlink r:id="rId12">
        <w:r w:rsidDel="00000000" w:rsidR="00000000" w:rsidRPr="00000000">
          <w:rPr>
            <w:color w:val="0563c1"/>
            <w:sz w:val="24"/>
            <w:szCs w:val="24"/>
            <w:u w:val="single"/>
            <w:rtl w:val="0"/>
          </w:rPr>
          <w:t xml:space="preserve">https://www.biogasregister.de/startseite/</w:t>
        </w:r>
      </w:hyperlink>
      <w:r w:rsidDel="00000000" w:rsidR="00000000" w:rsidRPr="00000000">
        <w:rPr>
          <w:sz w:val="24"/>
          <w:szCs w:val="24"/>
          <w:rtl w:val="0"/>
        </w:rPr>
        <w:t xml:space="preserve">, </w:t>
      </w:r>
      <w:hyperlink r:id="rId13">
        <w:r w:rsidDel="00000000" w:rsidR="00000000" w:rsidRPr="00000000">
          <w:rPr>
            <w:color w:val="0563c1"/>
            <w:sz w:val="24"/>
            <w:szCs w:val="24"/>
            <w:u w:val="single"/>
            <w:rtl w:val="0"/>
          </w:rPr>
          <w:t xml:space="preserve">https://nabisy.ble.de/app/locale?set=en</w:t>
        </w:r>
      </w:hyperlink>
      <w:r w:rsidDel="00000000" w:rsidR="00000000" w:rsidRPr="00000000">
        <w:rPr>
          <w:sz w:val="24"/>
          <w:szCs w:val="24"/>
          <w:rtl w:val="0"/>
        </w:rPr>
        <w:t xml:space="preserve">).</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Annex B – Page 128 </w:t>
      </w:r>
    </w:p>
    <w:p w:rsidR="00000000" w:rsidDel="00000000" w:rsidP="00000000" w:rsidRDefault="00000000" w:rsidRPr="00000000" w14:paraId="0000000C">
      <w:pPr>
        <w:jc w:val="both"/>
        <w:rPr>
          <w:sz w:val="24"/>
          <w:szCs w:val="24"/>
        </w:rPr>
      </w:pPr>
      <w:bookmarkStart w:colFirst="0" w:colLast="0" w:name="_heading=h.gjdgxs" w:id="0"/>
      <w:bookmarkEnd w:id="0"/>
      <w:r w:rsidDel="00000000" w:rsidR="00000000" w:rsidRPr="00000000">
        <w:rPr>
          <w:b w:val="1"/>
          <w:sz w:val="24"/>
          <w:szCs w:val="24"/>
          <w:rtl w:val="0"/>
        </w:rPr>
        <w:t xml:space="preserve">Line 23</w:t>
      </w:r>
      <w:r w:rsidDel="00000000" w:rsidR="00000000" w:rsidRPr="00000000">
        <w:rPr>
          <w:sz w:val="24"/>
          <w:szCs w:val="24"/>
          <w:rtl w:val="0"/>
        </w:rPr>
        <w:t xml:space="preserve"> starts with the statement that “</w:t>
      </w:r>
      <w:r w:rsidDel="00000000" w:rsidR="00000000" w:rsidRPr="00000000">
        <w:rPr>
          <w:i w:val="1"/>
          <w:sz w:val="24"/>
          <w:szCs w:val="24"/>
          <w:rtl w:val="0"/>
        </w:rPr>
        <w:t xml:space="preserve">Companies that purchase and consume (combust) bioenergy (biomass, biofuels, or biogas) account for and report: ..."</w:t>
      </w:r>
      <w:r w:rsidDel="00000000" w:rsidR="00000000" w:rsidRPr="00000000">
        <w:rPr>
          <w:sz w:val="24"/>
          <w:szCs w:val="24"/>
          <w:rtl w:val="0"/>
        </w:rPr>
        <w:t xml:space="preserve">  and goes on to list several bullet point requirements.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This includes from </w:t>
      </w:r>
      <w:r w:rsidDel="00000000" w:rsidR="00000000" w:rsidRPr="00000000">
        <w:rPr>
          <w:b w:val="1"/>
          <w:sz w:val="24"/>
          <w:szCs w:val="24"/>
          <w:rtl w:val="0"/>
        </w:rPr>
        <w:t xml:space="preserve">Page 129 Lines 6-13, 15 &amp; 16</w:t>
      </w:r>
      <w:r w:rsidDel="00000000" w:rsidR="00000000" w:rsidRPr="00000000">
        <w:rPr>
          <w:sz w:val="24"/>
          <w:szCs w:val="24"/>
          <w:rtl w:val="0"/>
        </w:rPr>
        <w:t xml:space="preserve"> a series ‘upstream land impacts’ – or as referenced in the Annex a “</w:t>
      </w:r>
      <w:r w:rsidDel="00000000" w:rsidR="00000000" w:rsidRPr="00000000">
        <w:rPr>
          <w:i w:val="1"/>
          <w:sz w:val="24"/>
          <w:szCs w:val="24"/>
          <w:rtl w:val="0"/>
        </w:rPr>
        <w:t xml:space="preserve">cradle-to-gate</w:t>
      </w:r>
      <w:r w:rsidDel="00000000" w:rsidR="00000000" w:rsidRPr="00000000">
        <w:rPr>
          <w:sz w:val="24"/>
          <w:szCs w:val="24"/>
          <w:rtl w:val="0"/>
        </w:rPr>
        <w:t xml:space="preserve">” methodology including process such as “</w:t>
      </w:r>
      <w:r w:rsidDel="00000000" w:rsidR="00000000" w:rsidRPr="00000000">
        <w:rPr>
          <w:i w:val="1"/>
          <w:sz w:val="24"/>
          <w:szCs w:val="24"/>
          <w:rtl w:val="0"/>
        </w:rPr>
        <w:t xml:space="preserve">extraction, production…</w:t>
      </w:r>
      <w:r w:rsidDel="00000000" w:rsidR="00000000" w:rsidRPr="00000000">
        <w:rPr>
          <w:sz w:val="24"/>
          <w:szCs w:val="24"/>
          <w:rtl w:val="0"/>
        </w:rPr>
        <w:t xml:space="preserve">” of the purchased bioenergy.</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Conversations with biomethane producers have indicated that, whilst they do have experience in calculating lifecycle emissions around feedstocks used for the production of biomethane (something which is well-practised in the industry), this new methodology will be a significant burden. The new </w:t>
      </w:r>
      <w:r w:rsidDel="00000000" w:rsidR="00000000" w:rsidRPr="00000000">
        <w:rPr>
          <w:i w:val="1"/>
          <w:sz w:val="24"/>
          <w:szCs w:val="24"/>
          <w:rtl w:val="0"/>
        </w:rPr>
        <w:t xml:space="preserve">Sample Reporting Template - Part 1 (Draft for Pilot Testing and Review)</w:t>
      </w:r>
      <w:r w:rsidDel="00000000" w:rsidR="00000000" w:rsidRPr="00000000">
        <w:rPr>
          <w:sz w:val="24"/>
          <w:szCs w:val="24"/>
          <w:rtl w:val="0"/>
        </w:rPr>
        <w:t xml:space="preserve"> sets out a total of 15 reporting areas across Scope 3 ‘</w:t>
      </w:r>
      <w:r w:rsidDel="00000000" w:rsidR="00000000" w:rsidRPr="00000000">
        <w:rPr>
          <w:i w:val="1"/>
          <w:sz w:val="24"/>
          <w:szCs w:val="24"/>
          <w:rtl w:val="0"/>
        </w:rPr>
        <w:t xml:space="preserve">indirect emissions in the value chain</w:t>
      </w:r>
      <w:r w:rsidDel="00000000" w:rsidR="00000000" w:rsidRPr="00000000">
        <w:rPr>
          <w:sz w:val="24"/>
          <w:szCs w:val="24"/>
          <w:rtl w:val="0"/>
        </w:rPr>
        <w:t xml:space="preserve">’ for ‘</w:t>
      </w:r>
      <w:r w:rsidDel="00000000" w:rsidR="00000000" w:rsidRPr="00000000">
        <w:rPr>
          <w:i w:val="1"/>
          <w:sz w:val="24"/>
          <w:szCs w:val="24"/>
          <w:rtl w:val="0"/>
        </w:rPr>
        <w:t xml:space="preserve">upstream’</w:t>
      </w:r>
      <w:r w:rsidDel="00000000" w:rsidR="00000000" w:rsidRPr="00000000">
        <w:rPr>
          <w:sz w:val="24"/>
          <w:szCs w:val="24"/>
          <w:rtl w:val="0"/>
        </w:rPr>
        <w:t xml:space="preserve"> and ‘</w:t>
      </w:r>
      <w:r w:rsidDel="00000000" w:rsidR="00000000" w:rsidRPr="00000000">
        <w:rPr>
          <w:i w:val="1"/>
          <w:sz w:val="24"/>
          <w:szCs w:val="24"/>
          <w:rtl w:val="0"/>
        </w:rPr>
        <w:t xml:space="preserve">downstream’</w:t>
      </w:r>
      <w:r w:rsidDel="00000000" w:rsidR="00000000" w:rsidRPr="00000000">
        <w:rPr>
          <w:sz w:val="24"/>
          <w:szCs w:val="24"/>
          <w:rtl w:val="0"/>
        </w:rPr>
        <w:t xml:space="preserve">) across some 20+ categories to consider, with many of these categories both new to producers and involving some complex considerations in order to estimate. This includes issues such as emissions in carbon pools, and land tracking. We want to highlight the additional reporting burden that is being suggested in the Draft will fall on – in many instances – small scale renewable gas producers and presents a significant challenge to the reporting processes currently in place. </w:t>
      </w:r>
    </w:p>
    <w:p w:rsidR="00000000" w:rsidDel="00000000" w:rsidP="00000000" w:rsidRDefault="00000000" w:rsidRPr="00000000" w14:paraId="00000010">
      <w:pPr>
        <w:ind w:left="360" w:firstLine="0"/>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Annex B – Page 129 </w:t>
      </w:r>
    </w:p>
    <w:p w:rsidR="00000000" w:rsidDel="00000000" w:rsidP="00000000" w:rsidRDefault="00000000" w:rsidRPr="00000000" w14:paraId="00000012">
      <w:pPr>
        <w:jc w:val="both"/>
        <w:rPr>
          <w:sz w:val="24"/>
          <w:szCs w:val="24"/>
        </w:rPr>
      </w:pPr>
      <w:r w:rsidDel="00000000" w:rsidR="00000000" w:rsidRPr="00000000">
        <w:rPr>
          <w:b w:val="1"/>
          <w:sz w:val="24"/>
          <w:szCs w:val="24"/>
          <w:rtl w:val="0"/>
        </w:rPr>
        <w:t xml:space="preserve">Lines 19-23</w:t>
      </w:r>
      <w:r w:rsidDel="00000000" w:rsidR="00000000" w:rsidRPr="00000000">
        <w:rPr>
          <w:sz w:val="24"/>
          <w:szCs w:val="24"/>
          <w:rtl w:val="0"/>
        </w:rPr>
        <w:t xml:space="preserve">: ‘</w:t>
      </w:r>
      <w:r w:rsidDel="00000000" w:rsidR="00000000" w:rsidRPr="00000000">
        <w:rPr>
          <w:i w:val="1"/>
          <w:sz w:val="24"/>
          <w:szCs w:val="24"/>
          <w:rtl w:val="0"/>
        </w:rPr>
        <w:t xml:space="preserve">Allocating for waste</w:t>
      </w:r>
      <w:r w:rsidDel="00000000" w:rsidR="00000000" w:rsidRPr="00000000">
        <w:rPr>
          <w:sz w:val="24"/>
          <w:szCs w:val="24"/>
          <w:rtl w:val="0"/>
        </w:rPr>
        <w:t xml:space="preserve">’ - the definition of </w:t>
      </w:r>
      <w:r w:rsidDel="00000000" w:rsidR="00000000" w:rsidRPr="00000000">
        <w:rPr>
          <w:i w:val="1"/>
          <w:sz w:val="24"/>
          <w:szCs w:val="24"/>
          <w:rtl w:val="0"/>
        </w:rPr>
        <w:t xml:space="preserve">waste</w:t>
      </w:r>
      <w:r w:rsidDel="00000000" w:rsidR="00000000" w:rsidRPr="00000000">
        <w:rPr>
          <w:sz w:val="24"/>
          <w:szCs w:val="24"/>
          <w:rtl w:val="0"/>
        </w:rPr>
        <w:t xml:space="preserve"> as a product that has no market value does not align with the definition in the UK or EU where there is flexibility to determine whether a substance is a waste or by product. See:</w:t>
      </w:r>
    </w:p>
    <w:p w:rsidR="00000000" w:rsidDel="00000000" w:rsidP="00000000" w:rsidRDefault="00000000" w:rsidRPr="00000000" w14:paraId="00000013">
      <w:pPr>
        <w:jc w:val="both"/>
        <w:rPr>
          <w:sz w:val="24"/>
          <w:szCs w:val="24"/>
        </w:rPr>
      </w:pPr>
      <w:hyperlink r:id="rId14">
        <w:r w:rsidDel="00000000" w:rsidR="00000000" w:rsidRPr="00000000">
          <w:rPr>
            <w:color w:val="0563c1"/>
            <w:sz w:val="24"/>
            <w:szCs w:val="24"/>
            <w:u w:val="single"/>
            <w:rtl w:val="0"/>
          </w:rPr>
          <w:t xml:space="preserve">https://www.gov.uk/government/publications/legal-definition-of-waste-guidance/definition-of-waste-2018-waste-framework-directive-amendments</w:t>
        </w:r>
      </w:hyperlink>
      <w:r w:rsidDel="00000000" w:rsidR="00000000" w:rsidRPr="00000000">
        <w:rPr>
          <w:sz w:val="24"/>
          <w:szCs w:val="24"/>
          <w:rtl w:val="0"/>
        </w:rPr>
        <w:t xml:space="preserve">. It would be useful to explain in the guidance that such differences exist so companies are aware they may need to assess what they consider waste in their existing frameworks. </w:t>
      </w:r>
    </w:p>
    <w:p w:rsidR="00000000" w:rsidDel="00000000" w:rsidP="00000000" w:rsidRDefault="00000000" w:rsidRPr="00000000" w14:paraId="00000014">
      <w:pPr>
        <w:ind w:left="360" w:firstLine="0"/>
        <w:jc w:val="both"/>
        <w:rPr>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Annex B –  Page 129 </w:t>
      </w:r>
    </w:p>
    <w:p w:rsidR="00000000" w:rsidDel="00000000" w:rsidP="00000000" w:rsidRDefault="00000000" w:rsidRPr="00000000" w14:paraId="00000016">
      <w:pPr>
        <w:jc w:val="both"/>
        <w:rPr>
          <w:sz w:val="24"/>
          <w:szCs w:val="24"/>
        </w:rPr>
      </w:pPr>
      <w:r w:rsidDel="00000000" w:rsidR="00000000" w:rsidRPr="00000000">
        <w:rPr>
          <w:b w:val="1"/>
          <w:sz w:val="24"/>
          <w:szCs w:val="24"/>
          <w:rtl w:val="0"/>
        </w:rPr>
        <w:t xml:space="preserve">Line 24</w:t>
      </w:r>
      <w:r w:rsidDel="00000000" w:rsidR="00000000" w:rsidRPr="00000000">
        <w:rPr>
          <w:sz w:val="24"/>
          <w:szCs w:val="24"/>
          <w:rtl w:val="0"/>
        </w:rPr>
        <w:t xml:space="preserve">: Reference is a made to a “dedicated pipeline”. There are, however, no dedicated pipelines for the delivery of biomethane: we are also not aware of any plans to build such pipelines and it would be inefficient to do so. The most effective way for consumers to source biomethane remains through existing gas grids, and the use of ‘contractual instruments’ such as Guarantees of Origin, provides an efficient route for organisations to source renewable gas of the quantity, quality and sustainability that fits their emission reduction goals, while also supporting the additional production of renewable gas.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Annex B – Page 129 </w:t>
      </w:r>
    </w:p>
    <w:p w:rsidR="00000000" w:rsidDel="00000000" w:rsidP="00000000" w:rsidRDefault="00000000" w:rsidRPr="00000000" w14:paraId="00000019">
      <w:pPr>
        <w:jc w:val="both"/>
        <w:rPr>
          <w:sz w:val="24"/>
          <w:szCs w:val="24"/>
        </w:rPr>
      </w:pPr>
      <w:r w:rsidDel="00000000" w:rsidR="00000000" w:rsidRPr="00000000">
        <w:rPr>
          <w:b w:val="1"/>
          <w:sz w:val="24"/>
          <w:szCs w:val="24"/>
          <w:rtl w:val="0"/>
        </w:rPr>
        <w:t xml:space="preserve">Line 25</w:t>
      </w:r>
      <w:r w:rsidDel="00000000" w:rsidR="00000000" w:rsidRPr="00000000">
        <w:rPr>
          <w:sz w:val="24"/>
          <w:szCs w:val="24"/>
          <w:rtl w:val="0"/>
        </w:rPr>
        <w:t xml:space="preserve"> states “</w:t>
      </w:r>
      <w:r w:rsidDel="00000000" w:rsidR="00000000" w:rsidRPr="00000000">
        <w:rPr>
          <w:i w:val="1"/>
          <w:sz w:val="24"/>
          <w:szCs w:val="24"/>
          <w:rtl w:val="0"/>
        </w:rPr>
        <w:t xml:space="preserve">Common carrier pipelines can contain a mix of biogenic and fossil gas and do not differentiate or track unique molecules of gas from the point of injection to the point of consumption”.</w:t>
      </w:r>
      <w:r w:rsidDel="00000000" w:rsidR="00000000" w:rsidRPr="00000000">
        <w:rPr>
          <w:sz w:val="24"/>
          <w:szCs w:val="24"/>
          <w:rtl w:val="0"/>
        </w:rPr>
        <w:t xml:space="preserve"> This is a confusing statement as the GHG Protocol has long provided end users a route to account for their use of renewable power through the electricity grid, which is another common carrier system that does not differentiate between electrons generated from fossil or renewable sources. In the case of sourcing renewable electricity, the GHG Protocol allows the use of ‘contractual instruments’ such as Renewable Energy Certificates (RECs) to provide this route. Hence there is a clear contradiction here between the market-based approach in Scope 2 Guidance for renewable electricity and the lack of a market-based approach for grid-delivered biomethane. There is no explanation as to why this is the case in either this section, or in Box B.1 which is also referred to.</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Annex B – Page 129 </w:t>
      </w:r>
    </w:p>
    <w:p w:rsidR="00000000" w:rsidDel="00000000" w:rsidP="00000000" w:rsidRDefault="00000000" w:rsidRPr="00000000" w14:paraId="0000001C">
      <w:pPr>
        <w:jc w:val="both"/>
        <w:rPr>
          <w:sz w:val="24"/>
          <w:szCs w:val="24"/>
        </w:rPr>
      </w:pPr>
      <w:r w:rsidDel="00000000" w:rsidR="00000000" w:rsidRPr="00000000">
        <w:rPr>
          <w:b w:val="1"/>
          <w:sz w:val="24"/>
          <w:szCs w:val="24"/>
          <w:rtl w:val="0"/>
        </w:rPr>
        <w:t xml:space="preserve">Line 26</w:t>
      </w:r>
      <w:r w:rsidDel="00000000" w:rsidR="00000000" w:rsidRPr="00000000">
        <w:rPr>
          <w:sz w:val="24"/>
          <w:szCs w:val="24"/>
          <w:rtl w:val="0"/>
        </w:rPr>
        <w:t xml:space="preserve">: “</w:t>
      </w:r>
      <w:r w:rsidDel="00000000" w:rsidR="00000000" w:rsidRPr="00000000">
        <w:rPr>
          <w:i w:val="1"/>
          <w:sz w:val="24"/>
          <w:szCs w:val="24"/>
          <w:rtl w:val="0"/>
        </w:rPr>
        <w:t xml:space="preserve">In contrast, dedicated pipelines allow for differentiation by type and origin of gas.</w:t>
      </w:r>
      <w:r w:rsidDel="00000000" w:rsidR="00000000" w:rsidRPr="00000000">
        <w:rPr>
          <w:sz w:val="24"/>
          <w:szCs w:val="24"/>
          <w:rtl w:val="0"/>
        </w:rPr>
        <w:t xml:space="preserve">” There are some instances in the UK of ‘virtual pipelines’ where biomethane is delivered by road from producer to consumer where they are not connected to the grid. However, this is economically inefficient and has a higher GHG impact than transmission of this gas through the gas grid.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We are already aware of an instances where end consumers are in discussion with developers to build a new plant and contract the purchase of biomethane via the grid (representing additional production), and are now having to consider the delivery of biomethane to site via a ‘virtual pipeline’ i.e. road transport, to ensure that they can realise the emission savings as currently set out in this draft guidance. This highlights a real-world example of where this guidance could lead to increases in GHG emissions as a result of additional processes to store and transport the gas, an increased potential for methane leakage, increased costs due to the requirement for new infrastructure, and increases in vehicle movements.</w:t>
      </w:r>
    </w:p>
    <w:p w:rsidR="00000000" w:rsidDel="00000000" w:rsidP="00000000" w:rsidRDefault="00000000" w:rsidRPr="00000000" w14:paraId="0000001F">
      <w:pPr>
        <w:ind w:left="360" w:firstLine="0"/>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Annex B – Page 129 </w:t>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Lines 28-32</w:t>
      </w:r>
      <w:r w:rsidDel="00000000" w:rsidR="00000000" w:rsidRPr="00000000">
        <w:rPr>
          <w:sz w:val="24"/>
          <w:szCs w:val="24"/>
          <w:rtl w:val="0"/>
        </w:rPr>
        <w:t xml:space="preserve"> provide an example on the reporting of biofuel via an average data method in the Scope 3 guidance – with an allocation of emissions savings from a proportion of fuel delivered to an end user being accounted for off-scope. However, this again completely ignores the current treatment of renewable electricity through market-based GHG Protocol Scope 2 reporting.  </w:t>
      </w:r>
    </w:p>
    <w:p w:rsidR="00000000" w:rsidDel="00000000" w:rsidP="00000000" w:rsidRDefault="00000000" w:rsidRPr="00000000" w14:paraId="00000022">
      <w:pPr>
        <w:ind w:left="360" w:firstLine="0"/>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We see no reason why this guidance should not refer to the Scope 2 guidance rather than the Scope 1 and 3 guidance.</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The language contained within this section also suggests a pre-determined outcome to the forthcoming market-based review (as set out in Box B.1). Currently – market-based reporting of renewable electricity alongside the use of a contractual instrument exists in the GHG Protocol and the failure to reference this in this section is a significant omission.</w:t>
      </w:r>
    </w:p>
    <w:p w:rsidR="00000000" w:rsidDel="00000000" w:rsidP="00000000" w:rsidRDefault="00000000" w:rsidRPr="00000000" w14:paraId="00000026">
      <w:pPr>
        <w:ind w:left="360" w:firstLine="0"/>
        <w:jc w:val="both"/>
        <w:rPr>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b w:val="1"/>
          <w:sz w:val="24"/>
          <w:szCs w:val="24"/>
          <w:rtl w:val="0"/>
        </w:rPr>
        <w:t xml:space="preserve">Annex B – Page 129</w:t>
      </w:r>
    </w:p>
    <w:p w:rsidR="00000000" w:rsidDel="00000000" w:rsidP="00000000" w:rsidRDefault="00000000" w:rsidRPr="00000000" w14:paraId="00000028">
      <w:pPr>
        <w:jc w:val="both"/>
        <w:rPr>
          <w:sz w:val="24"/>
          <w:szCs w:val="24"/>
        </w:rPr>
      </w:pPr>
      <w:r w:rsidDel="00000000" w:rsidR="00000000" w:rsidRPr="00000000">
        <w:rPr>
          <w:b w:val="1"/>
          <w:sz w:val="24"/>
          <w:szCs w:val="24"/>
          <w:rtl w:val="0"/>
        </w:rPr>
        <w:t xml:space="preserve">Line 33 and 34</w:t>
      </w:r>
      <w:r w:rsidDel="00000000" w:rsidR="00000000" w:rsidRPr="00000000">
        <w:rPr>
          <w:sz w:val="24"/>
          <w:szCs w:val="24"/>
          <w:rtl w:val="0"/>
        </w:rPr>
        <w:t xml:space="preserve"> The reporting of biomethane flows in the gas grid in many countries is, as yet, not widely available due to the fact the sector is still fairly nascent. Adopting the approach as set out here – with organisations only able to associate their use of biomethane to the percentage of renewable gas flowing through the “</w:t>
      </w:r>
      <w:r w:rsidDel="00000000" w:rsidR="00000000" w:rsidRPr="00000000">
        <w:rPr>
          <w:i w:val="1"/>
          <w:sz w:val="24"/>
          <w:szCs w:val="24"/>
          <w:rtl w:val="0"/>
        </w:rPr>
        <w:t xml:space="preserve">common pipeline</w:t>
      </w:r>
      <w:r w:rsidDel="00000000" w:rsidR="00000000" w:rsidRPr="00000000">
        <w:rPr>
          <w:sz w:val="24"/>
          <w:szCs w:val="24"/>
          <w:rtl w:val="0"/>
        </w:rPr>
        <w:t xml:space="preserve">” – will fail to provide market signals to producers and end consumers to source biomethane and in turn accelerate the development of the renewable gas sector. If such an approach had been adopted in the past with regard to renewable electricity, this would have acted as a barrier to the growth of organisations sourcing green electricity tariffs, and, as we have seen, evolving their purchasing decisions to routes such as dedicated Power Purchase Agreements (PPAs) between producer and consumer. We believe that, if the GHG Protocol adopts such an approach to the still nascent biomethane sector, this will negatively impact on the growth and production of biomethane and other potential renewable gases, including renewable hydrogen.</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b w:val="1"/>
          <w:sz w:val="24"/>
          <w:szCs w:val="24"/>
          <w:rtl w:val="0"/>
        </w:rPr>
        <w:t xml:space="preserve">Annex B – Page 130 </w:t>
      </w:r>
      <w:r w:rsidDel="00000000" w:rsidR="00000000" w:rsidRPr="00000000">
        <w:rPr>
          <w:rtl w:val="0"/>
        </w:rPr>
        <w:br w:type="textWrapping"/>
      </w:r>
      <w:r w:rsidDel="00000000" w:rsidR="00000000" w:rsidRPr="00000000">
        <w:rPr>
          <w:b w:val="1"/>
          <w:sz w:val="24"/>
          <w:szCs w:val="24"/>
          <w:rtl w:val="0"/>
        </w:rPr>
        <w:t xml:space="preserve">Line 1:</w:t>
      </w:r>
      <w:r w:rsidDel="00000000" w:rsidR="00000000" w:rsidRPr="00000000">
        <w:rPr>
          <w:sz w:val="24"/>
          <w:szCs w:val="24"/>
          <w:rtl w:val="0"/>
        </w:rPr>
        <w:t xml:space="preserve"> “</w:t>
      </w:r>
      <w:r w:rsidDel="00000000" w:rsidR="00000000" w:rsidRPr="00000000">
        <w:rPr>
          <w:i w:val="1"/>
          <w:sz w:val="24"/>
          <w:szCs w:val="24"/>
          <w:rtl w:val="0"/>
        </w:rPr>
        <w:t xml:space="preserve">In the absence of data on the average grid mix</w:t>
      </w:r>
      <w:r w:rsidDel="00000000" w:rsidR="00000000" w:rsidRPr="00000000">
        <w:rPr>
          <w:sz w:val="24"/>
          <w:szCs w:val="24"/>
          <w:rtl w:val="0"/>
        </w:rPr>
        <w:t xml:space="preserve">” In many countries it will be the case that biomethane flows are, as yet, very modest. As mentioned above, in such instances the guidance’s direction to use an emissions factor of ‘fossil origin’ when sourcing grid-delivered biomethane will effectively stop all such discussions between end consumers and green gas producers which may lead to additional investment in biomethane production. </w:t>
      </w:r>
    </w:p>
    <w:p w:rsidR="00000000" w:rsidDel="00000000" w:rsidP="00000000" w:rsidRDefault="00000000" w:rsidRPr="00000000" w14:paraId="0000002B">
      <w:pPr>
        <w:ind w:left="360" w:firstLine="0"/>
        <w:jc w:val="both"/>
        <w:rPr>
          <w:sz w:val="24"/>
          <w:szCs w:val="24"/>
        </w:rPr>
      </w:pPr>
      <w:r w:rsidDel="00000000" w:rsidR="00000000" w:rsidRPr="00000000">
        <w:rPr>
          <w:rtl w:val="0"/>
        </w:rPr>
      </w:r>
    </w:p>
    <w:p w:rsidR="00000000" w:rsidDel="00000000" w:rsidP="00000000" w:rsidRDefault="00000000" w:rsidRPr="00000000" w14:paraId="0000002C">
      <w:pPr>
        <w:jc w:val="both"/>
        <w:rPr>
          <w:b w:val="1"/>
          <w:sz w:val="24"/>
          <w:szCs w:val="24"/>
        </w:rPr>
      </w:pPr>
      <w:r w:rsidDel="00000000" w:rsidR="00000000" w:rsidRPr="00000000">
        <w:rPr>
          <w:b w:val="1"/>
          <w:sz w:val="24"/>
          <w:szCs w:val="24"/>
          <w:rtl w:val="0"/>
        </w:rPr>
        <w:t xml:space="preserve">Annex B – Page 130 </w:t>
      </w:r>
    </w:p>
    <w:p w:rsidR="00000000" w:rsidDel="00000000" w:rsidP="00000000" w:rsidRDefault="00000000" w:rsidRPr="00000000" w14:paraId="0000002D">
      <w:pPr>
        <w:jc w:val="both"/>
        <w:rPr>
          <w:i w:val="1"/>
          <w:sz w:val="24"/>
          <w:szCs w:val="24"/>
        </w:rPr>
      </w:pPr>
      <w:r w:rsidDel="00000000" w:rsidR="00000000" w:rsidRPr="00000000">
        <w:rPr>
          <w:b w:val="1"/>
          <w:sz w:val="24"/>
          <w:szCs w:val="24"/>
          <w:rtl w:val="0"/>
        </w:rPr>
        <w:t xml:space="preserve">Lines 2-4:</w:t>
      </w:r>
      <w:r w:rsidDel="00000000" w:rsidR="00000000" w:rsidRPr="00000000">
        <w:rPr>
          <w:sz w:val="24"/>
          <w:szCs w:val="24"/>
          <w:rtl w:val="0"/>
        </w:rPr>
        <w:t xml:space="preserve"> As set out above in our response, accounting for the use of biomethane as a renewable fuel only if “</w:t>
      </w:r>
      <w:r w:rsidDel="00000000" w:rsidR="00000000" w:rsidRPr="00000000">
        <w:rPr>
          <w:i w:val="1"/>
          <w:sz w:val="24"/>
          <w:szCs w:val="24"/>
          <w:rtl w:val="0"/>
        </w:rPr>
        <w:t xml:space="preserve">biogenic gas is delivered directly to a company (e.g., via vehicle-based delivery or direct pipeline), the company should use the specific emission factors (combustion or life cycle emission factors, as applicable) associated with the biogenic gas”</w:t>
      </w:r>
      <w:r w:rsidDel="00000000" w:rsidR="00000000" w:rsidRPr="00000000">
        <w:rPr>
          <w:sz w:val="24"/>
          <w:szCs w:val="24"/>
          <w:rtl w:val="0"/>
        </w:rPr>
        <w:t xml:space="preserve"> is neither practicable, nor the most economically or environmentally efficient route for end consumers to source and utilise biomethane. </w:t>
      </w: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F">
      <w:pPr>
        <w:jc w:val="both"/>
        <w:rPr>
          <w:b w:val="1"/>
          <w:sz w:val="24"/>
          <w:szCs w:val="24"/>
        </w:rPr>
      </w:pPr>
      <w:r w:rsidDel="00000000" w:rsidR="00000000" w:rsidRPr="00000000">
        <w:rPr>
          <w:b w:val="1"/>
          <w:sz w:val="24"/>
          <w:szCs w:val="24"/>
          <w:rtl w:val="0"/>
        </w:rPr>
        <w:t xml:space="preserve">Annex B – Page 130 </w:t>
      </w:r>
    </w:p>
    <w:p w:rsidR="00000000" w:rsidDel="00000000" w:rsidP="00000000" w:rsidRDefault="00000000" w:rsidRPr="00000000" w14:paraId="00000030">
      <w:pPr>
        <w:jc w:val="both"/>
        <w:rPr>
          <w:i w:val="1"/>
          <w:sz w:val="24"/>
          <w:szCs w:val="24"/>
        </w:rPr>
      </w:pPr>
      <w:r w:rsidDel="00000000" w:rsidR="00000000" w:rsidRPr="00000000">
        <w:rPr>
          <w:b w:val="1"/>
          <w:sz w:val="24"/>
          <w:szCs w:val="24"/>
          <w:rtl w:val="0"/>
        </w:rPr>
        <w:t xml:space="preserve">Lines 5-7</w:t>
      </w:r>
      <w:r w:rsidDel="00000000" w:rsidR="00000000" w:rsidRPr="00000000">
        <w:rPr>
          <w:sz w:val="24"/>
          <w:szCs w:val="24"/>
          <w:rtl w:val="0"/>
        </w:rPr>
        <w:t xml:space="preserve">: The reference to “</w:t>
      </w:r>
      <w:r w:rsidDel="00000000" w:rsidR="00000000" w:rsidRPr="00000000">
        <w:rPr>
          <w:i w:val="1"/>
          <w:sz w:val="24"/>
          <w:szCs w:val="24"/>
          <w:rtl w:val="0"/>
        </w:rPr>
        <w:t xml:space="preserve">certificates or credits</w:t>
      </w:r>
      <w:r w:rsidDel="00000000" w:rsidR="00000000" w:rsidRPr="00000000">
        <w:rPr>
          <w:sz w:val="24"/>
          <w:szCs w:val="24"/>
          <w:rtl w:val="0"/>
        </w:rPr>
        <w:t xml:space="preserve">” in the Scope 1 standard actually appears to refer to offsets which are not the same as a contractual instrument for tracking renewables in the grid/common carrier pipelines. The guidance should be clearer on differences between these types of products.</w:t>
      </w: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b w:val="1"/>
          <w:sz w:val="24"/>
          <w:szCs w:val="24"/>
        </w:rPr>
      </w:pPr>
      <w:r w:rsidDel="00000000" w:rsidR="00000000" w:rsidRPr="00000000">
        <w:rPr>
          <w:b w:val="1"/>
          <w:sz w:val="24"/>
          <w:szCs w:val="24"/>
          <w:rtl w:val="0"/>
        </w:rPr>
        <w:t xml:space="preserve">Annex B – Page 130 </w:t>
      </w:r>
    </w:p>
    <w:p w:rsidR="00000000" w:rsidDel="00000000" w:rsidP="00000000" w:rsidRDefault="00000000" w:rsidRPr="00000000" w14:paraId="00000033">
      <w:pPr>
        <w:jc w:val="both"/>
        <w:rPr>
          <w:sz w:val="24"/>
          <w:szCs w:val="24"/>
        </w:rPr>
      </w:pPr>
      <w:r w:rsidDel="00000000" w:rsidR="00000000" w:rsidRPr="00000000">
        <w:rPr>
          <w:b w:val="1"/>
          <w:sz w:val="24"/>
          <w:szCs w:val="24"/>
          <w:rtl w:val="0"/>
        </w:rPr>
        <w:t xml:space="preserve">Lines 7-8:</w:t>
      </w:r>
      <w:r w:rsidDel="00000000" w:rsidR="00000000" w:rsidRPr="00000000">
        <w:rPr>
          <w:sz w:val="24"/>
          <w:szCs w:val="24"/>
          <w:rtl w:val="0"/>
        </w:rPr>
        <w:t xml:space="preserve"> Again, this line that “</w:t>
      </w:r>
      <w:r w:rsidDel="00000000" w:rsidR="00000000" w:rsidRPr="00000000">
        <w:rPr>
          <w:i w:val="1"/>
          <w:sz w:val="24"/>
          <w:szCs w:val="24"/>
          <w:rtl w:val="0"/>
        </w:rPr>
        <w:t xml:space="preserve">Biomethane certificates or credits cannot be used to adjust scope 1 emissions resulting from the combustion of gas (in company owned/controlled sources) delivered via a common carrier pipeline”</w:t>
      </w:r>
      <w:r w:rsidDel="00000000" w:rsidR="00000000" w:rsidRPr="00000000">
        <w:rPr>
          <w:sz w:val="24"/>
          <w:szCs w:val="24"/>
          <w:rtl w:val="0"/>
        </w:rPr>
        <w:t xml:space="preserve"> contradicts the current market-based report of renewable electricity with RECs: the GHG Protocol creating a difference between renewable power and renewable gas delivered through the grid with no valid reasons for doing so or explanation as to why in the guidance. </w:t>
      </w:r>
    </w:p>
    <w:p w:rsidR="00000000" w:rsidDel="00000000" w:rsidP="00000000" w:rsidRDefault="00000000" w:rsidRPr="00000000" w14:paraId="00000034">
      <w:pPr>
        <w:ind w:left="360" w:firstLine="0"/>
        <w:jc w:val="both"/>
        <w:rPr>
          <w:sz w:val="24"/>
          <w:szCs w:val="24"/>
        </w:rPr>
      </w:pPr>
      <w:r w:rsidDel="00000000" w:rsidR="00000000" w:rsidRPr="00000000">
        <w:rPr>
          <w:rtl w:val="0"/>
        </w:rPr>
      </w:r>
    </w:p>
    <w:p w:rsidR="00000000" w:rsidDel="00000000" w:rsidP="00000000" w:rsidRDefault="00000000" w:rsidRPr="00000000" w14:paraId="00000035">
      <w:pPr>
        <w:jc w:val="both"/>
        <w:rPr>
          <w:b w:val="1"/>
          <w:sz w:val="24"/>
          <w:szCs w:val="24"/>
        </w:rPr>
      </w:pPr>
      <w:r w:rsidDel="00000000" w:rsidR="00000000" w:rsidRPr="00000000">
        <w:rPr>
          <w:b w:val="1"/>
          <w:sz w:val="24"/>
          <w:szCs w:val="24"/>
          <w:rtl w:val="0"/>
        </w:rPr>
        <w:t xml:space="preserve">Annex B – Page 130 </w:t>
      </w:r>
    </w:p>
    <w:p w:rsidR="00000000" w:rsidDel="00000000" w:rsidP="00000000" w:rsidRDefault="00000000" w:rsidRPr="00000000" w14:paraId="00000036">
      <w:pPr>
        <w:jc w:val="both"/>
        <w:rPr>
          <w:sz w:val="24"/>
          <w:szCs w:val="24"/>
        </w:rPr>
      </w:pPr>
      <w:r w:rsidDel="00000000" w:rsidR="00000000" w:rsidRPr="00000000">
        <w:rPr>
          <w:b w:val="1"/>
          <w:sz w:val="24"/>
          <w:szCs w:val="24"/>
          <w:rtl w:val="0"/>
        </w:rPr>
        <w:t xml:space="preserve">Line 9 “</w:t>
      </w:r>
      <w:r w:rsidDel="00000000" w:rsidR="00000000" w:rsidRPr="00000000">
        <w:rPr>
          <w:i w:val="1"/>
          <w:sz w:val="24"/>
          <w:szCs w:val="24"/>
          <w:rtl w:val="0"/>
        </w:rPr>
        <w:t xml:space="preserve">Companies may report purchases of certificates or credits separately from the scopes in a GHG inventory report</w:t>
      </w:r>
      <w:r w:rsidDel="00000000" w:rsidR="00000000" w:rsidRPr="00000000">
        <w:rPr>
          <w:sz w:val="24"/>
          <w:szCs w:val="24"/>
          <w:rtl w:val="0"/>
        </w:rPr>
        <w:t xml:space="preserve">.” As set out, while some companies may still see some value in purchasing Certificates/Guarantees of Origin, the effect of limiting their use to being an off-scope instrument would be to severely devalue them, reducing demand and prices, which in turn will reduce the value that biomethane producers are receiving, and the incentives that are driving additional biomethane production. </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b w:val="1"/>
          <w:sz w:val="24"/>
          <w:szCs w:val="24"/>
        </w:rPr>
      </w:pPr>
      <w:r w:rsidDel="00000000" w:rsidR="00000000" w:rsidRPr="00000000">
        <w:rPr>
          <w:rtl w:val="0"/>
        </w:rPr>
      </w:r>
    </w:p>
    <w:p w:rsidR="00000000" w:rsidDel="00000000" w:rsidP="00000000" w:rsidRDefault="00000000" w:rsidRPr="00000000" w14:paraId="00000039">
      <w:pPr>
        <w:jc w:val="both"/>
        <w:rPr>
          <w:b w:val="1"/>
          <w:sz w:val="24"/>
          <w:szCs w:val="24"/>
        </w:rPr>
      </w:pPr>
      <w:r w:rsidDel="00000000" w:rsidR="00000000" w:rsidRPr="00000000">
        <w:rPr>
          <w:b w:val="1"/>
          <w:sz w:val="24"/>
          <w:szCs w:val="24"/>
          <w:rtl w:val="0"/>
        </w:rPr>
        <w:t xml:space="preserve">Annex B – Page 130</w:t>
      </w:r>
    </w:p>
    <w:p w:rsidR="00000000" w:rsidDel="00000000" w:rsidP="00000000" w:rsidRDefault="00000000" w:rsidRPr="00000000" w14:paraId="0000003A">
      <w:pPr>
        <w:jc w:val="both"/>
        <w:rPr>
          <w:b w:val="1"/>
          <w:sz w:val="24"/>
          <w:szCs w:val="24"/>
        </w:rPr>
      </w:pPr>
      <w:r w:rsidDel="00000000" w:rsidR="00000000" w:rsidRPr="00000000">
        <w:rPr>
          <w:b w:val="1"/>
          <w:sz w:val="24"/>
          <w:szCs w:val="24"/>
          <w:rtl w:val="0"/>
        </w:rPr>
        <w:t xml:space="preserve">Box B.1: Note on market-based accounting</w:t>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We fully support the dual reporting approach as set out in the first two paragraphs of Box B.1. We believe that in in the context of reporting biomethane use with contractual instruments e.g. Guarantees of Origin, using both the location and market-based methods, provides transparency around emissions.</w:t>
      </w:r>
    </w:p>
    <w:p w:rsidR="00000000" w:rsidDel="00000000" w:rsidP="00000000" w:rsidRDefault="00000000" w:rsidRPr="00000000" w14:paraId="0000003D">
      <w:pPr>
        <w:ind w:left="3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E">
      <w:pPr>
        <w:jc w:val="both"/>
        <w:rPr>
          <w:sz w:val="24"/>
          <w:szCs w:val="24"/>
        </w:rPr>
      </w:pPr>
      <w:bookmarkStart w:colFirst="0" w:colLast="0" w:name="_heading=h.30j0zll" w:id="1"/>
      <w:bookmarkEnd w:id="1"/>
      <w:r w:rsidDel="00000000" w:rsidR="00000000" w:rsidRPr="00000000">
        <w:rPr>
          <w:sz w:val="24"/>
          <w:szCs w:val="24"/>
          <w:rtl w:val="0"/>
        </w:rPr>
        <w:t xml:space="preserve">With reference to Box B.1 which states that “</w:t>
      </w:r>
      <w:r w:rsidDel="00000000" w:rsidR="00000000" w:rsidRPr="00000000">
        <w:rPr>
          <w:i w:val="1"/>
          <w:sz w:val="24"/>
          <w:szCs w:val="24"/>
          <w:rtl w:val="0"/>
        </w:rPr>
        <w:t xml:space="preserve">Scope 2 Guidance defines additional requirements for market-based accounting of purchased electricity such as meeting several quality criteria for contractual instruments</w:t>
      </w:r>
      <w:r w:rsidDel="00000000" w:rsidR="00000000" w:rsidRPr="00000000">
        <w:rPr>
          <w:sz w:val="24"/>
          <w:szCs w:val="24"/>
          <w:rtl w:val="0"/>
        </w:rPr>
        <w:t xml:space="preserve">”, we fully support the use of these quality criteria for contractual instruments, and also believe that any new updates around these criteria could address concerns that remain around additionality, economic value back to producers, and real additional GHG reductions. </w:t>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The comment on paragraph 3 that “</w:t>
      </w:r>
      <w:r w:rsidDel="00000000" w:rsidR="00000000" w:rsidRPr="00000000">
        <w:rPr>
          <w:i w:val="1"/>
          <w:sz w:val="24"/>
          <w:szCs w:val="24"/>
          <w:rtl w:val="0"/>
        </w:rPr>
        <w:t xml:space="preserve">Additional market-based accounting approaches have been proposed for a variety of other commodities, markets, and end-uses since the introduction of the Scope 2 Guidance</w:t>
      </w:r>
      <w:r w:rsidDel="00000000" w:rsidR="00000000" w:rsidRPr="00000000">
        <w:rPr>
          <w:sz w:val="24"/>
          <w:szCs w:val="24"/>
          <w:rtl w:val="0"/>
        </w:rPr>
        <w:t xml:space="preserve">” hides the fact that the use of grid delivered biomethane with the use of contractual instruments was not only set out in GHG Protocol Scope 2 guidance, but has been implemented successfully and effectively used by GHG auditors, target-setting programs and end consumers for the last four years. As mentioned elsewhere in our reply this has supported the generation of additional renewable gas and integrated within the subsidy regime of the UK government when setting levels of support for new biomethane producers (see pp 61 and 68 of </w:t>
      </w:r>
      <w:hyperlink r:id="rId15">
        <w:r w:rsidDel="00000000" w:rsidR="00000000" w:rsidRPr="00000000">
          <w:rPr>
            <w:color w:val="0563c1"/>
            <w:sz w:val="24"/>
            <w:szCs w:val="24"/>
            <w:u w:val="single"/>
            <w:rtl w:val="0"/>
          </w:rPr>
          <w:t xml:space="preserve">Final Stage IA: Green Gas Support Scheme/Green Gas Levy</w:t>
        </w:r>
      </w:hyperlink>
      <w:r w:rsidDel="00000000" w:rsidR="00000000" w:rsidRPr="00000000">
        <w:rPr>
          <w:sz w:val="24"/>
          <w:szCs w:val="24"/>
          <w:rtl w:val="0"/>
        </w:rPr>
        <w:t xml:space="preserve">, UK Department of Business, Energy and Industrial Strategy (BEIS) September 2021). Incorporating this value secured by producers in the subsidy means that government money can be stretched further in supporting the production of biomethane.</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We understand there is a concern that allowing market-based reporting of biomethane in Scope 1 would open the door to market-based reporting of other Scope 1 products e.g. liquid transport fuels, or for activities falling into Scope 3 e.g. purchases of manufacturing inputs. However, we see a clear reason for allowing market-based reporting now where there are clearly defined and balanced systems such as a gas or electricity grid, while simultaneously restricting its use in other more open systems until further investigation and discussion as occurred. Making this link between the similarity of the common carrier pipelines and networks in electricity and gas would improve the consistency of the reporting methodologies between Scopes. </w:t>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If this guidance is published as currently drafted, it is possible that the GHG Protocol will go from allowing market-based reporting of renewable gas use (2015-2019), to having no reference to it (2020 to 2022), to stating that certificates cannot be used to adjust Scope 1 emissions (2022 - ?), subject to a review that has not yet started and has an unknown end point, that will potentially reintroduce market-based reporting. Such changes in the GHG Protocol are extremely damaging to the efforts of companies who are actively seeking to lower their GHG emissions and play a constructive role in the energy transition. This uncertainly flows through the GoO market to biomethane producers and undermines confidence in investment decisions. The GHG Protocol can limit the damage already incurred by:</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recognising in the guidance that market-based reporting for biomethane was allowed between 2015 –2019 and clearly explaining why this guidance was removed; and</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refraining from introducing any explicit restrictions on market-based reporting in Scope 1 within this guidance which will allow companies who wish to use the precedent of the 2015-2019 guidance to continue to be active in purchasing renewable gas GoO. </w:t>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The process of publishing this guidance should take into consideration that there is a multi-million-dollar market for certificates across the EU, and the income from these certificates can represent up to 20% of the revenue received by biomethane producers. This is helping facilitate new Gas Purchase Agreements (GPAs) that are providing a business model to build new additional production facilities, some of which may not have any government support. </w:t>
      </w:r>
    </w:p>
    <w:p w:rsidR="00000000" w:rsidDel="00000000" w:rsidP="00000000" w:rsidRDefault="00000000" w:rsidRPr="00000000" w14:paraId="00000049">
      <w:pPr>
        <w:ind w:left="360" w:firstLine="0"/>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The price of GoO is being reliably and regularly reported by established energy agencies such as Argus Media and S&amp;P Platts who are showing prices of $10/MWh and above. This is a significant revenue stream for biomethane production, from both existing and potential future plants. </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The removal of the Scope 2 Annex text on grid-supplied biomethane and the three-year process to produce this draft guidance has impacted the market. If this draft guidance is adopted with its restrictions for market-based reporting for biomethane, the value received for producers will be reduced and we will lose the additional biomethane production being planned. </w:t>
      </w:r>
      <w:r w:rsidDel="00000000" w:rsidR="00000000" w:rsidRPr="00000000">
        <w:rPr>
          <w:b w:val="1"/>
          <w:sz w:val="24"/>
          <w:szCs w:val="24"/>
          <w:rtl w:val="0"/>
        </w:rPr>
        <w:t xml:space="preserve">The REA can provide contacts to the WRI to evidence the above market findings. </w:t>
      </w:r>
      <w:r w:rsidDel="00000000" w:rsidR="00000000" w:rsidRPr="00000000">
        <w:rPr>
          <w:sz w:val="24"/>
          <w:szCs w:val="24"/>
          <w:rtl w:val="0"/>
        </w:rPr>
        <w:t xml:space="preserve">All renewable subsidies are designed to reduce and eventually disappear: the use of GoO to provide a link for end consumers to buy and actively support the growth of renewable energy supplies is key to supporting the future growth of not only the renewable power, but, critically, the renewable gas sector. Failing to allow a route for organisations to realise GHG savings in Scope 1 by securing flows of renewable gas will be detrimental to the future growth of the market, reducing the ‘consumer pull’ factor for renewable energy. </w:t>
      </w:r>
    </w:p>
    <w:p w:rsidR="00000000" w:rsidDel="00000000" w:rsidP="00000000" w:rsidRDefault="00000000" w:rsidRPr="00000000" w14:paraId="0000004D">
      <w:pPr>
        <w:jc w:val="both"/>
        <w:rPr>
          <w:sz w:val="24"/>
          <w:szCs w:val="24"/>
        </w:rPr>
      </w:pPr>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jc w:val="both"/>
        <w:rPr>
          <w:b w:val="1"/>
          <w:sz w:val="24"/>
          <w:szCs w:val="24"/>
        </w:rPr>
      </w:pPr>
      <w:r w:rsidDel="00000000" w:rsidR="00000000" w:rsidRPr="00000000">
        <w:rPr>
          <w:b w:val="1"/>
          <w:sz w:val="24"/>
          <w:szCs w:val="24"/>
          <w:rtl w:val="0"/>
        </w:rPr>
        <w:t xml:space="preserve">Annex B – Page 130</w:t>
      </w:r>
    </w:p>
    <w:p w:rsidR="00000000" w:rsidDel="00000000" w:rsidP="00000000" w:rsidRDefault="00000000" w:rsidRPr="00000000" w14:paraId="00000050">
      <w:pPr>
        <w:jc w:val="both"/>
        <w:rPr>
          <w:b w:val="1"/>
          <w:sz w:val="24"/>
          <w:szCs w:val="24"/>
        </w:rPr>
      </w:pPr>
      <w:r w:rsidDel="00000000" w:rsidR="00000000" w:rsidRPr="00000000">
        <w:rPr>
          <w:b w:val="1"/>
          <w:sz w:val="24"/>
          <w:szCs w:val="24"/>
          <w:rtl w:val="0"/>
        </w:rPr>
        <w:t xml:space="preserve">Box B.1: Note on market-based accounting</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With reference to the comment in Box B.1 to “</w:t>
      </w:r>
      <w:r w:rsidDel="00000000" w:rsidR="00000000" w:rsidRPr="00000000">
        <w:rPr>
          <w:i w:val="1"/>
          <w:sz w:val="24"/>
          <w:szCs w:val="24"/>
          <w:rtl w:val="0"/>
        </w:rPr>
        <w:t xml:space="preserve">there has been mixed feedback on the use of the market-based method in scope 2, including some criticisms about its efficacy and appropriateness”, </w:t>
      </w:r>
      <w:r w:rsidDel="00000000" w:rsidR="00000000" w:rsidRPr="00000000">
        <w:rPr>
          <w:sz w:val="24"/>
          <w:szCs w:val="24"/>
          <w:rtl w:val="0"/>
        </w:rPr>
        <w:t xml:space="preserve">we recognise this issue and are engaged in the debates around the “efficacy” of the market-based method, i.e. the use of certificates links to additional generation and carbon savings. </w:t>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In the first instance, it is important to state that issues of price and temporal granularity in market-based reporting of electricity are not apparent in the biomethane market.</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At times the price of renewable electricity GoO has been zero, or close to zero, and therefore no significant value or incentive for additional production has been relayed to renewable electricity producers. However, prices for biomethane GoO in the UK/EU have never been zero and are now $10/MWh and above (price reporting is available from Argus media and S&amp;P Platts) providing significant revenue streams to existing producers and affecting investment decisions regarding new plant development. We recognise that, in isolation, when a consumer buys a single GoO they are not lowering their real-world emissions at that moment, which is why we fully support a dual reporting approach that those location emissions are recorded and disclosed. However, the wider picture is that purchases of GoO are driving a market that is delivering significant value to biomethane producers and there are clear examples today of biomethane production being built that that would have not otherwise have occurred without the value from the GoO being realised. </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Looking at the UK, a GoO is currently valued at approx. 30% of the level of the current government subsidy and is providing a clear driver to build marginal projects that would not work without this extra revenue. For example the UK support scheme (the Green Gas Support Scheme (GGSS)) provides a tier one subsidy of £50/MWh for production of biomethane of between 0 and 60TWh/year and a tier two subsidy of £30/MWh for production between 60-80TWh. In view of this, developer-projects are coming forward at 80TWh/year capacity because while the tier two tariff is too low to support production by itself, when adding in the income from GoO sales, these projects become viable. Other projects with higher cost bases are using GoO income to make tier 1 projects viable.</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As mentioned elsewhere in our response, the UK government has recognised that the GoO price is now part of many developers' business models and has adjusted the GGSS subsidy mechanism accordingly. Consequently, allowing government financial support to go further and incentivise a greater number of plants. This concept is clear in the Renewable Energy Directive where it states: “</w:t>
      </w:r>
      <w:r w:rsidDel="00000000" w:rsidR="00000000" w:rsidRPr="00000000">
        <w:rPr>
          <w:i w:val="1"/>
          <w:sz w:val="24"/>
          <w:szCs w:val="24"/>
          <w:rtl w:val="0"/>
        </w:rPr>
        <w:t xml:space="preserve">Member States shall ensure that when a producer receives financial support from a support scheme, the market value of the guarantee of origin for the same production is taken into account appropriately in the relevant support scheme.</w:t>
      </w:r>
      <w:r w:rsidDel="00000000" w:rsidR="00000000" w:rsidRPr="00000000">
        <w:rPr>
          <w:sz w:val="24"/>
          <w:szCs w:val="24"/>
          <w:rtl w:val="0"/>
        </w:rPr>
        <w:t xml:space="preserve">” Article 19, Clause 2. While we do not have data from outside the UK, we recommend speaking to the European Biogas Association (EBA) to explore this topic further.  </w:t>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jc w:val="both"/>
        <w:rPr>
          <w:b w:val="1"/>
          <w:sz w:val="24"/>
          <w:szCs w:val="24"/>
        </w:rPr>
      </w:pPr>
      <w:r w:rsidDel="00000000" w:rsidR="00000000" w:rsidRPr="00000000">
        <w:rPr>
          <w:sz w:val="24"/>
          <w:szCs w:val="24"/>
          <w:rtl w:val="0"/>
        </w:rPr>
        <w:t xml:space="preserve">In other situations, there are plans by biomethane developer [source redacted subject to agreement] for subsidy free production that are being enabled by long term offtake agreements (Gas Purchase Agreements – GPAs), for GoO alongside the physical gas, by corporates looking to use market-based reporting to lower their Scope 1 emissions. </w:t>
      </w:r>
      <w:r w:rsidDel="00000000" w:rsidR="00000000" w:rsidRPr="00000000">
        <w:rPr>
          <w:b w:val="1"/>
          <w:sz w:val="24"/>
          <w:szCs w:val="24"/>
          <w:rtl w:val="0"/>
        </w:rPr>
        <w:t xml:space="preserve">These are plants that would not get built if not for the commitment of those corporate partners and their ability to use GoO “in Scope”.</w:t>
      </w:r>
    </w:p>
    <w:p w:rsidR="00000000" w:rsidDel="00000000" w:rsidP="00000000" w:rsidRDefault="00000000" w:rsidRPr="00000000" w14:paraId="0000005C">
      <w:pPr>
        <w:jc w:val="both"/>
        <w:rPr>
          <w:sz w:val="24"/>
          <w:szCs w:val="24"/>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Other comments have been received from [source redacted], a major developer of biomethane plants who have stated “</w:t>
      </w:r>
      <w:r w:rsidDel="00000000" w:rsidR="00000000" w:rsidRPr="00000000">
        <w:rPr>
          <w:i w:val="1"/>
          <w:sz w:val="24"/>
          <w:szCs w:val="24"/>
          <w:rtl w:val="0"/>
        </w:rPr>
        <w:t xml:space="preserve">a long-term offtake contract with a substantial revenue stream from the certificates as the green value is nowadays a prerequisite for financing (“bankability”)</w:t>
      </w:r>
      <w:r w:rsidDel="00000000" w:rsidR="00000000" w:rsidRPr="00000000">
        <w:rPr>
          <w:sz w:val="24"/>
          <w:szCs w:val="24"/>
          <w:rtl w:val="0"/>
        </w:rPr>
        <w:t xml:space="preserve">” and “</w:t>
      </w:r>
      <w:r w:rsidDel="00000000" w:rsidR="00000000" w:rsidRPr="00000000">
        <w:rPr>
          <w:i w:val="1"/>
          <w:sz w:val="24"/>
          <w:szCs w:val="24"/>
          <w:rtl w:val="0"/>
        </w:rPr>
        <w:t xml:space="preserve">certificates are an important driver to ensure financial stability of any renewable assets in the long run</w:t>
      </w:r>
      <w:r w:rsidDel="00000000" w:rsidR="00000000" w:rsidRPr="00000000">
        <w:rPr>
          <w:sz w:val="24"/>
          <w:szCs w:val="24"/>
          <w:rtl w:val="0"/>
        </w:rPr>
        <w:t xml:space="preserve">”. </w:t>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It is also important to consider difference instances where GoO income can lead to additional production at existing facilities when it provides the additional income needed at times when the gas price drops below a level that would support continuing production and/or subsidies are withdrawn or expire.</w:t>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Every market will have a different mix of government support, income from gas sales, and market demand for GoO.  However, the picture is clear in the UK and Europe that the extra value from the GoO market is driving investment decisions leading to additional biomethane production.</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For other concerns (beyond additionality) around market-based reporting, we see that the GHG Protocol has a clear framework in the Scope 2 quality criteria through which such reporting can be regulated and real-world benefits ensured.</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For instance, regarding concerns around the robustness of GoO systems, there is a growing range of registry operators Europe and the USA (often with government mandates) and the I-Rec standard can be applied elsewhere.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All operators of GoO systems are wary of the risk of double counting and work hard to ensure that only one set of GoO are issued per renewable gas production amount, and that they are robust system for cancellation and retirement. Calculations of residual mixes are in place for renewable electricity around Europe, and can be developed for renewable gas. Residual mixes are part of the Scope 2 quality criteria and can be developed further. </w:t>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Regarding a key weakness in electricity markets around the time of use of electricity vs when renewables are being generated, we do not see this has being a factor in the gas market considering the ability to store gas for long periods of time and that this is a existing feature of physical gas flows (</w:t>
      </w:r>
      <w:hyperlink r:id="rId16">
        <w:r w:rsidDel="00000000" w:rsidR="00000000" w:rsidRPr="00000000">
          <w:rPr>
            <w:color w:val="0563c1"/>
            <w:sz w:val="24"/>
            <w:szCs w:val="24"/>
            <w:u w:val="single"/>
            <w:rtl w:val="0"/>
          </w:rPr>
          <w:t xml:space="preserve">https://www.statista.com/statistics/1294025/quarterly-gas-in-storage-in-the-european-union/</w:t>
        </w:r>
      </w:hyperlink>
      <w:r w:rsidDel="00000000" w:rsidR="00000000" w:rsidRPr="00000000">
        <w:rPr>
          <w:sz w:val="24"/>
          <w:szCs w:val="24"/>
          <w:rtl w:val="0"/>
        </w:rPr>
        <w:t xml:space="preserve">). Therefore, GoO purchases linked to production at other points in an annual period have the same overall effect as matching consumption to production in a shorter timeframe. We would however support exploring this topic in more detail and adjusting the quality criteria as needed.</w:t>
      </w:r>
    </w:p>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A final point in relation to the benefit of allowing market-based reporting on gas and electricity is that it enables consumers to contrast the lower price of renewable electricity, which is driven by large amounts of supply, with the higher prices in the renewable gas market driven by the tightness of supply.</w:t>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This provides consumers with a price signal that the supply of renewable electricity in the UK is large and increasing and that, if they require low carbon energy, they will need to consider options for electrification e.g. investment decisions in new equipment.</w:t>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There are live discussions in the natural gas CHP market where some consumers are seeking to switch consumption to biomethane (via market-based reporting) as the UK grid electricity GHG intensity falls below the GHG intensity of electricity from natural gas-powered CHP. Some will decide to pay the price for that renewable gas and others will switch to electric solutions. Theses price (and carbon) signals are much weaker when only average/location emissions can be used.</w:t>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WRI Greenhouse Gas Protocol,</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Land Sector and Removals Guidance Part 1: Accounting and Reporting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(Draft)</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Requirements and Guidance </w:t>
      </w:r>
      <w:hyperlink r:id="rId1">
        <w:r w:rsidDel="00000000" w:rsidR="00000000" w:rsidRPr="00000000">
          <w:rPr>
            <w:rFonts w:ascii="Calibri" w:cs="Calibri" w:eastAsia="Calibri" w:hAnsi="Calibri"/>
            <w:b w:val="0"/>
            <w:i w:val="1"/>
            <w:smallCaps w:val="0"/>
            <w:strike w:val="0"/>
            <w:color w:val="0563c1"/>
            <w:sz w:val="20"/>
            <w:szCs w:val="20"/>
            <w:u w:val="single"/>
            <w:shd w:fill="auto" w:val="clear"/>
            <w:vertAlign w:val="baseline"/>
            <w:rtl w:val="0"/>
          </w:rPr>
          <w:t xml:space="preserve">https://ghgprotocol.org/sites/default/files/standards_supporting/Land-Sector-and-Removals-Guidance-Pilot-Testing-and-Review-Draft-Part-1.pdf</w:t>
        </w:r>
      </w:hyperlink>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WRI Greenhouse Gas Protocol,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Land Sector and Removals Guidance Part 2: Calculation Guidance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(Draft) </w:t>
      </w:r>
      <w:hyperlink r:id="rId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https://ghgprotocol.org/sites/default/files/standards_supporting/Land-Sector-and-Removals-Guidance-Pilot-Testing-and-Review-Draft-Part-2.pdf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095375" cy="328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5375" cy="328613"/>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785813" cy="40844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85813" cy="40844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before="40" w:lineRule="auto"/>
    </w:pPr>
    <w:rPr>
      <w:rFonts w:ascii="Calibri" w:cs="Calibri" w:eastAsia="Calibri" w:hAnsi="Calibri"/>
      <w:color w:val="1f3763"/>
      <w:sz w:val="24"/>
      <w:szCs w:val="24"/>
    </w:rPr>
  </w:style>
  <w:style w:type="paragraph" w:styleId="Heading4">
    <w:name w:val="heading 4"/>
    <w:basedOn w:val="Normal"/>
    <w:next w:val="Normal"/>
    <w:pPr>
      <w:keepNext w:val="1"/>
      <w:spacing w:before="40" w:lineRule="auto"/>
    </w:pPr>
    <w:rPr>
      <w:rFonts w:ascii="Calibri" w:cs="Calibri" w:eastAsia="Calibri" w:hAnsi="Calibri"/>
      <w:i w:val="1"/>
      <w:color w:val="2f5496"/>
    </w:rPr>
  </w:style>
  <w:style w:type="paragraph" w:styleId="Heading5">
    <w:name w:val="heading 5"/>
    <w:basedOn w:val="Normal"/>
    <w:next w:val="Normal"/>
    <w:pPr>
      <w:keepNext w:val="1"/>
      <w:spacing w:before="40" w:lineRule="auto"/>
    </w:pPr>
    <w:rPr>
      <w:rFonts w:ascii="Calibri" w:cs="Calibri" w:eastAsia="Calibri" w:hAnsi="Calibri"/>
      <w:color w:val="2f5496"/>
    </w:rPr>
  </w:style>
  <w:style w:type="paragraph" w:styleId="Heading6">
    <w:name w:val="heading 6"/>
    <w:basedOn w:val="Normal"/>
    <w:next w:val="Normal"/>
    <w:pPr>
      <w:keepNext w:val="1"/>
      <w:spacing w:before="40" w:lineRule="auto"/>
    </w:pPr>
    <w:rPr>
      <w:rFonts w:ascii="Calibri" w:cs="Calibri" w:eastAsia="Calibri" w:hAnsi="Calibri"/>
      <w:color w:val="1f3763"/>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71D1FBA1"/>
    <w:pPr>
      <w:spacing w:after="0"/>
    </w:pPr>
    <w:rPr>
      <w:rFonts w:cs="Calibri"/>
      <w:lang w:val="en-GB"/>
    </w:rPr>
  </w:style>
  <w:style w:type="paragraph" w:styleId="Heading1">
    <w:name w:val="heading 1"/>
    <w:basedOn w:val="Normal"/>
    <w:next w:val="Normal"/>
    <w:link w:val="Heading1Char"/>
    <w:uiPriority w:val="9"/>
    <w:qFormat w:val="1"/>
    <w:rsid w:val="71D1FBA1"/>
    <w:pPr>
      <w:keepNext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71D1FBA1"/>
    <w:pPr>
      <w:keepNext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71D1FBA1"/>
    <w:pPr>
      <w:keepNext w:val="1"/>
      <w:spacing w:before="40"/>
      <w:outlineLvl w:val="2"/>
    </w:pPr>
    <w:rPr>
      <w:rFonts w:asciiTheme="majorHAnsi" w:cstheme="majorBidi" w:eastAsiaTheme="majorEastAsia" w:hAnsiTheme="majorHAnsi"/>
      <w:color w:val="1f3763"/>
      <w:sz w:val="24"/>
      <w:szCs w:val="24"/>
    </w:rPr>
  </w:style>
  <w:style w:type="paragraph" w:styleId="Heading4">
    <w:name w:val="heading 4"/>
    <w:basedOn w:val="Normal"/>
    <w:next w:val="Normal"/>
    <w:link w:val="Heading4Char"/>
    <w:uiPriority w:val="9"/>
    <w:unhideWhenUsed w:val="1"/>
    <w:qFormat w:val="1"/>
    <w:rsid w:val="71D1FBA1"/>
    <w:pPr>
      <w:keepNext w:val="1"/>
      <w:spacing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unhideWhenUsed w:val="1"/>
    <w:qFormat w:val="1"/>
    <w:rsid w:val="71D1FBA1"/>
    <w:pPr>
      <w:keepNext w:val="1"/>
      <w:spacing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link w:val="Heading6Char"/>
    <w:uiPriority w:val="9"/>
    <w:unhideWhenUsed w:val="1"/>
    <w:qFormat w:val="1"/>
    <w:rsid w:val="71D1FBA1"/>
    <w:pPr>
      <w:keepNext w:val="1"/>
      <w:spacing w:before="40"/>
      <w:outlineLvl w:val="5"/>
    </w:pPr>
    <w:rPr>
      <w:rFonts w:asciiTheme="majorHAnsi" w:cstheme="majorBidi" w:eastAsiaTheme="majorEastAsia" w:hAnsiTheme="majorHAnsi"/>
      <w:color w:val="1f3763"/>
    </w:rPr>
  </w:style>
  <w:style w:type="paragraph" w:styleId="Heading7">
    <w:name w:val="heading 7"/>
    <w:basedOn w:val="Normal"/>
    <w:next w:val="Normal"/>
    <w:link w:val="Heading7Char"/>
    <w:uiPriority w:val="9"/>
    <w:unhideWhenUsed w:val="1"/>
    <w:qFormat w:val="1"/>
    <w:rsid w:val="71D1FBA1"/>
    <w:pPr>
      <w:keepNext w:val="1"/>
      <w:spacing w:before="40"/>
      <w:outlineLvl w:val="6"/>
    </w:pPr>
    <w:rPr>
      <w:rFonts w:asciiTheme="majorHAnsi" w:cstheme="majorBidi" w:eastAsiaTheme="majorEastAsia" w:hAnsiTheme="majorHAnsi"/>
      <w:i w:val="1"/>
      <w:iCs w:val="1"/>
      <w:color w:val="1f3763"/>
    </w:rPr>
  </w:style>
  <w:style w:type="paragraph" w:styleId="Heading8">
    <w:name w:val="heading 8"/>
    <w:basedOn w:val="Normal"/>
    <w:next w:val="Normal"/>
    <w:link w:val="Heading8Char"/>
    <w:uiPriority w:val="9"/>
    <w:unhideWhenUsed w:val="1"/>
    <w:qFormat w:val="1"/>
    <w:rsid w:val="71D1FBA1"/>
    <w:pPr>
      <w:keepNext w:val="1"/>
      <w:spacing w:before="40"/>
      <w:outlineLvl w:val="7"/>
    </w:pPr>
    <w:rPr>
      <w:rFonts w:asciiTheme="majorHAnsi" w:cstheme="majorBidi" w:eastAsiaTheme="majorEastAsia" w:hAnsiTheme="majorHAnsi"/>
      <w:color w:val="272727"/>
      <w:sz w:val="21"/>
      <w:szCs w:val="21"/>
    </w:rPr>
  </w:style>
  <w:style w:type="paragraph" w:styleId="Heading9">
    <w:name w:val="heading 9"/>
    <w:basedOn w:val="Normal"/>
    <w:next w:val="Normal"/>
    <w:link w:val="Heading9Char"/>
    <w:uiPriority w:val="9"/>
    <w:unhideWhenUsed w:val="1"/>
    <w:qFormat w:val="1"/>
    <w:rsid w:val="71D1FBA1"/>
    <w:pPr>
      <w:keepNext w:val="1"/>
      <w:spacing w:before="40"/>
      <w:outlineLvl w:val="8"/>
    </w:pPr>
    <w:rPr>
      <w:rFonts w:asciiTheme="majorHAnsi" w:cstheme="majorBidi" w:eastAsiaTheme="majorEastAsia" w:hAnsiTheme="majorHAnsi"/>
      <w:i w:val="1"/>
      <w:iCs w:val="1"/>
      <w:color w:val="272727"/>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739EE"/>
    <w:rPr>
      <w:color w:val="0563c1"/>
      <w:u w:val="single"/>
    </w:rPr>
  </w:style>
  <w:style w:type="paragraph" w:styleId="Header">
    <w:name w:val="header"/>
    <w:basedOn w:val="Normal"/>
    <w:link w:val="HeaderChar"/>
    <w:uiPriority w:val="99"/>
    <w:unhideWhenUsed w:val="1"/>
    <w:rsid w:val="71D1FBA1"/>
    <w:pPr>
      <w:tabs>
        <w:tab w:val="center" w:pos="4680"/>
        <w:tab w:val="right" w:pos="9360"/>
      </w:tabs>
    </w:pPr>
  </w:style>
  <w:style w:type="character" w:styleId="HeaderChar" w:customStyle="1">
    <w:name w:val="Header Char"/>
    <w:basedOn w:val="DefaultParagraphFont"/>
    <w:link w:val="Header"/>
    <w:uiPriority w:val="99"/>
    <w:rsid w:val="71D1FBA1"/>
    <w:rPr>
      <w:rFonts w:ascii="Calibri" w:cs="Calibri" w:hAnsi="Calibri" w:eastAsiaTheme="minorEastAsia"/>
      <w:noProof w:val="0"/>
      <w:lang w:val="en-GB"/>
    </w:rPr>
  </w:style>
  <w:style w:type="paragraph" w:styleId="Footer">
    <w:name w:val="footer"/>
    <w:basedOn w:val="Normal"/>
    <w:link w:val="FooterChar"/>
    <w:uiPriority w:val="99"/>
    <w:unhideWhenUsed w:val="1"/>
    <w:rsid w:val="71D1FBA1"/>
    <w:pPr>
      <w:tabs>
        <w:tab w:val="center" w:pos="4680"/>
        <w:tab w:val="right" w:pos="9360"/>
      </w:tabs>
    </w:pPr>
  </w:style>
  <w:style w:type="character" w:styleId="FooterChar" w:customStyle="1">
    <w:name w:val="Footer Char"/>
    <w:basedOn w:val="DefaultParagraphFont"/>
    <w:link w:val="Footer"/>
    <w:uiPriority w:val="99"/>
    <w:rsid w:val="71D1FBA1"/>
    <w:rPr>
      <w:rFonts w:ascii="Calibri" w:cs="Calibri" w:hAnsi="Calibri" w:eastAsiaTheme="minorEastAsia"/>
      <w:noProof w:val="0"/>
      <w:lang w:val="en-GB"/>
    </w:rPr>
  </w:style>
  <w:style w:type="character" w:styleId="CommentReference">
    <w:name w:val="annotation reference"/>
    <w:basedOn w:val="DefaultParagraphFont"/>
    <w:uiPriority w:val="99"/>
    <w:semiHidden w:val="1"/>
    <w:unhideWhenUsed w:val="1"/>
    <w:rsid w:val="00743662"/>
    <w:rPr>
      <w:sz w:val="16"/>
      <w:szCs w:val="16"/>
    </w:rPr>
  </w:style>
  <w:style w:type="paragraph" w:styleId="CommentText">
    <w:name w:val="annotation text"/>
    <w:basedOn w:val="Normal"/>
    <w:link w:val="CommentTextChar"/>
    <w:uiPriority w:val="99"/>
    <w:semiHidden w:val="1"/>
    <w:unhideWhenUsed w:val="1"/>
    <w:rsid w:val="71D1FBA1"/>
    <w:rPr>
      <w:sz w:val="20"/>
      <w:szCs w:val="20"/>
    </w:rPr>
  </w:style>
  <w:style w:type="character" w:styleId="CommentTextChar" w:customStyle="1">
    <w:name w:val="Comment Text Char"/>
    <w:basedOn w:val="DefaultParagraphFont"/>
    <w:link w:val="CommentText"/>
    <w:uiPriority w:val="99"/>
    <w:semiHidden w:val="1"/>
    <w:rsid w:val="71D1FBA1"/>
    <w:rPr>
      <w:rFonts w:ascii="Calibri" w:cs="Calibri" w:hAnsi="Calibri" w:eastAsiaTheme="minorEastAsia"/>
      <w:noProof w:val="0"/>
      <w:sz w:val="20"/>
      <w:szCs w:val="20"/>
      <w:lang w:val="en-GB"/>
    </w:rPr>
  </w:style>
  <w:style w:type="paragraph" w:styleId="CommentSubject">
    <w:name w:val="annotation subject"/>
    <w:basedOn w:val="CommentText"/>
    <w:next w:val="CommentText"/>
    <w:link w:val="CommentSubjectChar"/>
    <w:uiPriority w:val="99"/>
    <w:semiHidden w:val="1"/>
    <w:unhideWhenUsed w:val="1"/>
    <w:rsid w:val="71D1FBA1"/>
    <w:rPr>
      <w:b w:val="1"/>
      <w:bCs w:val="1"/>
    </w:rPr>
  </w:style>
  <w:style w:type="character" w:styleId="CommentSubjectChar" w:customStyle="1">
    <w:name w:val="Comment Subject Char"/>
    <w:basedOn w:val="CommentTextChar"/>
    <w:link w:val="CommentSubject"/>
    <w:uiPriority w:val="99"/>
    <w:semiHidden w:val="1"/>
    <w:rsid w:val="71D1FBA1"/>
    <w:rPr>
      <w:rFonts w:ascii="Calibri" w:cs="Calibri" w:hAnsi="Calibri" w:eastAsiaTheme="minorEastAsia"/>
      <w:b w:val="1"/>
      <w:bCs w:val="1"/>
      <w:noProof w:val="0"/>
      <w:sz w:val="20"/>
      <w:szCs w:val="20"/>
      <w:lang w:val="en-GB"/>
    </w:rPr>
  </w:style>
  <w:style w:type="paragraph" w:styleId="ListParagraph">
    <w:name w:val="List Paragraph"/>
    <w:basedOn w:val="Normal"/>
    <w:uiPriority w:val="34"/>
    <w:qFormat w:val="1"/>
    <w:rsid w:val="71D1FBA1"/>
    <w:pPr>
      <w:ind w:left="720"/>
      <w:contextualSpacing w:val="1"/>
    </w:pPr>
  </w:style>
  <w:style w:type="paragraph" w:styleId="FootnoteText">
    <w:name w:val="footnote text"/>
    <w:basedOn w:val="Normal"/>
    <w:link w:val="FootnoteTextChar"/>
    <w:uiPriority w:val="99"/>
    <w:unhideWhenUsed w:val="1"/>
    <w:rsid w:val="71D1FBA1"/>
    <w:rPr>
      <w:sz w:val="20"/>
      <w:szCs w:val="20"/>
    </w:rPr>
  </w:style>
  <w:style w:type="character" w:styleId="FootnoteTextChar" w:customStyle="1">
    <w:name w:val="Footnote Text Char"/>
    <w:basedOn w:val="DefaultParagraphFont"/>
    <w:link w:val="FootnoteText"/>
    <w:uiPriority w:val="99"/>
    <w:rsid w:val="71D1FBA1"/>
    <w:rPr>
      <w:noProof w:val="0"/>
      <w:sz w:val="20"/>
      <w:szCs w:val="20"/>
      <w:lang w:val="en-GB"/>
    </w:rPr>
  </w:style>
  <w:style w:type="character" w:styleId="FootnoteReference">
    <w:name w:val="footnote reference"/>
    <w:aliases w:val="o,o + Times New Roman,fr,Style 3,o1,o2,o3,o4,o5,o6,o11,o21,o7,Style 12,(NECG) Footnote Reference,Appel note de bas de p,Style 124"/>
    <w:basedOn w:val="DefaultParagraphFont"/>
    <w:uiPriority w:val="99"/>
    <w:unhideWhenUsed w:val="1"/>
    <w:rsid w:val="00F727EE"/>
    <w:rPr>
      <w:vertAlign w:val="superscript"/>
    </w:rPr>
  </w:style>
  <w:style w:type="character" w:styleId="Heading3Char" w:customStyle="1">
    <w:name w:val="Heading 3 Char"/>
    <w:basedOn w:val="DefaultParagraphFont"/>
    <w:link w:val="Heading3"/>
    <w:uiPriority w:val="9"/>
    <w:rsid w:val="71D1FBA1"/>
    <w:rPr>
      <w:rFonts w:asciiTheme="majorHAnsi" w:cstheme="majorBidi" w:eastAsiaTheme="majorEastAsia" w:hAnsiTheme="majorHAnsi"/>
      <w:noProof w:val="0"/>
      <w:color w:val="1f3763"/>
      <w:sz w:val="24"/>
      <w:szCs w:val="24"/>
      <w:lang w:val="en-GB"/>
    </w:rPr>
  </w:style>
  <w:style w:type="character" w:styleId="FollowedHyperlink">
    <w:name w:val="FollowedHyperlink"/>
    <w:basedOn w:val="DefaultParagraphFont"/>
    <w:uiPriority w:val="99"/>
    <w:semiHidden w:val="1"/>
    <w:unhideWhenUsed w:val="1"/>
    <w:rsid w:val="00F5326F"/>
    <w:rPr>
      <w:color w:val="954f72" w:themeColor="followedHyperlink"/>
      <w:u w:val="single"/>
    </w:rPr>
  </w:style>
  <w:style w:type="character" w:styleId="UnresolvedMention">
    <w:name w:val="Unresolved Mention"/>
    <w:basedOn w:val="DefaultParagraphFont"/>
    <w:uiPriority w:val="99"/>
    <w:semiHidden w:val="1"/>
    <w:unhideWhenUsed w:val="1"/>
    <w:rsid w:val="00262029"/>
    <w:rPr>
      <w:color w:val="605e5c"/>
      <w:shd w:color="auto" w:fill="e1dfdd" w:val="clear"/>
    </w:rPr>
  </w:style>
  <w:style w:type="character" w:styleId="apple-converted-space" w:customStyle="1">
    <w:name w:val="apple-converted-space"/>
    <w:basedOn w:val="DefaultParagraphFont"/>
    <w:rsid w:val="00BF54C8"/>
  </w:style>
  <w:style w:type="character" w:styleId="text-format-content" w:customStyle="1">
    <w:name w:val="text-format-content"/>
    <w:basedOn w:val="DefaultParagraphFont"/>
    <w:rsid w:val="00D66638"/>
  </w:style>
  <w:style w:type="character" w:styleId="PageNumber">
    <w:name w:val="page number"/>
    <w:basedOn w:val="DefaultParagraphFont"/>
    <w:uiPriority w:val="99"/>
    <w:semiHidden w:val="1"/>
    <w:unhideWhenUsed w:val="1"/>
    <w:rsid w:val="00B27C38"/>
  </w:style>
  <w:style w:type="character" w:styleId="SmartLink">
    <w:name w:val="Smart Link"/>
    <w:basedOn w:val="DefaultParagraphFont"/>
    <w:uiPriority w:val="99"/>
    <w:semiHidden w:val="1"/>
    <w:unhideWhenUsed w:val="1"/>
    <w:rsid w:val="00515676"/>
    <w:rPr>
      <w:color w:val="0000ff"/>
      <w:u w:val="single"/>
      <w:shd w:color="auto" w:fill="f3f2f1" w:val="clear"/>
    </w:rPr>
  </w:style>
  <w:style w:type="paragraph" w:styleId="Title">
    <w:name w:val="Title"/>
    <w:basedOn w:val="Normal"/>
    <w:next w:val="Normal"/>
    <w:link w:val="TitleChar"/>
    <w:uiPriority w:val="10"/>
    <w:qFormat w:val="1"/>
    <w:rsid w:val="71D1FBA1"/>
    <w:pPr>
      <w:contextualSpacing w:val="1"/>
    </w:pPr>
    <w:rPr>
      <w:rFonts w:asciiTheme="majorHAnsi" w:cstheme="majorBidi" w:eastAsiaTheme="majorEastAsia" w:hAnsiTheme="majorHAnsi"/>
      <w:sz w:val="56"/>
      <w:szCs w:val="56"/>
    </w:rPr>
  </w:style>
  <w:style w:type="paragraph" w:styleId="Subtitle">
    <w:name w:val="Subtitle"/>
    <w:basedOn w:val="Normal"/>
    <w:next w:val="Normal"/>
    <w:link w:val="SubtitleChar"/>
    <w:uiPriority w:val="11"/>
    <w:qFormat w:val="1"/>
    <w:rsid w:val="71D1FBA1"/>
    <w:rPr>
      <w:rFonts w:eastAsiaTheme="minorEastAsia"/>
      <w:color w:val="5a5a5a"/>
    </w:rPr>
  </w:style>
  <w:style w:type="paragraph" w:styleId="Quote">
    <w:name w:val="Quote"/>
    <w:basedOn w:val="Normal"/>
    <w:next w:val="Normal"/>
    <w:link w:val="QuoteChar"/>
    <w:uiPriority w:val="29"/>
    <w:qFormat w:val="1"/>
    <w:rsid w:val="71D1FBA1"/>
    <w:pPr>
      <w:spacing w:before="200"/>
      <w:ind w:left="864" w:right="864"/>
      <w:jc w:val="center"/>
    </w:pPr>
    <w:rPr>
      <w:i w:val="1"/>
      <w:iCs w:val="1"/>
      <w:color w:val="404040" w:themeColor="text1" w:themeTint="0000BF"/>
    </w:rPr>
  </w:style>
  <w:style w:type="paragraph" w:styleId="IntenseQuote">
    <w:name w:val="Intense Quote"/>
    <w:basedOn w:val="Normal"/>
    <w:next w:val="Normal"/>
    <w:link w:val="IntenseQuoteChar"/>
    <w:uiPriority w:val="30"/>
    <w:qFormat w:val="1"/>
    <w:rsid w:val="71D1FBA1"/>
    <w:pPr>
      <w:spacing w:after="360" w:before="360"/>
      <w:ind w:left="864" w:right="864"/>
      <w:jc w:val="center"/>
    </w:pPr>
    <w:rPr>
      <w:i w:val="1"/>
      <w:iCs w:val="1"/>
      <w:color w:val="4472c4" w:themeColor="accent1"/>
    </w:rPr>
  </w:style>
  <w:style w:type="character" w:styleId="Heading1Char" w:customStyle="1">
    <w:name w:val="Heading 1 Char"/>
    <w:basedOn w:val="DefaultParagraphFont"/>
    <w:link w:val="Heading1"/>
    <w:uiPriority w:val="9"/>
    <w:rsid w:val="71D1FBA1"/>
    <w:rPr>
      <w:rFonts w:asciiTheme="majorHAnsi" w:cstheme="majorBidi" w:eastAsiaTheme="majorEastAsia" w:hAnsiTheme="majorHAnsi"/>
      <w:noProof w:val="0"/>
      <w:color w:val="2f5496" w:themeColor="accent1" w:themeShade="0000BF"/>
      <w:sz w:val="32"/>
      <w:szCs w:val="32"/>
      <w:lang w:val="en-GB"/>
    </w:rPr>
  </w:style>
  <w:style w:type="character" w:styleId="Heading2Char" w:customStyle="1">
    <w:name w:val="Heading 2 Char"/>
    <w:basedOn w:val="DefaultParagraphFont"/>
    <w:link w:val="Heading2"/>
    <w:uiPriority w:val="9"/>
    <w:rsid w:val="71D1FBA1"/>
    <w:rPr>
      <w:rFonts w:asciiTheme="majorHAnsi" w:cstheme="majorBidi" w:eastAsiaTheme="majorEastAsia" w:hAnsiTheme="majorHAnsi"/>
      <w:noProof w:val="0"/>
      <w:color w:val="2f5496" w:themeColor="accent1" w:themeShade="0000BF"/>
      <w:sz w:val="26"/>
      <w:szCs w:val="26"/>
      <w:lang w:val="en-GB"/>
    </w:rPr>
  </w:style>
  <w:style w:type="character" w:styleId="Heading4Char" w:customStyle="1">
    <w:name w:val="Heading 4 Char"/>
    <w:basedOn w:val="DefaultParagraphFont"/>
    <w:link w:val="Heading4"/>
    <w:uiPriority w:val="9"/>
    <w:rsid w:val="71D1FBA1"/>
    <w:rPr>
      <w:rFonts w:asciiTheme="majorHAnsi" w:cstheme="majorBidi" w:eastAsiaTheme="majorEastAsia" w:hAnsiTheme="majorHAnsi"/>
      <w:i w:val="1"/>
      <w:iCs w:val="1"/>
      <w:noProof w:val="0"/>
      <w:color w:val="2f5496" w:themeColor="accent1" w:themeShade="0000BF"/>
      <w:lang w:val="en-GB"/>
    </w:rPr>
  </w:style>
  <w:style w:type="character" w:styleId="Heading5Char" w:customStyle="1">
    <w:name w:val="Heading 5 Char"/>
    <w:basedOn w:val="DefaultParagraphFont"/>
    <w:link w:val="Heading5"/>
    <w:uiPriority w:val="9"/>
    <w:rsid w:val="71D1FBA1"/>
    <w:rPr>
      <w:rFonts w:asciiTheme="majorHAnsi" w:cstheme="majorBidi" w:eastAsiaTheme="majorEastAsia" w:hAnsiTheme="majorHAnsi"/>
      <w:noProof w:val="0"/>
      <w:color w:val="2f5496" w:themeColor="accent1" w:themeShade="0000BF"/>
      <w:lang w:val="en-GB"/>
    </w:rPr>
  </w:style>
  <w:style w:type="character" w:styleId="Heading6Char" w:customStyle="1">
    <w:name w:val="Heading 6 Char"/>
    <w:basedOn w:val="DefaultParagraphFont"/>
    <w:link w:val="Heading6"/>
    <w:uiPriority w:val="9"/>
    <w:rsid w:val="71D1FBA1"/>
    <w:rPr>
      <w:rFonts w:asciiTheme="majorHAnsi" w:cstheme="majorBidi" w:eastAsiaTheme="majorEastAsia" w:hAnsiTheme="majorHAnsi"/>
      <w:noProof w:val="0"/>
      <w:color w:val="1f3763"/>
      <w:lang w:val="en-GB"/>
    </w:rPr>
  </w:style>
  <w:style w:type="character" w:styleId="Heading7Char" w:customStyle="1">
    <w:name w:val="Heading 7 Char"/>
    <w:basedOn w:val="DefaultParagraphFont"/>
    <w:link w:val="Heading7"/>
    <w:uiPriority w:val="9"/>
    <w:rsid w:val="71D1FBA1"/>
    <w:rPr>
      <w:rFonts w:asciiTheme="majorHAnsi" w:cstheme="majorBidi" w:eastAsiaTheme="majorEastAsia" w:hAnsiTheme="majorHAnsi"/>
      <w:i w:val="1"/>
      <w:iCs w:val="1"/>
      <w:noProof w:val="0"/>
      <w:color w:val="1f3763"/>
      <w:lang w:val="en-GB"/>
    </w:rPr>
  </w:style>
  <w:style w:type="character" w:styleId="Heading8Char" w:customStyle="1">
    <w:name w:val="Heading 8 Char"/>
    <w:basedOn w:val="DefaultParagraphFont"/>
    <w:link w:val="Heading8"/>
    <w:uiPriority w:val="9"/>
    <w:rsid w:val="71D1FBA1"/>
    <w:rPr>
      <w:rFonts w:asciiTheme="majorHAnsi" w:cstheme="majorBidi" w:eastAsiaTheme="majorEastAsia" w:hAnsiTheme="majorHAnsi"/>
      <w:noProof w:val="0"/>
      <w:color w:val="272727"/>
      <w:sz w:val="21"/>
      <w:szCs w:val="21"/>
      <w:lang w:val="en-GB"/>
    </w:rPr>
  </w:style>
  <w:style w:type="character" w:styleId="Heading9Char" w:customStyle="1">
    <w:name w:val="Heading 9 Char"/>
    <w:basedOn w:val="DefaultParagraphFont"/>
    <w:link w:val="Heading9"/>
    <w:uiPriority w:val="9"/>
    <w:rsid w:val="71D1FBA1"/>
    <w:rPr>
      <w:rFonts w:asciiTheme="majorHAnsi" w:cstheme="majorBidi" w:eastAsiaTheme="majorEastAsia" w:hAnsiTheme="majorHAnsi"/>
      <w:i w:val="1"/>
      <w:iCs w:val="1"/>
      <w:noProof w:val="0"/>
      <w:color w:val="272727"/>
      <w:sz w:val="21"/>
      <w:szCs w:val="21"/>
      <w:lang w:val="en-GB"/>
    </w:rPr>
  </w:style>
  <w:style w:type="character" w:styleId="TitleChar" w:customStyle="1">
    <w:name w:val="Title Char"/>
    <w:basedOn w:val="DefaultParagraphFont"/>
    <w:link w:val="Title"/>
    <w:uiPriority w:val="10"/>
    <w:rsid w:val="71D1FBA1"/>
    <w:rPr>
      <w:rFonts w:asciiTheme="majorHAnsi" w:cstheme="majorBidi" w:eastAsiaTheme="majorEastAsia" w:hAnsiTheme="majorHAnsi"/>
      <w:noProof w:val="0"/>
      <w:sz w:val="56"/>
      <w:szCs w:val="56"/>
      <w:lang w:val="en-GB"/>
    </w:rPr>
  </w:style>
  <w:style w:type="character" w:styleId="SubtitleChar" w:customStyle="1">
    <w:name w:val="Subtitle Char"/>
    <w:basedOn w:val="DefaultParagraphFont"/>
    <w:link w:val="Subtitle"/>
    <w:uiPriority w:val="11"/>
    <w:rsid w:val="71D1FBA1"/>
    <w:rPr>
      <w:rFonts w:asciiTheme="minorHAnsi" w:cstheme="minorBidi" w:eastAsiaTheme="minorEastAsia" w:hAnsiTheme="minorHAnsi"/>
      <w:noProof w:val="0"/>
      <w:color w:val="5a5a5a"/>
      <w:lang w:val="en-GB"/>
    </w:rPr>
  </w:style>
  <w:style w:type="character" w:styleId="QuoteChar" w:customStyle="1">
    <w:name w:val="Quote Char"/>
    <w:basedOn w:val="DefaultParagraphFont"/>
    <w:link w:val="Quote"/>
    <w:uiPriority w:val="29"/>
    <w:rsid w:val="71D1FBA1"/>
    <w:rPr>
      <w:i w:val="1"/>
      <w:iCs w:val="1"/>
      <w:noProof w:val="0"/>
      <w:color w:val="404040" w:themeColor="text1" w:themeTint="0000BF"/>
      <w:lang w:val="en-GB"/>
    </w:rPr>
  </w:style>
  <w:style w:type="character" w:styleId="IntenseQuoteChar" w:customStyle="1">
    <w:name w:val="Intense Quote Char"/>
    <w:basedOn w:val="DefaultParagraphFont"/>
    <w:link w:val="IntenseQuote"/>
    <w:uiPriority w:val="30"/>
    <w:rsid w:val="71D1FBA1"/>
    <w:rPr>
      <w:i w:val="1"/>
      <w:iCs w:val="1"/>
      <w:noProof w:val="0"/>
      <w:color w:val="4472c4" w:themeColor="accent1"/>
      <w:lang w:val="en-GB"/>
    </w:rPr>
  </w:style>
  <w:style w:type="paragraph" w:styleId="TOC1">
    <w:name w:val="toc 1"/>
    <w:basedOn w:val="Normal"/>
    <w:next w:val="Normal"/>
    <w:uiPriority w:val="39"/>
    <w:unhideWhenUsed w:val="1"/>
    <w:rsid w:val="71D1FBA1"/>
    <w:pPr>
      <w:spacing w:after="100"/>
    </w:pPr>
  </w:style>
  <w:style w:type="paragraph" w:styleId="TOC2">
    <w:name w:val="toc 2"/>
    <w:basedOn w:val="Normal"/>
    <w:next w:val="Normal"/>
    <w:uiPriority w:val="39"/>
    <w:unhideWhenUsed w:val="1"/>
    <w:rsid w:val="71D1FBA1"/>
    <w:pPr>
      <w:spacing w:after="100"/>
      <w:ind w:left="220"/>
    </w:pPr>
  </w:style>
  <w:style w:type="paragraph" w:styleId="TOC3">
    <w:name w:val="toc 3"/>
    <w:basedOn w:val="Normal"/>
    <w:next w:val="Normal"/>
    <w:uiPriority w:val="39"/>
    <w:unhideWhenUsed w:val="1"/>
    <w:rsid w:val="71D1FBA1"/>
    <w:pPr>
      <w:spacing w:after="100"/>
      <w:ind w:left="440"/>
    </w:pPr>
  </w:style>
  <w:style w:type="paragraph" w:styleId="TOC4">
    <w:name w:val="toc 4"/>
    <w:basedOn w:val="Normal"/>
    <w:next w:val="Normal"/>
    <w:uiPriority w:val="39"/>
    <w:unhideWhenUsed w:val="1"/>
    <w:rsid w:val="71D1FBA1"/>
    <w:pPr>
      <w:spacing w:after="100"/>
      <w:ind w:left="660"/>
    </w:pPr>
  </w:style>
  <w:style w:type="paragraph" w:styleId="TOC5">
    <w:name w:val="toc 5"/>
    <w:basedOn w:val="Normal"/>
    <w:next w:val="Normal"/>
    <w:uiPriority w:val="39"/>
    <w:unhideWhenUsed w:val="1"/>
    <w:rsid w:val="71D1FBA1"/>
    <w:pPr>
      <w:spacing w:after="100"/>
      <w:ind w:left="880"/>
    </w:pPr>
  </w:style>
  <w:style w:type="paragraph" w:styleId="TOC6">
    <w:name w:val="toc 6"/>
    <w:basedOn w:val="Normal"/>
    <w:next w:val="Normal"/>
    <w:uiPriority w:val="39"/>
    <w:unhideWhenUsed w:val="1"/>
    <w:rsid w:val="71D1FBA1"/>
    <w:pPr>
      <w:spacing w:after="100"/>
      <w:ind w:left="1100"/>
    </w:pPr>
  </w:style>
  <w:style w:type="paragraph" w:styleId="TOC7">
    <w:name w:val="toc 7"/>
    <w:basedOn w:val="Normal"/>
    <w:next w:val="Normal"/>
    <w:uiPriority w:val="39"/>
    <w:unhideWhenUsed w:val="1"/>
    <w:rsid w:val="71D1FBA1"/>
    <w:pPr>
      <w:spacing w:after="100"/>
      <w:ind w:left="1320"/>
    </w:pPr>
  </w:style>
  <w:style w:type="paragraph" w:styleId="TOC8">
    <w:name w:val="toc 8"/>
    <w:basedOn w:val="Normal"/>
    <w:next w:val="Normal"/>
    <w:uiPriority w:val="39"/>
    <w:unhideWhenUsed w:val="1"/>
    <w:rsid w:val="71D1FBA1"/>
    <w:pPr>
      <w:spacing w:after="100"/>
      <w:ind w:left="1540"/>
    </w:pPr>
  </w:style>
  <w:style w:type="paragraph" w:styleId="TOC9">
    <w:name w:val="toc 9"/>
    <w:basedOn w:val="Normal"/>
    <w:next w:val="Normal"/>
    <w:uiPriority w:val="39"/>
    <w:unhideWhenUsed w:val="1"/>
    <w:rsid w:val="71D1FBA1"/>
    <w:pPr>
      <w:spacing w:after="100"/>
      <w:ind w:left="1760"/>
    </w:pPr>
  </w:style>
  <w:style w:type="paragraph" w:styleId="EndnoteText">
    <w:name w:val="endnote text"/>
    <w:basedOn w:val="Normal"/>
    <w:link w:val="EndnoteTextChar"/>
    <w:uiPriority w:val="99"/>
    <w:semiHidden w:val="1"/>
    <w:unhideWhenUsed w:val="1"/>
    <w:rsid w:val="71D1FBA1"/>
    <w:rPr>
      <w:sz w:val="20"/>
      <w:szCs w:val="20"/>
    </w:rPr>
  </w:style>
  <w:style w:type="character" w:styleId="EndnoteTextChar" w:customStyle="1">
    <w:name w:val="Endnote Text Char"/>
    <w:basedOn w:val="DefaultParagraphFont"/>
    <w:link w:val="EndnoteText"/>
    <w:uiPriority w:val="99"/>
    <w:semiHidden w:val="1"/>
    <w:rsid w:val="71D1FBA1"/>
    <w:rPr>
      <w:noProof w:val="0"/>
      <w:sz w:val="20"/>
      <w:szCs w:val="20"/>
      <w:lang w:val="en-GB"/>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mrets.org/m-rets-renewable-thermal-tracking-system/" TargetMode="External"/><Relationship Id="rId22" Type="http://schemas.openxmlformats.org/officeDocument/2006/relationships/footer" Target="footer1.xml"/><Relationship Id="rId10" Type="http://schemas.openxmlformats.org/officeDocument/2006/relationships/hyperlink" Target="http://www.greengas.org.uk" TargetMode="External"/><Relationship Id="rId21" Type="http://schemas.openxmlformats.org/officeDocument/2006/relationships/footer" Target="footer2.xml"/><Relationship Id="rId13" Type="http://schemas.openxmlformats.org/officeDocument/2006/relationships/hyperlink" Target="https://nabisy.ble.de/app/locale?set=en" TargetMode="External"/><Relationship Id="rId12" Type="http://schemas.openxmlformats.org/officeDocument/2006/relationships/hyperlink" Target="https://www.biogasregister.de/startsei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rgar.org/" TargetMode="External"/><Relationship Id="rId15" Type="http://schemas.openxmlformats.org/officeDocument/2006/relationships/hyperlink" Target="https://assets.publishing.service.gov.uk/government/uploads/system/uploads/attachment_data/file/1018133/green-gas-impact-assessment.pdf" TargetMode="External"/><Relationship Id="rId14" Type="http://schemas.openxmlformats.org/officeDocument/2006/relationships/hyperlink" Target="https://www.gov.uk/government/publications/legal-definition-of-waste-guidance/definition-of-waste-2018-waste-framework-directive-amendments" TargetMode="External"/><Relationship Id="rId17" Type="http://schemas.openxmlformats.org/officeDocument/2006/relationships/header" Target="header1.xml"/><Relationship Id="rId16" Type="http://schemas.openxmlformats.org/officeDocument/2006/relationships/hyperlink" Target="https://www.statista.com/statistics/1294025/quarterly-gas-in-storage-in-the-european-union/"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customXml" Target="../customXML/item1.xml"/><Relationship Id="rId8" Type="http://schemas.openxmlformats.org/officeDocument/2006/relationships/hyperlink" Target="https://eur-lex.europa.eu/legal-content/EN/TXT/?uri=uriserv:OJ.L_.2018.328.01.0082.01.ENG&amp;toc=OJ:L:2018:328:T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sites/default/files/standards_supporting/Land-Sector-and-Removals-Guidance-Pilot-Testing-and-Review-Draft-Part-1.pdf" TargetMode="External"/><Relationship Id="rId2" Type="http://schemas.openxmlformats.org/officeDocument/2006/relationships/hyperlink" Target="https://ghgprotocol.org/sites/default/files/standards_supporting/Land-Sector-and-Removals-Guidance-Pilot-Testing-and-Review-Draft-Part-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38Z2Lp9XK7orEtgwaWFl0tidJg==">AMUW2mWRvywiq0W9Ld1IZvCIpHe0NR37EjNapiXx1RCb3uex6D82ASa1ppxt05qNtNEL46pAhQQFP3SOtDTuZymwNVE2xZr3U+GNYLOitJPswF1vzvgZt/iBgl3cAWYLLjPE9bBHN3c5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2022-11-11T17:19:00Z</dcterms:created>
  <dc:creator>Alethea Dopart</dc:creator>
</cp:coreProperties>
</file>