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47A8D" w14:paraId="4CF2B11E" w14:textId="77777777" w:rsidTr="00447A8D">
        <w:tc>
          <w:tcPr>
            <w:tcW w:w="4675" w:type="dxa"/>
          </w:tcPr>
          <w:p w14:paraId="4178ABB4" w14:textId="3A044094" w:rsidR="00447A8D" w:rsidRDefault="00447A8D" w:rsidP="00447A8D"/>
          <w:p w14:paraId="20C2B86F" w14:textId="77777777" w:rsidR="00447A8D" w:rsidRDefault="00447A8D" w:rsidP="00447A8D">
            <w:pPr>
              <w:rPr>
                <w:b/>
                <w:bCs/>
              </w:rPr>
            </w:pPr>
            <w:r>
              <w:rPr>
                <w:b/>
                <w:bCs/>
              </w:rPr>
              <w:t>For immediate release</w:t>
            </w:r>
          </w:p>
          <w:p w14:paraId="4248CCC7" w14:textId="380704C2" w:rsidR="00447A8D" w:rsidRDefault="00447A8D" w:rsidP="00447A8D">
            <w:pPr>
              <w:rPr>
                <w:b/>
                <w:bCs/>
              </w:rPr>
            </w:pPr>
            <w:r>
              <w:rPr>
                <w:b/>
                <w:bCs/>
              </w:rPr>
              <w:t xml:space="preserve">Date: </w:t>
            </w:r>
            <w:r w:rsidR="00F34D18" w:rsidRPr="00F34D18">
              <w:rPr>
                <w:color w:val="FF0000"/>
              </w:rPr>
              <w:t>TBC</w:t>
            </w:r>
          </w:p>
        </w:tc>
        <w:tc>
          <w:tcPr>
            <w:tcW w:w="4675" w:type="dxa"/>
          </w:tcPr>
          <w:p w14:paraId="7DE4C8A7" w14:textId="0511DFAF" w:rsidR="00447A8D" w:rsidRDefault="00447A8D" w:rsidP="00447A8D">
            <w:pPr>
              <w:jc w:val="right"/>
              <w:rPr>
                <w:b/>
                <w:bCs/>
              </w:rPr>
            </w:pPr>
            <w:r>
              <w:fldChar w:fldCharType="begin"/>
            </w:r>
            <w:r w:rsidR="00234123">
              <w:instrText xml:space="preserve"> INCLUDEPICTURE "C:\\var\\folders\\8g\\0bvvchmn299c1bgk0_xfjylc0000gn\\T\\com.microsoft.Word\\WebArchiveCopyPasteTempFiles\\hrc-logo-2.png" \* MERGEFORMAT </w:instrText>
            </w:r>
            <w:r>
              <w:fldChar w:fldCharType="separate"/>
            </w:r>
            <w:r>
              <w:rPr>
                <w:noProof/>
              </w:rPr>
              <w:drawing>
                <wp:inline distT="0" distB="0" distL="0" distR="0" wp14:anchorId="19DFBE19" wp14:editId="7DB20ADA">
                  <wp:extent cx="1745159" cy="853685"/>
                  <wp:effectExtent l="0" t="0" r="0" b="0"/>
                  <wp:docPr id="1" name="Picture 1" descr="Handel Rating Consult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el Rating Consultants"/>
                          <pic:cNvPicPr>
                            <a:picLocks noChangeAspect="1" noChangeArrowheads="1"/>
                          </pic:cNvPicPr>
                        </pic:nvPicPr>
                        <pic:blipFill rotWithShape="1">
                          <a:blip r:embed="rId8">
                            <a:extLst>
                              <a:ext uri="{28A0092B-C50C-407E-A947-70E740481C1C}">
                                <a14:useLocalDpi xmlns:a14="http://schemas.microsoft.com/office/drawing/2010/main" val="0"/>
                              </a:ext>
                            </a:extLst>
                          </a:blip>
                          <a:srcRect b="11102"/>
                          <a:stretch/>
                        </pic:blipFill>
                        <pic:spPr bwMode="auto">
                          <a:xfrm>
                            <a:off x="0" y="0"/>
                            <a:ext cx="1767818" cy="864769"/>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tc>
      </w:tr>
    </w:tbl>
    <w:p w14:paraId="1DE5A2E3" w14:textId="77777777" w:rsidR="00447A8D" w:rsidRDefault="00447A8D">
      <w:pPr>
        <w:rPr>
          <w:b/>
          <w:bCs/>
        </w:rPr>
      </w:pPr>
    </w:p>
    <w:p w14:paraId="2E0BBB1A" w14:textId="77777777" w:rsidR="006A2804" w:rsidRDefault="006A2804" w:rsidP="00447A8D">
      <w:pPr>
        <w:jc w:val="center"/>
        <w:rPr>
          <w:b/>
          <w:bCs/>
        </w:rPr>
      </w:pPr>
    </w:p>
    <w:p w14:paraId="2209C17D" w14:textId="4D400613" w:rsidR="00447A8D" w:rsidRPr="006B65C0" w:rsidRDefault="006B65C0" w:rsidP="00F34D18">
      <w:pPr>
        <w:jc w:val="center"/>
        <w:rPr>
          <w:b/>
          <w:bCs/>
          <w:sz w:val="28"/>
          <w:szCs w:val="28"/>
        </w:rPr>
      </w:pPr>
      <w:r w:rsidRPr="006B65C0">
        <w:rPr>
          <w:b/>
          <w:bCs/>
          <w:sz w:val="28"/>
          <w:szCs w:val="28"/>
        </w:rPr>
        <w:t xml:space="preserve">CRUCIAL RENEWABLE ENERGY SECTOR TO SEE TAXES RISE BY UP TO 30% </w:t>
      </w:r>
      <w:r w:rsidR="00F34D18" w:rsidRPr="006B65C0">
        <w:rPr>
          <w:b/>
          <w:bCs/>
          <w:sz w:val="28"/>
          <w:szCs w:val="28"/>
        </w:rPr>
        <w:t xml:space="preserve"> </w:t>
      </w:r>
    </w:p>
    <w:p w14:paraId="643DD66A" w14:textId="77777777" w:rsidR="00F34D18" w:rsidRDefault="00F34D18" w:rsidP="00F34D18">
      <w:pPr>
        <w:jc w:val="center"/>
        <w:rPr>
          <w:b/>
          <w:bCs/>
        </w:rPr>
      </w:pPr>
    </w:p>
    <w:p w14:paraId="3B023B98" w14:textId="2BC9DD23" w:rsidR="00447A8D" w:rsidRDefault="006B65C0" w:rsidP="00447A8D">
      <w:pPr>
        <w:pStyle w:val="ListParagraph"/>
        <w:numPr>
          <w:ilvl w:val="0"/>
          <w:numId w:val="1"/>
        </w:numPr>
        <w:jc w:val="center"/>
        <w:rPr>
          <w:b/>
          <w:bCs/>
        </w:rPr>
      </w:pPr>
      <w:r w:rsidRPr="006B65C0">
        <w:rPr>
          <w:b/>
          <w:bCs/>
        </w:rPr>
        <w:t xml:space="preserve">Changes to business rates </w:t>
      </w:r>
      <w:r w:rsidR="004E2B57">
        <w:rPr>
          <w:b/>
          <w:bCs/>
        </w:rPr>
        <w:t xml:space="preserve">in England and Wales </w:t>
      </w:r>
      <w:r w:rsidRPr="006B65C0">
        <w:rPr>
          <w:b/>
          <w:bCs/>
        </w:rPr>
        <w:t xml:space="preserve">mean that </w:t>
      </w:r>
      <w:r w:rsidR="00766815">
        <w:rPr>
          <w:b/>
          <w:bCs/>
        </w:rPr>
        <w:t xml:space="preserve">operators of </w:t>
      </w:r>
      <w:r w:rsidRPr="006B65C0">
        <w:rPr>
          <w:b/>
          <w:bCs/>
        </w:rPr>
        <w:t>anaerobic digestion</w:t>
      </w:r>
      <w:r w:rsidR="00766815">
        <w:rPr>
          <w:b/>
          <w:bCs/>
        </w:rPr>
        <w:t xml:space="preserve"> plants </w:t>
      </w:r>
      <w:r w:rsidR="00970A28">
        <w:rPr>
          <w:b/>
          <w:bCs/>
        </w:rPr>
        <w:t xml:space="preserve">are facing </w:t>
      </w:r>
      <w:r>
        <w:rPr>
          <w:b/>
          <w:bCs/>
        </w:rPr>
        <w:t>significantly higher payments</w:t>
      </w:r>
      <w:r w:rsidR="001F2518">
        <w:rPr>
          <w:b/>
          <w:bCs/>
        </w:rPr>
        <w:t xml:space="preserve"> starting in April of next year</w:t>
      </w:r>
    </w:p>
    <w:p w14:paraId="0159E3D4" w14:textId="77777777" w:rsidR="0076681E" w:rsidRDefault="0076681E" w:rsidP="0076681E">
      <w:pPr>
        <w:pStyle w:val="ListParagraph"/>
        <w:rPr>
          <w:b/>
          <w:bCs/>
        </w:rPr>
      </w:pPr>
    </w:p>
    <w:p w14:paraId="18F8C2BB" w14:textId="5D0F5048" w:rsidR="006B65C0" w:rsidRPr="00447A8D" w:rsidRDefault="006B65C0" w:rsidP="00447A8D">
      <w:pPr>
        <w:pStyle w:val="ListParagraph"/>
        <w:numPr>
          <w:ilvl w:val="0"/>
          <w:numId w:val="1"/>
        </w:numPr>
        <w:jc w:val="center"/>
        <w:rPr>
          <w:b/>
          <w:bCs/>
        </w:rPr>
      </w:pPr>
      <w:r>
        <w:rPr>
          <w:b/>
          <w:bCs/>
        </w:rPr>
        <w:t xml:space="preserve">The move </w:t>
      </w:r>
      <w:r w:rsidR="00565999">
        <w:rPr>
          <w:b/>
          <w:bCs/>
        </w:rPr>
        <w:t xml:space="preserve">is </w:t>
      </w:r>
      <w:r>
        <w:rPr>
          <w:b/>
          <w:bCs/>
        </w:rPr>
        <w:t xml:space="preserve">likely to hit farmers </w:t>
      </w:r>
      <w:r w:rsidR="00E44E90">
        <w:rPr>
          <w:b/>
          <w:bCs/>
        </w:rPr>
        <w:t xml:space="preserve">particularly </w:t>
      </w:r>
      <w:r>
        <w:rPr>
          <w:b/>
          <w:bCs/>
        </w:rPr>
        <w:t xml:space="preserve">hard </w:t>
      </w:r>
      <w:r w:rsidR="00082A09">
        <w:rPr>
          <w:b/>
          <w:bCs/>
        </w:rPr>
        <w:t xml:space="preserve">as well as the </w:t>
      </w:r>
      <w:r w:rsidR="00EB786E">
        <w:rPr>
          <w:b/>
          <w:bCs/>
        </w:rPr>
        <w:t xml:space="preserve">expanding </w:t>
      </w:r>
      <w:r w:rsidR="006C7D8B">
        <w:rPr>
          <w:b/>
          <w:bCs/>
        </w:rPr>
        <w:t xml:space="preserve">number of </w:t>
      </w:r>
      <w:proofErr w:type="gramStart"/>
      <w:r w:rsidR="007A636B">
        <w:rPr>
          <w:b/>
          <w:bCs/>
        </w:rPr>
        <w:t>gas</w:t>
      </w:r>
      <w:proofErr w:type="gramEnd"/>
      <w:r w:rsidR="007A636B">
        <w:rPr>
          <w:b/>
          <w:bCs/>
        </w:rPr>
        <w:t xml:space="preserve"> </w:t>
      </w:r>
      <w:r w:rsidR="00082A09">
        <w:rPr>
          <w:b/>
          <w:bCs/>
        </w:rPr>
        <w:t xml:space="preserve">to grid </w:t>
      </w:r>
      <w:r w:rsidR="00E52758">
        <w:rPr>
          <w:b/>
          <w:bCs/>
        </w:rPr>
        <w:t>plants</w:t>
      </w:r>
    </w:p>
    <w:p w14:paraId="1ECCD1F8" w14:textId="18CB65A9" w:rsidR="00447A8D" w:rsidRPr="006B65C0" w:rsidRDefault="00447A8D" w:rsidP="006B65C0">
      <w:pPr>
        <w:rPr>
          <w:b/>
          <w:bCs/>
        </w:rPr>
      </w:pPr>
    </w:p>
    <w:p w14:paraId="3E0BF9F5" w14:textId="77777777" w:rsidR="00F34D18" w:rsidRPr="00447A8D" w:rsidRDefault="00F34D18" w:rsidP="00F34D18"/>
    <w:p w14:paraId="75F0D483" w14:textId="3695A48C" w:rsidR="006B65C0" w:rsidRDefault="006B65C0" w:rsidP="006B65C0">
      <w:r>
        <w:t xml:space="preserve">Operators of </w:t>
      </w:r>
      <w:r w:rsidR="00676020">
        <w:t xml:space="preserve">both gas to grid and electrical AD plants </w:t>
      </w:r>
      <w:r w:rsidR="00786B4E">
        <w:t xml:space="preserve">are </w:t>
      </w:r>
      <w:r>
        <w:t>fac</w:t>
      </w:r>
      <w:r w:rsidR="00786B4E">
        <w:t xml:space="preserve">ing </w:t>
      </w:r>
      <w:r>
        <w:t xml:space="preserve">higher </w:t>
      </w:r>
      <w:r w:rsidR="003574FD">
        <w:t xml:space="preserve">business rates </w:t>
      </w:r>
      <w:r>
        <w:t xml:space="preserve">after the UK government changed the way it calculates </w:t>
      </w:r>
      <w:r w:rsidR="00212D38">
        <w:t xml:space="preserve">the rates assessments </w:t>
      </w:r>
      <w:r w:rsidR="001461E3">
        <w:t>which forms the basis of rates bills.</w:t>
      </w:r>
      <w:r>
        <w:t xml:space="preserve"> Analysis by Handel Rating Consultants – </w:t>
      </w:r>
      <w:r w:rsidR="00C059A6">
        <w:t>a</w:t>
      </w:r>
      <w:r>
        <w:t xml:space="preserve"> leading expert </w:t>
      </w:r>
      <w:r w:rsidR="00A309D4">
        <w:t>specialising in the sector</w:t>
      </w:r>
      <w:r>
        <w:t xml:space="preserve"> suggests the increase could be as much as 30% per annum for </w:t>
      </w:r>
      <w:r w:rsidR="007A636B">
        <w:t xml:space="preserve">gas to grid plants </w:t>
      </w:r>
      <w:r>
        <w:t xml:space="preserve">and at least 20% for </w:t>
      </w:r>
      <w:r w:rsidR="00CB2A62">
        <w:t xml:space="preserve">electrical </w:t>
      </w:r>
      <w:r>
        <w:t xml:space="preserve">combined heat and power </w:t>
      </w:r>
      <w:r w:rsidR="00CB2A62">
        <w:t xml:space="preserve">(CHP) </w:t>
      </w:r>
      <w:r>
        <w:t>plants.</w:t>
      </w:r>
    </w:p>
    <w:p w14:paraId="61DC3F2D" w14:textId="77777777" w:rsidR="006B65C0" w:rsidRDefault="006B65C0" w:rsidP="006B65C0"/>
    <w:p w14:paraId="377E2ED2" w14:textId="25D66A59" w:rsidR="00CB2A62" w:rsidRDefault="006B65C0" w:rsidP="006B65C0">
      <w:r>
        <w:t>Many of these plants are operated by farmers</w:t>
      </w:r>
      <w:r w:rsidR="00CB2A62">
        <w:t xml:space="preserve"> – </w:t>
      </w:r>
      <w:r w:rsidR="00122E6B">
        <w:t xml:space="preserve">already facing steep </w:t>
      </w:r>
      <w:r w:rsidR="00CB7B04">
        <w:t xml:space="preserve">rises in costs </w:t>
      </w:r>
      <w:r w:rsidR="00CB2A62">
        <w:t>and bruised by inconsistent government policies. Recent data say</w:t>
      </w:r>
      <w:r w:rsidR="00CE26E7">
        <w:t>s</w:t>
      </w:r>
      <w:r w:rsidR="00CB2A62">
        <w:t xml:space="preserve"> there are now </w:t>
      </w:r>
      <w:r>
        <w:t>650</w:t>
      </w:r>
      <w:r w:rsidR="00CB2A62">
        <w:rPr>
          <w:rStyle w:val="FootnoteReference"/>
        </w:rPr>
        <w:footnoteReference w:id="1"/>
      </w:r>
      <w:r>
        <w:t xml:space="preserve"> anaerobic digestion sites</w:t>
      </w:r>
      <w:r w:rsidR="00CB2A62">
        <w:t xml:space="preserve"> in the UK</w:t>
      </w:r>
      <w:r>
        <w:t>,</w:t>
      </w:r>
      <w:r w:rsidR="00CB2A62">
        <w:t xml:space="preserve"> </w:t>
      </w:r>
      <w:r w:rsidR="00572085">
        <w:t xml:space="preserve">mostly located on farms. </w:t>
      </w:r>
      <w:r w:rsidR="00CB2A62">
        <w:t xml:space="preserve"> The</w:t>
      </w:r>
      <w:r w:rsidR="00A60803">
        <w:t xml:space="preserve"> Government is continuing to support gas to grid </w:t>
      </w:r>
      <w:r w:rsidR="00744C66">
        <w:t>plants and has ambitious target</w:t>
      </w:r>
      <w:r w:rsidR="00BB7B4C">
        <w:t>s</w:t>
      </w:r>
      <w:r w:rsidR="00744C66">
        <w:t xml:space="preserve"> to </w:t>
      </w:r>
      <w:r w:rsidR="001C65F7">
        <w:t xml:space="preserve">more than double </w:t>
      </w:r>
      <w:r w:rsidR="00E13A9C">
        <w:t>capacity by 20</w:t>
      </w:r>
      <w:r w:rsidR="00BB7B4C">
        <w:t>3</w:t>
      </w:r>
      <w:r w:rsidR="00E13A9C">
        <w:t>0.</w:t>
      </w:r>
    </w:p>
    <w:p w14:paraId="1AF524F0" w14:textId="77777777" w:rsidR="00CB2A62" w:rsidRDefault="00CB2A62" w:rsidP="006B65C0"/>
    <w:p w14:paraId="01B708DD" w14:textId="4574276B" w:rsidR="00A655B6" w:rsidRPr="00A655B6" w:rsidRDefault="008B1B6F" w:rsidP="00A655B6">
      <w:r>
        <w:t>The tax i</w:t>
      </w:r>
      <w:r w:rsidR="001C65F7">
        <w:t>n</w:t>
      </w:r>
      <w:r>
        <w:t xml:space="preserve"> question</w:t>
      </w:r>
      <w:r w:rsidR="009C748A">
        <w:t>,</w:t>
      </w:r>
      <w:r>
        <w:t xml:space="preserve"> business rates</w:t>
      </w:r>
      <w:r w:rsidR="009C748A">
        <w:t>,</w:t>
      </w:r>
      <w:r>
        <w:t xml:space="preserve"> </w:t>
      </w:r>
      <w:r w:rsidR="001C65F7">
        <w:t xml:space="preserve">is </w:t>
      </w:r>
      <w:r>
        <w:t xml:space="preserve">something </w:t>
      </w:r>
      <w:r w:rsidR="009F62FA">
        <w:t xml:space="preserve">almost </w:t>
      </w:r>
      <w:r>
        <w:t xml:space="preserve">every UK business </w:t>
      </w:r>
      <w:proofErr w:type="gramStart"/>
      <w:r w:rsidR="009F62FA">
        <w:t>has to</w:t>
      </w:r>
      <w:proofErr w:type="gramEnd"/>
      <w:r w:rsidR="009F62FA">
        <w:t xml:space="preserve"> pay with the charge being based on an estimate of the </w:t>
      </w:r>
      <w:r w:rsidR="00522339">
        <w:t>annual rental value</w:t>
      </w:r>
      <w:r w:rsidR="00B8787A">
        <w:t xml:space="preserve"> of the premises</w:t>
      </w:r>
      <w:r w:rsidR="00987B95">
        <w:t xml:space="preserve">. </w:t>
      </w:r>
      <w:r w:rsidR="00522339">
        <w:t xml:space="preserve">The tax </w:t>
      </w:r>
      <w:r w:rsidR="00987B95">
        <w:t>brings in some £</w:t>
      </w:r>
      <w:r w:rsidR="00522339">
        <w:t>26</w:t>
      </w:r>
      <w:r w:rsidR="00987B95" w:rsidRPr="0076681E">
        <w:rPr>
          <w:color w:val="FF0000"/>
        </w:rPr>
        <w:t xml:space="preserve">bn </w:t>
      </w:r>
      <w:r w:rsidR="00987B95">
        <w:t xml:space="preserve">to HM Treasury, </w:t>
      </w:r>
      <w:r w:rsidR="00B6500F">
        <w:t xml:space="preserve">with </w:t>
      </w:r>
      <w:proofErr w:type="gramStart"/>
      <w:r w:rsidR="00B6500F">
        <w:t xml:space="preserve">the </w:t>
      </w:r>
      <w:r w:rsidR="00987B95">
        <w:t xml:space="preserve"> Valuation</w:t>
      </w:r>
      <w:proofErr w:type="gramEnd"/>
      <w:r w:rsidR="00987B95">
        <w:t xml:space="preserve"> Office Agency </w:t>
      </w:r>
      <w:r w:rsidR="00B6500F">
        <w:t>(VOA)</w:t>
      </w:r>
      <w:r w:rsidR="00CE26E7">
        <w:t>, part of HM Revenue and Customs,</w:t>
      </w:r>
      <w:r w:rsidR="00B6500F">
        <w:t xml:space="preserve"> </w:t>
      </w:r>
      <w:r w:rsidR="00CE26E7">
        <w:t xml:space="preserve">being </w:t>
      </w:r>
      <w:r w:rsidR="00B6500F">
        <w:t xml:space="preserve">responsible for setting </w:t>
      </w:r>
      <w:r w:rsidR="00EF0B0F">
        <w:t xml:space="preserve">rateable values and </w:t>
      </w:r>
      <w:r w:rsidR="00CE26E7">
        <w:t>local</w:t>
      </w:r>
      <w:r w:rsidR="00EF0B0F">
        <w:t xml:space="preserve"> council</w:t>
      </w:r>
      <w:r w:rsidR="00CE26E7">
        <w:t>s</w:t>
      </w:r>
      <w:r w:rsidR="00EF0B0F">
        <w:t xml:space="preserve"> </w:t>
      </w:r>
      <w:r w:rsidR="00CE26E7">
        <w:t xml:space="preserve">for </w:t>
      </w:r>
      <w:r w:rsidR="00EF0B0F">
        <w:t>collecting the tax.</w:t>
      </w:r>
      <w:r w:rsidR="00987B95">
        <w:t xml:space="preserve"> There are more facts at the bottom of this press release.</w:t>
      </w:r>
      <w:r w:rsidR="00A655B6" w:rsidRPr="00A655B6">
        <w:rPr>
          <w:rFonts w:ascii="Calibri" w:hAnsi="Calibri" w:cs="Calibri"/>
          <w:color w:val="000000"/>
        </w:rPr>
        <w:t xml:space="preserve"> </w:t>
      </w:r>
    </w:p>
    <w:p w14:paraId="22B578E8" w14:textId="65DBBEB4" w:rsidR="00987B95" w:rsidRDefault="00987B95" w:rsidP="008B1B6F"/>
    <w:p w14:paraId="7E98C06D" w14:textId="451B2370" w:rsidR="00CC6CBC" w:rsidRDefault="00CC6CBC" w:rsidP="008B1B6F"/>
    <w:p w14:paraId="76A43439" w14:textId="66DFA0C5" w:rsidR="00155669" w:rsidRDefault="00CC6CBC" w:rsidP="00CC6CBC">
      <w:r>
        <w:t xml:space="preserve">The changes </w:t>
      </w:r>
      <w:r w:rsidR="00CB2A62">
        <w:t xml:space="preserve">to </w:t>
      </w:r>
      <w:r>
        <w:t xml:space="preserve">business rates </w:t>
      </w:r>
      <w:r w:rsidR="00254348">
        <w:t xml:space="preserve">have come about </w:t>
      </w:r>
      <w:r w:rsidR="005F1BE3">
        <w:t xml:space="preserve">following the </w:t>
      </w:r>
      <w:r w:rsidR="00254348" w:rsidRPr="00254348">
        <w:t xml:space="preserve">Chancellor’s </w:t>
      </w:r>
      <w:r w:rsidR="005F1BE3">
        <w:t>announcement last week that the r</w:t>
      </w:r>
      <w:r w:rsidR="00254348" w:rsidRPr="00254348">
        <w:t xml:space="preserve">evaluation of business rates will </w:t>
      </w:r>
      <w:r w:rsidR="005F1BE3">
        <w:t xml:space="preserve">go ahead as planned </w:t>
      </w:r>
      <w:r w:rsidR="00155669">
        <w:t>from April 2023.</w:t>
      </w:r>
      <w:r w:rsidR="00CE26E7">
        <w:t xml:space="preserve"> The new values were published following the Autumn Statement. </w:t>
      </w:r>
    </w:p>
    <w:p w14:paraId="4C730142" w14:textId="77777777" w:rsidR="00155669" w:rsidRDefault="00155669" w:rsidP="00CC6CBC"/>
    <w:p w14:paraId="33198C8C" w14:textId="0B6598F4" w:rsidR="00CB2A62" w:rsidRDefault="00155669" w:rsidP="00CC6CBC">
      <w:r>
        <w:t xml:space="preserve">The rise in the rates bills of AD operators </w:t>
      </w:r>
      <w:r w:rsidR="00381DDF">
        <w:t xml:space="preserve">mirrors the rises faced by most other </w:t>
      </w:r>
      <w:r w:rsidR="00381DDF" w:rsidRPr="00381DDF">
        <w:t xml:space="preserve">renewable power generators </w:t>
      </w:r>
      <w:r w:rsidR="00DC6989">
        <w:t xml:space="preserve">including onshore wind and solar </w:t>
      </w:r>
      <w:r w:rsidR="00A00136">
        <w:t xml:space="preserve">and </w:t>
      </w:r>
      <w:r w:rsidR="00076B0E">
        <w:t xml:space="preserve">will add </w:t>
      </w:r>
      <w:r w:rsidR="00254348" w:rsidRPr="00254348">
        <w:t xml:space="preserve">tens of millions of pounds to the bills </w:t>
      </w:r>
      <w:r w:rsidR="00076B0E">
        <w:t xml:space="preserve">and risks harming </w:t>
      </w:r>
      <w:r w:rsidR="00A00136">
        <w:t xml:space="preserve">much needed </w:t>
      </w:r>
      <w:r w:rsidR="00254348" w:rsidRPr="00254348">
        <w:t>investment.</w:t>
      </w:r>
    </w:p>
    <w:p w14:paraId="6B37D5FD" w14:textId="77777777" w:rsidR="00CB2A62" w:rsidRDefault="00CB2A62" w:rsidP="00CC6CBC"/>
    <w:p w14:paraId="7D47ADE7" w14:textId="798FCA5D" w:rsidR="00CC6CBC" w:rsidRDefault="00CC6CBC" w:rsidP="00CC6CBC"/>
    <w:p w14:paraId="1C533C1C" w14:textId="23335D7B" w:rsidR="00CB2A62" w:rsidRPr="00CB2A62" w:rsidRDefault="00CB2A62" w:rsidP="00CC6CBC">
      <w:pPr>
        <w:rPr>
          <w:color w:val="FF0000"/>
        </w:rPr>
      </w:pPr>
      <w:r w:rsidRPr="00CB2A62">
        <w:rPr>
          <w:color w:val="FF0000"/>
        </w:rPr>
        <w:t xml:space="preserve">XXX is a farmer looking at the </w:t>
      </w:r>
      <w:r w:rsidR="0076681E" w:rsidRPr="00CB2A62">
        <w:rPr>
          <w:color w:val="FF0000"/>
        </w:rPr>
        <w:t>prospect</w:t>
      </w:r>
      <w:r w:rsidRPr="00CB2A62">
        <w:rPr>
          <w:color w:val="FF0000"/>
        </w:rPr>
        <w:t xml:space="preserve"> of higher bills</w:t>
      </w:r>
      <w:r w:rsidR="0076681E">
        <w:rPr>
          <w:color w:val="FF0000"/>
        </w:rPr>
        <w:t>. He operates XXX plant and says: “…</w:t>
      </w:r>
    </w:p>
    <w:p w14:paraId="3E423171" w14:textId="0B3349B5" w:rsidR="00CB2A62" w:rsidRDefault="00CB2A62" w:rsidP="00CC6CBC"/>
    <w:p w14:paraId="36CFF125" w14:textId="53A98329" w:rsidR="006117BB" w:rsidRDefault="0076681E" w:rsidP="00CC6CBC">
      <w:r>
        <w:t xml:space="preserve">Farmers </w:t>
      </w:r>
      <w:r w:rsidR="00797CCC">
        <w:t xml:space="preserve">and operators </w:t>
      </w:r>
      <w:r w:rsidR="005E5854">
        <w:t xml:space="preserve">have the right to </w:t>
      </w:r>
      <w:r w:rsidR="004C0F56">
        <w:t xml:space="preserve">appeal to </w:t>
      </w:r>
      <w:r>
        <w:t>the Valuation Office Agency</w:t>
      </w:r>
      <w:r w:rsidR="004C0F56">
        <w:t xml:space="preserve"> if they think their rates as</w:t>
      </w:r>
      <w:r w:rsidR="006117BB">
        <w:t>s</w:t>
      </w:r>
      <w:r w:rsidR="004C0F56">
        <w:t>e</w:t>
      </w:r>
      <w:r w:rsidR="006117BB">
        <w:t>s</w:t>
      </w:r>
      <w:r w:rsidR="004C0F56">
        <w:t>sment is too high.</w:t>
      </w:r>
      <w:r>
        <w:t xml:space="preserve"> </w:t>
      </w:r>
    </w:p>
    <w:p w14:paraId="1BC1038F" w14:textId="77777777" w:rsidR="006117BB" w:rsidRDefault="006117BB" w:rsidP="00CC6CBC"/>
    <w:p w14:paraId="499F523C" w14:textId="2919906A" w:rsidR="0076681E" w:rsidRDefault="0076681E" w:rsidP="00CC6CBC">
      <w:r>
        <w:t xml:space="preserve">It requires expert advice and careful negotiation but can lead to significantly lower bills. </w:t>
      </w:r>
    </w:p>
    <w:p w14:paraId="2D891504" w14:textId="77777777" w:rsidR="0076681E" w:rsidRDefault="0076681E" w:rsidP="00CC6CBC"/>
    <w:p w14:paraId="2BB1A4E4" w14:textId="2BA4143B" w:rsidR="00987B95" w:rsidRDefault="00987B95" w:rsidP="008B1B6F">
      <w:r w:rsidRPr="006A2804">
        <w:rPr>
          <w:b/>
          <w:bCs/>
        </w:rPr>
        <w:t>Chris Handel, managing director of Handel Rating Consultants</w:t>
      </w:r>
      <w:r w:rsidR="00647B1D">
        <w:t>,</w:t>
      </w:r>
      <w:r>
        <w:t xml:space="preserve"> comments:</w:t>
      </w:r>
    </w:p>
    <w:p w14:paraId="44C59C49" w14:textId="77777777" w:rsidR="00987B95" w:rsidRDefault="00987B95" w:rsidP="008B1B6F"/>
    <w:p w14:paraId="1DE96EAE" w14:textId="7DF9DD32" w:rsidR="005F5D90" w:rsidRPr="005F5D90" w:rsidRDefault="00987B95" w:rsidP="00DE3133">
      <w:r>
        <w:t>“</w:t>
      </w:r>
      <w:r w:rsidR="00F563CF" w:rsidRPr="000D3AFA">
        <w:t xml:space="preserve">Understanding the operational risk </w:t>
      </w:r>
      <w:r w:rsidR="008D682E">
        <w:t xml:space="preserve">and challenges </w:t>
      </w:r>
      <w:r w:rsidR="00F563CF" w:rsidRPr="000D3AFA">
        <w:t xml:space="preserve">of operating AD plants is key to challenging the rating valuations now being set.  As a specialist in the renewables field, </w:t>
      </w:r>
      <w:r w:rsidR="005D2AF1">
        <w:t xml:space="preserve">we </w:t>
      </w:r>
      <w:r w:rsidR="00F563CF" w:rsidRPr="000D3AFA">
        <w:t>understand these operational considerations </w:t>
      </w:r>
      <w:r w:rsidR="005D2AF1">
        <w:t xml:space="preserve">and </w:t>
      </w:r>
      <w:r w:rsidR="00511E95">
        <w:t xml:space="preserve">have </w:t>
      </w:r>
      <w:r w:rsidR="00CE26E7">
        <w:t xml:space="preserve">already </w:t>
      </w:r>
      <w:r w:rsidR="00511E95">
        <w:t xml:space="preserve">embarked on </w:t>
      </w:r>
      <w:r w:rsidR="005F5D90" w:rsidRPr="005F5D90">
        <w:t>challenges to the VOA</w:t>
      </w:r>
      <w:r w:rsidR="00F22AB2">
        <w:t>’s</w:t>
      </w:r>
      <w:r w:rsidR="005F5D90" w:rsidRPr="005F5D90">
        <w:t xml:space="preserve"> approach to </w:t>
      </w:r>
      <w:r w:rsidR="00F22AB2">
        <w:t xml:space="preserve">their </w:t>
      </w:r>
      <w:r w:rsidR="005F5D90" w:rsidRPr="005F5D90">
        <w:t>valuations of AD plants. If successful, these challenges will support the case for reductions in the new valuations of these plants from 1 April 2023</w:t>
      </w:r>
      <w:r w:rsidR="00CE26E7">
        <w:t>.”</w:t>
      </w:r>
    </w:p>
    <w:p w14:paraId="3F155877" w14:textId="1F47DE1B" w:rsidR="00F563CF" w:rsidRPr="000D3AFA" w:rsidRDefault="00F563CF" w:rsidP="00DE3133"/>
    <w:p w14:paraId="2B8106EA" w14:textId="0FF31448" w:rsidR="0076681E" w:rsidRDefault="0076681E" w:rsidP="00CB2A62"/>
    <w:p w14:paraId="5CE085B9" w14:textId="2C76E194" w:rsidR="00CB2A62" w:rsidRDefault="00CB2A62" w:rsidP="00CB2A62"/>
    <w:p w14:paraId="33394814" w14:textId="68A63D40" w:rsidR="00CD0DD9" w:rsidRDefault="00CD0DD9">
      <w:r>
        <w:t xml:space="preserve">Anyone requiring more information about </w:t>
      </w:r>
      <w:r w:rsidR="00647B1D">
        <w:t>higher business rates or how to challenge the Valuation Office Agency</w:t>
      </w:r>
      <w:r>
        <w:t xml:space="preserve"> can obtain it from Handel Rating Consultants </w:t>
      </w:r>
      <w:r w:rsidR="00884C92">
        <w:t>directly</w:t>
      </w:r>
      <w:r>
        <w:t>:</w:t>
      </w:r>
    </w:p>
    <w:p w14:paraId="59EC288D" w14:textId="2BE40DDE" w:rsidR="00CD0DD9" w:rsidRDefault="006C7D8B" w:rsidP="00CD0DD9">
      <w:pPr>
        <w:pStyle w:val="ListParagraph"/>
        <w:numPr>
          <w:ilvl w:val="0"/>
          <w:numId w:val="1"/>
        </w:numPr>
      </w:pPr>
      <w:hyperlink r:id="rId9" w:history="1">
        <w:r w:rsidR="00CD0DD9" w:rsidRPr="008A5EAF">
          <w:rPr>
            <w:rStyle w:val="Hyperlink"/>
          </w:rPr>
          <w:t>info@handelrating.com</w:t>
        </w:r>
      </w:hyperlink>
    </w:p>
    <w:p w14:paraId="7477E6DC" w14:textId="55F33A80" w:rsidR="00CD0DD9" w:rsidRDefault="00B70A35" w:rsidP="00CD0DD9">
      <w:pPr>
        <w:pStyle w:val="ListParagraph"/>
        <w:numPr>
          <w:ilvl w:val="0"/>
          <w:numId w:val="1"/>
        </w:numPr>
      </w:pPr>
      <w:r>
        <w:t>07985 813859</w:t>
      </w:r>
    </w:p>
    <w:p w14:paraId="50919D85" w14:textId="0A7DCFDE" w:rsidR="00995E67" w:rsidRDefault="00995E67">
      <w:pPr>
        <w:rPr>
          <w:rFonts w:ascii="PT Sans" w:eastAsia="Times New Roman" w:hAnsi="PT Sans" w:cs="Times New Roman"/>
          <w:color w:val="3E484E"/>
          <w:lang w:eastAsia="en-GB"/>
        </w:rPr>
      </w:pPr>
    </w:p>
    <w:p w14:paraId="7BF6D120" w14:textId="0BD598E8" w:rsidR="00B70A35" w:rsidRDefault="00B70A35" w:rsidP="00B70A35">
      <w:pPr>
        <w:jc w:val="center"/>
        <w:rPr>
          <w:rFonts w:ascii="PT Sans" w:eastAsia="Times New Roman" w:hAnsi="PT Sans" w:cs="Times New Roman"/>
          <w:b/>
          <w:bCs/>
          <w:color w:val="3E484E"/>
          <w:lang w:eastAsia="en-GB"/>
        </w:rPr>
      </w:pPr>
      <w:r w:rsidRPr="00B70A35">
        <w:rPr>
          <w:rFonts w:ascii="PT Sans" w:eastAsia="Times New Roman" w:hAnsi="PT Sans" w:cs="Times New Roman"/>
          <w:b/>
          <w:bCs/>
          <w:color w:val="3E484E"/>
          <w:lang w:eastAsia="en-GB"/>
        </w:rPr>
        <w:t>---ends---</w:t>
      </w:r>
    </w:p>
    <w:p w14:paraId="3E6CF3C6" w14:textId="74D0C160" w:rsidR="00B70A35" w:rsidRDefault="00B70A35" w:rsidP="00B70A35">
      <w:pPr>
        <w:rPr>
          <w:rFonts w:ascii="PT Sans" w:eastAsia="Times New Roman" w:hAnsi="PT Sans" w:cs="Times New Roman"/>
          <w:b/>
          <w:bCs/>
          <w:color w:val="3E484E"/>
          <w:lang w:eastAsia="en-GB"/>
        </w:rPr>
      </w:pPr>
    </w:p>
    <w:p w14:paraId="079786E6" w14:textId="0190FD1A" w:rsidR="00B70A35" w:rsidRPr="00F37B9B" w:rsidRDefault="00B70A35" w:rsidP="00B70A35">
      <w:pPr>
        <w:rPr>
          <w:b/>
          <w:bCs/>
        </w:rPr>
      </w:pPr>
      <w:r w:rsidRPr="00F37B9B">
        <w:rPr>
          <w:b/>
          <w:bCs/>
        </w:rPr>
        <w:t>Notes to editors:</w:t>
      </w:r>
    </w:p>
    <w:p w14:paraId="324A71F6" w14:textId="79AF4705" w:rsidR="00B70A35" w:rsidRPr="00B70A35" w:rsidRDefault="00B70A35" w:rsidP="00B70A35">
      <w:r w:rsidRPr="00B70A35">
        <w:t xml:space="preserve">For more </w:t>
      </w:r>
      <w:proofErr w:type="gramStart"/>
      <w:r w:rsidRPr="00B70A35">
        <w:t>information</w:t>
      </w:r>
      <w:proofErr w:type="gramEnd"/>
      <w:r w:rsidRPr="00B70A35">
        <w:t xml:space="preserve"> please contact Chris Handel, as above, or David Butcher, at </w:t>
      </w:r>
      <w:r w:rsidRPr="00B70A35">
        <w:rPr>
          <w:i/>
          <w:iCs/>
        </w:rPr>
        <w:t>Communications and Content</w:t>
      </w:r>
      <w:r w:rsidRPr="00B70A35">
        <w:t>, on 07834</w:t>
      </w:r>
      <w:r w:rsidR="00F37B9B">
        <w:t xml:space="preserve"> </w:t>
      </w:r>
      <w:r w:rsidRPr="00B70A35">
        <w:t xml:space="preserve">350101 or </w:t>
      </w:r>
      <w:hyperlink r:id="rId10" w:history="1">
        <w:r w:rsidRPr="008A5EAF">
          <w:rPr>
            <w:rStyle w:val="Hyperlink"/>
          </w:rPr>
          <w:t>david@communicationsandcontent.com</w:t>
        </w:r>
      </w:hyperlink>
      <w:r>
        <w:t xml:space="preserve">    </w:t>
      </w:r>
    </w:p>
    <w:p w14:paraId="75EAD966" w14:textId="3BD1E8E4" w:rsidR="00B70A35" w:rsidRDefault="00B70A35" w:rsidP="00B70A35"/>
    <w:p w14:paraId="649BCD35" w14:textId="019082C8" w:rsidR="00B70A35" w:rsidRPr="00B70A35" w:rsidRDefault="00B70A35" w:rsidP="00B70A35">
      <w:r w:rsidRPr="00B70A35">
        <w:rPr>
          <w:b/>
          <w:bCs/>
        </w:rPr>
        <w:t>About Handel Rating Consultants</w:t>
      </w:r>
      <w:r w:rsidR="00F37B9B">
        <w:rPr>
          <w:b/>
          <w:bCs/>
        </w:rPr>
        <w:t>:</w:t>
      </w:r>
    </w:p>
    <w:p w14:paraId="009FD2B5" w14:textId="43700FE2" w:rsidR="00B70A35" w:rsidRDefault="00B70A35" w:rsidP="00B70A35">
      <w:r>
        <w:t xml:space="preserve">HRC provides high quality advice to the low carbon sector on the management and mitigation of business rates. Founded in 2015 by chartered surveyor Chris Handel, the business is now the leading specialist adviser to the UK’s owners and operators of renewable energy assets. For more information, please visit </w:t>
      </w:r>
      <w:hyperlink r:id="rId11" w:history="1">
        <w:r w:rsidR="00425521" w:rsidRPr="008A5EAF">
          <w:rPr>
            <w:rStyle w:val="Hyperlink"/>
          </w:rPr>
          <w:t>https://handelrating.com/</w:t>
        </w:r>
      </w:hyperlink>
      <w:r w:rsidR="00425521">
        <w:t xml:space="preserve"> </w:t>
      </w:r>
    </w:p>
    <w:p w14:paraId="08C1B080" w14:textId="77777777" w:rsidR="00B70A35" w:rsidRDefault="00B70A35" w:rsidP="00B70A35"/>
    <w:p w14:paraId="0C9C8EDF" w14:textId="36448264" w:rsidR="00B70A35" w:rsidRPr="00425521" w:rsidRDefault="00B70A35" w:rsidP="00B70A35">
      <w:pPr>
        <w:rPr>
          <w:b/>
          <w:bCs/>
          <w:sz w:val="18"/>
          <w:szCs w:val="18"/>
        </w:rPr>
      </w:pPr>
      <w:r w:rsidRPr="00425521">
        <w:rPr>
          <w:b/>
          <w:bCs/>
          <w:sz w:val="18"/>
          <w:szCs w:val="18"/>
        </w:rPr>
        <w:t>Compliance Information</w:t>
      </w:r>
    </w:p>
    <w:p w14:paraId="7D4B14E2" w14:textId="26EF44E1" w:rsidR="00481DE4" w:rsidRDefault="00B70A35" w:rsidP="00B70A35">
      <w:pPr>
        <w:rPr>
          <w:sz w:val="18"/>
          <w:szCs w:val="18"/>
        </w:rPr>
      </w:pPr>
      <w:r w:rsidRPr="00425521">
        <w:rPr>
          <w:sz w:val="18"/>
          <w:szCs w:val="18"/>
        </w:rPr>
        <w:t xml:space="preserve">This press release reflects the authors’ present opinions reflecting current market conditions. It has been written for informational purposes only and should not be considered as </w:t>
      </w:r>
      <w:r w:rsidR="00425521" w:rsidRPr="00425521">
        <w:rPr>
          <w:sz w:val="18"/>
          <w:szCs w:val="18"/>
        </w:rPr>
        <w:t>solicitation or advice</w:t>
      </w:r>
      <w:r w:rsidRPr="00425521">
        <w:rPr>
          <w:sz w:val="18"/>
          <w:szCs w:val="18"/>
        </w:rPr>
        <w:t>. Information given in this document has been obtained from, or based upon, sources believed by us to be reliable and accurate.</w:t>
      </w:r>
      <w:r w:rsidR="00425521" w:rsidRPr="00425521">
        <w:rPr>
          <w:sz w:val="18"/>
          <w:szCs w:val="18"/>
        </w:rPr>
        <w:t xml:space="preserve"> Ref. 00</w:t>
      </w:r>
      <w:r w:rsidR="00481DE4">
        <w:rPr>
          <w:sz w:val="18"/>
          <w:szCs w:val="18"/>
        </w:rPr>
        <w:t>4</w:t>
      </w:r>
      <w:r w:rsidR="00425521" w:rsidRPr="00425521">
        <w:rPr>
          <w:sz w:val="18"/>
          <w:szCs w:val="18"/>
        </w:rPr>
        <w:t>/2</w:t>
      </w:r>
      <w:r w:rsidR="00481DE4">
        <w:rPr>
          <w:sz w:val="18"/>
          <w:szCs w:val="18"/>
        </w:rPr>
        <w:t>2</w:t>
      </w:r>
    </w:p>
    <w:p w14:paraId="443240EF" w14:textId="77777777" w:rsidR="00481DE4" w:rsidRDefault="00481DE4">
      <w:pPr>
        <w:rPr>
          <w:sz w:val="18"/>
          <w:szCs w:val="18"/>
        </w:rPr>
      </w:pPr>
      <w:r>
        <w:rPr>
          <w:sz w:val="18"/>
          <w:szCs w:val="1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81DE4" w14:paraId="143C8681" w14:textId="77777777" w:rsidTr="00F4624A">
        <w:tc>
          <w:tcPr>
            <w:tcW w:w="4675" w:type="dxa"/>
          </w:tcPr>
          <w:p w14:paraId="764DC05F" w14:textId="77777777" w:rsidR="00481DE4" w:rsidRDefault="00481DE4" w:rsidP="00F4624A"/>
          <w:p w14:paraId="04D8773D" w14:textId="51717EB1" w:rsidR="00481DE4" w:rsidRDefault="00481DE4" w:rsidP="00F4624A">
            <w:pPr>
              <w:rPr>
                <w:b/>
                <w:bCs/>
              </w:rPr>
            </w:pPr>
          </w:p>
        </w:tc>
        <w:tc>
          <w:tcPr>
            <w:tcW w:w="4675" w:type="dxa"/>
          </w:tcPr>
          <w:p w14:paraId="7F630179" w14:textId="4640D481" w:rsidR="00481DE4" w:rsidRDefault="00481DE4" w:rsidP="00F4624A">
            <w:pPr>
              <w:jc w:val="right"/>
              <w:rPr>
                <w:b/>
                <w:bCs/>
              </w:rPr>
            </w:pPr>
            <w:r>
              <w:fldChar w:fldCharType="begin"/>
            </w:r>
            <w:r w:rsidR="00234123">
              <w:instrText xml:space="preserve"> INCLUDEPICTURE "C:\\var\\folders\\8g\\0bvvchmn299c1bgk0_xfjylc0000gn\\T\\com.microsoft.Word\\WebArchiveCopyPasteTempFiles\\hrc-logo-2.png" \* MERGEFORMAT </w:instrText>
            </w:r>
            <w:r>
              <w:fldChar w:fldCharType="separate"/>
            </w:r>
            <w:r>
              <w:rPr>
                <w:noProof/>
              </w:rPr>
              <w:drawing>
                <wp:inline distT="0" distB="0" distL="0" distR="0" wp14:anchorId="6746092B" wp14:editId="04DA9ACE">
                  <wp:extent cx="1745159" cy="853685"/>
                  <wp:effectExtent l="0" t="0" r="0" b="0"/>
                  <wp:docPr id="2" name="Picture 2" descr="Handel Rating Consult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el Rating Consultants"/>
                          <pic:cNvPicPr>
                            <a:picLocks noChangeAspect="1" noChangeArrowheads="1"/>
                          </pic:cNvPicPr>
                        </pic:nvPicPr>
                        <pic:blipFill rotWithShape="1">
                          <a:blip r:embed="rId8">
                            <a:extLst>
                              <a:ext uri="{28A0092B-C50C-407E-A947-70E740481C1C}">
                                <a14:useLocalDpi xmlns:a14="http://schemas.microsoft.com/office/drawing/2010/main" val="0"/>
                              </a:ext>
                            </a:extLst>
                          </a:blip>
                          <a:srcRect b="11102"/>
                          <a:stretch/>
                        </pic:blipFill>
                        <pic:spPr bwMode="auto">
                          <a:xfrm>
                            <a:off x="0" y="0"/>
                            <a:ext cx="1767818" cy="864769"/>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tc>
      </w:tr>
    </w:tbl>
    <w:p w14:paraId="7100CCF7" w14:textId="77777777" w:rsidR="00481DE4" w:rsidRDefault="00481DE4" w:rsidP="00481DE4">
      <w:pPr>
        <w:rPr>
          <w:b/>
          <w:bCs/>
        </w:rPr>
      </w:pPr>
    </w:p>
    <w:p w14:paraId="46C41239" w14:textId="77777777" w:rsidR="00481DE4" w:rsidRDefault="00481DE4" w:rsidP="00481DE4">
      <w:pPr>
        <w:jc w:val="center"/>
        <w:rPr>
          <w:b/>
          <w:bCs/>
        </w:rPr>
      </w:pPr>
    </w:p>
    <w:p w14:paraId="6AFBDD29" w14:textId="3AD07BDC" w:rsidR="00481DE4" w:rsidRPr="00CC6CBC" w:rsidRDefault="00481DE4" w:rsidP="00481DE4">
      <w:pPr>
        <w:jc w:val="center"/>
        <w:rPr>
          <w:b/>
          <w:bCs/>
        </w:rPr>
      </w:pPr>
      <w:r>
        <w:rPr>
          <w:b/>
          <w:bCs/>
        </w:rPr>
        <w:t>FACTS AND FIGURES ABOUT BUSINESS RATES AND ANAEROBIC DIGESTION</w:t>
      </w:r>
    </w:p>
    <w:p w14:paraId="2E9A890A" w14:textId="2DD3BFBC" w:rsidR="00481DE4" w:rsidRDefault="00481DE4" w:rsidP="00B70A35">
      <w:pPr>
        <w:rPr>
          <w:b/>
          <w:bCs/>
          <w:sz w:val="18"/>
          <w:szCs w:val="18"/>
        </w:rPr>
      </w:pPr>
    </w:p>
    <w:p w14:paraId="2F6F567B" w14:textId="77777777" w:rsidR="00481DE4" w:rsidRDefault="00481DE4" w:rsidP="00B70A35">
      <w:pPr>
        <w:rPr>
          <w:b/>
          <w:bCs/>
          <w:sz w:val="18"/>
          <w:szCs w:val="18"/>
        </w:rPr>
      </w:pPr>
    </w:p>
    <w:p w14:paraId="62CAA57D" w14:textId="5D557596" w:rsidR="00481DE4" w:rsidRDefault="00481DE4" w:rsidP="00B70A35">
      <w:r w:rsidRPr="00481DE4">
        <w:rPr>
          <w:b/>
          <w:bCs/>
        </w:rPr>
        <w:t>Business Rates</w:t>
      </w:r>
    </w:p>
    <w:p w14:paraId="328CF195" w14:textId="141908FE" w:rsidR="00481DE4" w:rsidRDefault="00881BC2" w:rsidP="00481DE4">
      <w:pPr>
        <w:pStyle w:val="ListParagraph"/>
        <w:numPr>
          <w:ilvl w:val="0"/>
          <w:numId w:val="1"/>
        </w:numPr>
      </w:pPr>
      <w:r>
        <w:t>The current system came into effect from</w:t>
      </w:r>
      <w:r w:rsidR="00481DE4">
        <w:t xml:space="preserve"> 1990 as a tax on non-domestic property</w:t>
      </w:r>
    </w:p>
    <w:p w14:paraId="34E28E5B" w14:textId="42FA046A" w:rsidR="00481DE4" w:rsidRDefault="00481DE4" w:rsidP="00481DE4">
      <w:pPr>
        <w:pStyle w:val="ListParagraph"/>
        <w:numPr>
          <w:ilvl w:val="0"/>
          <w:numId w:val="1"/>
        </w:numPr>
      </w:pPr>
      <w:r>
        <w:t xml:space="preserve">Originally based on property </w:t>
      </w:r>
      <w:r w:rsidR="00881BC2">
        <w:t xml:space="preserve">rental </w:t>
      </w:r>
      <w:r>
        <w:t xml:space="preserve">values but, over time, </w:t>
      </w:r>
      <w:r w:rsidR="00A77BCF">
        <w:t>became increasingly complex to include a wider range of land usage</w:t>
      </w:r>
    </w:p>
    <w:p w14:paraId="1BD935AA" w14:textId="1F7AB8F0" w:rsidR="00A77BCF" w:rsidRDefault="00A77BCF" w:rsidP="00481DE4">
      <w:pPr>
        <w:pStyle w:val="ListParagraph"/>
        <w:numPr>
          <w:ilvl w:val="0"/>
          <w:numId w:val="1"/>
        </w:numPr>
      </w:pPr>
      <w:r>
        <w:t xml:space="preserve">Currently contribute </w:t>
      </w:r>
      <w:r w:rsidR="00B00E51">
        <w:t>£22bn</w:t>
      </w:r>
      <w:r>
        <w:t xml:space="preserve"> to HM Treasury</w:t>
      </w:r>
      <w:r w:rsidR="00B00E51">
        <w:t xml:space="preserve"> in England</w:t>
      </w:r>
      <w:r w:rsidR="00396680">
        <w:rPr>
          <w:vertAlign w:val="superscript"/>
        </w:rPr>
        <w:t>4</w:t>
      </w:r>
    </w:p>
    <w:p w14:paraId="12A87CE5" w14:textId="42159FA9" w:rsidR="00A77BCF" w:rsidRPr="00A77BCF" w:rsidRDefault="00A77BCF" w:rsidP="00481DE4">
      <w:pPr>
        <w:pStyle w:val="ListParagraph"/>
        <w:numPr>
          <w:ilvl w:val="0"/>
          <w:numId w:val="1"/>
        </w:numPr>
      </w:pPr>
      <w:r>
        <w:t xml:space="preserve">Proceeds typically used for </w:t>
      </w:r>
      <w:r w:rsidR="00881BC2">
        <w:t>funding local authority services</w:t>
      </w:r>
    </w:p>
    <w:p w14:paraId="4179A068" w14:textId="06539E27" w:rsidR="00A77BCF" w:rsidRDefault="00A77BCF" w:rsidP="00A77BCF"/>
    <w:p w14:paraId="442D9701" w14:textId="7F956D28" w:rsidR="00A77BCF" w:rsidRDefault="00A77BCF" w:rsidP="00A77BCF">
      <w:r>
        <w:rPr>
          <w:b/>
          <w:bCs/>
        </w:rPr>
        <w:t>Anaerobic Digestion</w:t>
      </w:r>
    </w:p>
    <w:p w14:paraId="29D6BABD" w14:textId="4467FD5D" w:rsidR="00A77BCF" w:rsidRDefault="00A77BCF" w:rsidP="00A77BCF">
      <w:pPr>
        <w:pStyle w:val="ListParagraph"/>
        <w:numPr>
          <w:ilvl w:val="0"/>
          <w:numId w:val="1"/>
        </w:numPr>
      </w:pPr>
      <w:r>
        <w:t xml:space="preserve">1895 saw the UK’s first anaerobic digestion plant with </w:t>
      </w:r>
      <w:r w:rsidRPr="00A77BCF">
        <w:t xml:space="preserve">biogas recovered from a sewage treatment facility and used to fuel street </w:t>
      </w:r>
      <w:r>
        <w:t>lighting</w:t>
      </w:r>
      <w:r w:rsidRPr="00A77BCF">
        <w:t xml:space="preserve"> in Exeter</w:t>
      </w:r>
      <w:r>
        <w:rPr>
          <w:rStyle w:val="FootnoteReference"/>
        </w:rPr>
        <w:footnoteReference w:id="2"/>
      </w:r>
    </w:p>
    <w:p w14:paraId="79A89AA4" w14:textId="26BE3021" w:rsidR="00A77BCF" w:rsidRDefault="00A77BCF" w:rsidP="00A77BCF">
      <w:pPr>
        <w:pStyle w:val="ListParagraph"/>
        <w:numPr>
          <w:ilvl w:val="0"/>
          <w:numId w:val="1"/>
        </w:numPr>
      </w:pPr>
      <w:r>
        <w:t xml:space="preserve">Growth through the mid twentieth century saw biogas used as an alternative fuel in </w:t>
      </w:r>
      <w:proofErr w:type="gramStart"/>
      <w:r>
        <w:t>world war</w:t>
      </w:r>
      <w:proofErr w:type="gramEnd"/>
      <w:r>
        <w:t xml:space="preserve"> 2</w:t>
      </w:r>
    </w:p>
    <w:p w14:paraId="69492AF7" w14:textId="2F248F20" w:rsidR="00A77BCF" w:rsidRDefault="00A77BCF" w:rsidP="00A77BCF">
      <w:pPr>
        <w:pStyle w:val="ListParagraph"/>
        <w:numPr>
          <w:ilvl w:val="0"/>
          <w:numId w:val="1"/>
        </w:numPr>
      </w:pPr>
      <w:r>
        <w:t>Today, there are 650 UK anaerobic digestion plant operators, almost all on agricultural land</w:t>
      </w:r>
      <w:r>
        <w:rPr>
          <w:rStyle w:val="FootnoteReference"/>
        </w:rPr>
        <w:footnoteReference w:id="3"/>
      </w:r>
    </w:p>
    <w:p w14:paraId="2A6E2F57" w14:textId="17765934" w:rsidR="00A77BCF" w:rsidRDefault="00A77BCF" w:rsidP="00A77BCF">
      <w:pPr>
        <w:pStyle w:val="ListParagraph"/>
        <w:numPr>
          <w:ilvl w:val="0"/>
          <w:numId w:val="1"/>
        </w:numPr>
      </w:pPr>
      <w:r w:rsidRPr="00A77BCF">
        <w:rPr>
          <w:color w:val="FF0000"/>
        </w:rPr>
        <w:t>X</w:t>
      </w:r>
      <w:r>
        <w:t xml:space="preserve"> more are in planning stages and expect to reach operational status over the next year</w:t>
      </w:r>
    </w:p>
    <w:p w14:paraId="6B024D7C" w14:textId="22496BDE" w:rsidR="00A77BCF" w:rsidRPr="00A77BCF" w:rsidRDefault="00A77BCF" w:rsidP="00A77BCF">
      <w:pPr>
        <w:pStyle w:val="ListParagraph"/>
        <w:numPr>
          <w:ilvl w:val="0"/>
          <w:numId w:val="1"/>
        </w:numPr>
      </w:pPr>
      <w:r w:rsidRPr="00A77BCF">
        <w:rPr>
          <w:color w:val="FF0000"/>
        </w:rPr>
        <w:t>X</w:t>
      </w:r>
      <w:r>
        <w:rPr>
          <w:color w:val="FF0000"/>
        </w:rPr>
        <w:t xml:space="preserve"> </w:t>
      </w:r>
      <w:r w:rsidRPr="00A77BCF">
        <w:rPr>
          <w:color w:val="000000" w:themeColor="text1"/>
        </w:rPr>
        <w:t xml:space="preserve">people </w:t>
      </w:r>
      <w:r>
        <w:rPr>
          <w:color w:val="000000" w:themeColor="text1"/>
        </w:rPr>
        <w:t>employed in the industry</w:t>
      </w:r>
    </w:p>
    <w:p w14:paraId="6DAA8FE1" w14:textId="36FD3181" w:rsidR="00A77BCF" w:rsidRDefault="00A77BCF" w:rsidP="00A77BCF">
      <w:pPr>
        <w:pStyle w:val="ListParagraph"/>
        <w:numPr>
          <w:ilvl w:val="0"/>
          <w:numId w:val="1"/>
        </w:numPr>
      </w:pPr>
      <w:r w:rsidRPr="00A77BCF">
        <w:t xml:space="preserve">Plant operators currently subject </w:t>
      </w:r>
      <w:r w:rsidRPr="00202B73">
        <w:rPr>
          <w:color w:val="FF0000"/>
        </w:rPr>
        <w:t xml:space="preserve">to corporation tax, VAT, business rates </w:t>
      </w:r>
      <w:proofErr w:type="gramStart"/>
      <w:r w:rsidRPr="00202B73">
        <w:rPr>
          <w:color w:val="FF0000"/>
        </w:rPr>
        <w:t>etc..</w:t>
      </w:r>
      <w:proofErr w:type="gramEnd"/>
    </w:p>
    <w:p w14:paraId="50E6E009" w14:textId="77777777" w:rsidR="00A77BCF" w:rsidRPr="00481DE4" w:rsidRDefault="00A77BCF" w:rsidP="00A77BCF"/>
    <w:sectPr w:rsidR="00A77BCF" w:rsidRPr="00481DE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E1339" w14:textId="77777777" w:rsidR="00374E66" w:rsidRDefault="00374E66" w:rsidP="00EF0427">
      <w:r>
        <w:separator/>
      </w:r>
    </w:p>
  </w:endnote>
  <w:endnote w:type="continuationSeparator" w:id="0">
    <w:p w14:paraId="34787627" w14:textId="77777777" w:rsidR="00374E66" w:rsidRDefault="00374E66" w:rsidP="00EF0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altName w:val="PT Sans"/>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C37B7" w14:textId="77777777" w:rsidR="00374E66" w:rsidRDefault="00374E66" w:rsidP="00EF0427">
      <w:r>
        <w:separator/>
      </w:r>
    </w:p>
  </w:footnote>
  <w:footnote w:type="continuationSeparator" w:id="0">
    <w:p w14:paraId="7CC5794A" w14:textId="77777777" w:rsidR="00374E66" w:rsidRDefault="00374E66" w:rsidP="00EF0427">
      <w:r>
        <w:continuationSeparator/>
      </w:r>
    </w:p>
  </w:footnote>
  <w:footnote w:id="1">
    <w:p w14:paraId="77BC2D21" w14:textId="77777777" w:rsidR="00CB2A62" w:rsidRDefault="00CB2A62" w:rsidP="00CB2A62">
      <w:pPr>
        <w:pStyle w:val="FootnoteText"/>
      </w:pPr>
      <w:r>
        <w:rPr>
          <w:rStyle w:val="FootnoteReference"/>
        </w:rPr>
        <w:footnoteRef/>
      </w:r>
      <w:r>
        <w:t xml:space="preserve"> </w:t>
      </w:r>
      <w:hyperlink r:id="rId1" w:history="1">
        <w:r w:rsidRPr="00A91225">
          <w:rPr>
            <w:rStyle w:val="Hyperlink"/>
          </w:rPr>
          <w:t>https://www.biogas-info.co.uk/about/faqs/</w:t>
        </w:r>
      </w:hyperlink>
      <w:r>
        <w:t xml:space="preserve"> </w:t>
      </w:r>
    </w:p>
  </w:footnote>
  <w:footnote w:id="2">
    <w:p w14:paraId="646FACDA" w14:textId="77643B63" w:rsidR="00A77BCF" w:rsidRDefault="00A77BCF">
      <w:pPr>
        <w:pStyle w:val="FootnoteText"/>
      </w:pPr>
      <w:r>
        <w:rPr>
          <w:rStyle w:val="FootnoteReference"/>
        </w:rPr>
        <w:footnoteRef/>
      </w:r>
      <w:r>
        <w:t xml:space="preserve"> </w:t>
      </w:r>
      <w:hyperlink r:id="rId2" w:history="1">
        <w:r w:rsidRPr="00A91225">
          <w:rPr>
            <w:rStyle w:val="Hyperlink"/>
          </w:rPr>
          <w:t>https://extension.psu.edu/a-short-history-of-anaerobic-digestion</w:t>
        </w:r>
      </w:hyperlink>
      <w:r>
        <w:t xml:space="preserve"> </w:t>
      </w:r>
    </w:p>
  </w:footnote>
  <w:footnote w:id="3">
    <w:p w14:paraId="289388E1" w14:textId="63C745F4" w:rsidR="00A77BCF" w:rsidRDefault="00A77BCF">
      <w:pPr>
        <w:pStyle w:val="FootnoteText"/>
      </w:pPr>
      <w:r>
        <w:rPr>
          <w:rStyle w:val="FootnoteReference"/>
        </w:rPr>
        <w:footnoteRef/>
      </w:r>
      <w:r>
        <w:t xml:space="preserve"> </w:t>
      </w:r>
      <w:hyperlink r:id="rId3" w:history="1">
        <w:r w:rsidRPr="00A91225">
          <w:rPr>
            <w:rStyle w:val="Hyperlink"/>
          </w:rPr>
          <w:t>https://www.biogas-info.co.uk/about/faqs/</w:t>
        </w:r>
      </w:hyperlink>
      <w:r>
        <w:t xml:space="preserve"> </w:t>
      </w:r>
    </w:p>
    <w:p w14:paraId="6ED391CE" w14:textId="05F55EF1" w:rsidR="00396680" w:rsidRPr="006C7D8B" w:rsidRDefault="00396680">
      <w:pPr>
        <w:pStyle w:val="FootnoteText"/>
        <w:rPr>
          <w:vertAlign w:val="superscript"/>
        </w:rPr>
      </w:pPr>
      <w:r>
        <w:rPr>
          <w:vertAlign w:val="superscript"/>
        </w:rPr>
        <w:t>4</w:t>
      </w:r>
      <w:hyperlink r:id="rId4" w:history="1">
        <w:r>
          <w:rPr>
            <w:rStyle w:val="Hyperlink"/>
          </w:rPr>
          <w:t>Tax statistics: an overview - House of Commons Library (parliament.uk)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92FEA"/>
    <w:multiLevelType w:val="multilevel"/>
    <w:tmpl w:val="E68C10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87A1317"/>
    <w:multiLevelType w:val="multilevel"/>
    <w:tmpl w:val="2E80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F827FF1"/>
    <w:multiLevelType w:val="hybridMultilevel"/>
    <w:tmpl w:val="BB649DA0"/>
    <w:lvl w:ilvl="0" w:tplc="E324855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7879879">
    <w:abstractNumId w:val="2"/>
  </w:num>
  <w:num w:numId="2" w16cid:durableId="124857035">
    <w:abstractNumId w:val="1"/>
  </w:num>
  <w:num w:numId="3" w16cid:durableId="219026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08B"/>
    <w:rsid w:val="0003207A"/>
    <w:rsid w:val="000465BF"/>
    <w:rsid w:val="00063154"/>
    <w:rsid w:val="00076B0E"/>
    <w:rsid w:val="000779D9"/>
    <w:rsid w:val="00082A09"/>
    <w:rsid w:val="000D3AFA"/>
    <w:rsid w:val="00117B5A"/>
    <w:rsid w:val="00122E6B"/>
    <w:rsid w:val="001461E3"/>
    <w:rsid w:val="00155669"/>
    <w:rsid w:val="001A6194"/>
    <w:rsid w:val="001C65F7"/>
    <w:rsid w:val="001F2518"/>
    <w:rsid w:val="00202B73"/>
    <w:rsid w:val="00212D38"/>
    <w:rsid w:val="00223F9A"/>
    <w:rsid w:val="00234123"/>
    <w:rsid w:val="00254348"/>
    <w:rsid w:val="00267C74"/>
    <w:rsid w:val="00282393"/>
    <w:rsid w:val="002861BE"/>
    <w:rsid w:val="002B43F3"/>
    <w:rsid w:val="002D3D6F"/>
    <w:rsid w:val="002D711C"/>
    <w:rsid w:val="002E152D"/>
    <w:rsid w:val="003235B4"/>
    <w:rsid w:val="00327E75"/>
    <w:rsid w:val="003574FD"/>
    <w:rsid w:val="00374E66"/>
    <w:rsid w:val="00381DDF"/>
    <w:rsid w:val="00396680"/>
    <w:rsid w:val="003D4257"/>
    <w:rsid w:val="00425521"/>
    <w:rsid w:val="00447A8D"/>
    <w:rsid w:val="00481DE4"/>
    <w:rsid w:val="004B674F"/>
    <w:rsid w:val="004C0F56"/>
    <w:rsid w:val="004E2B57"/>
    <w:rsid w:val="004F1179"/>
    <w:rsid w:val="00504339"/>
    <w:rsid w:val="00511E95"/>
    <w:rsid w:val="00522339"/>
    <w:rsid w:val="00565999"/>
    <w:rsid w:val="00572085"/>
    <w:rsid w:val="005805C8"/>
    <w:rsid w:val="005D2AF1"/>
    <w:rsid w:val="005E5854"/>
    <w:rsid w:val="005F1BE3"/>
    <w:rsid w:val="005F5D90"/>
    <w:rsid w:val="006117BB"/>
    <w:rsid w:val="00617A85"/>
    <w:rsid w:val="00647B1D"/>
    <w:rsid w:val="00657A61"/>
    <w:rsid w:val="00667D30"/>
    <w:rsid w:val="00672615"/>
    <w:rsid w:val="00676020"/>
    <w:rsid w:val="00694AF7"/>
    <w:rsid w:val="006A2804"/>
    <w:rsid w:val="006B65C0"/>
    <w:rsid w:val="006C7D8B"/>
    <w:rsid w:val="006D26D0"/>
    <w:rsid w:val="00732111"/>
    <w:rsid w:val="00744C66"/>
    <w:rsid w:val="00745E96"/>
    <w:rsid w:val="00766815"/>
    <w:rsid w:val="0076681E"/>
    <w:rsid w:val="007770C7"/>
    <w:rsid w:val="00786B4E"/>
    <w:rsid w:val="00797CCC"/>
    <w:rsid w:val="007A636B"/>
    <w:rsid w:val="00837C74"/>
    <w:rsid w:val="00845953"/>
    <w:rsid w:val="00881BC2"/>
    <w:rsid w:val="0088271F"/>
    <w:rsid w:val="00884C92"/>
    <w:rsid w:val="008B1B6F"/>
    <w:rsid w:val="008D682E"/>
    <w:rsid w:val="008E6C90"/>
    <w:rsid w:val="008F32F4"/>
    <w:rsid w:val="00920767"/>
    <w:rsid w:val="00970A28"/>
    <w:rsid w:val="00987B95"/>
    <w:rsid w:val="00995E67"/>
    <w:rsid w:val="009C748A"/>
    <w:rsid w:val="009F62FA"/>
    <w:rsid w:val="00A00136"/>
    <w:rsid w:val="00A309D4"/>
    <w:rsid w:val="00A60803"/>
    <w:rsid w:val="00A655B6"/>
    <w:rsid w:val="00A77BCF"/>
    <w:rsid w:val="00AD7246"/>
    <w:rsid w:val="00B00E51"/>
    <w:rsid w:val="00B27B76"/>
    <w:rsid w:val="00B6500F"/>
    <w:rsid w:val="00B66D58"/>
    <w:rsid w:val="00B70A35"/>
    <w:rsid w:val="00B83B23"/>
    <w:rsid w:val="00B8787A"/>
    <w:rsid w:val="00BB7B4C"/>
    <w:rsid w:val="00BC4FB2"/>
    <w:rsid w:val="00C01E1F"/>
    <w:rsid w:val="00C059A6"/>
    <w:rsid w:val="00C07F36"/>
    <w:rsid w:val="00C51E8E"/>
    <w:rsid w:val="00C52AA0"/>
    <w:rsid w:val="00C65BB1"/>
    <w:rsid w:val="00CB2A62"/>
    <w:rsid w:val="00CB7B04"/>
    <w:rsid w:val="00CC6CBC"/>
    <w:rsid w:val="00CD0DD9"/>
    <w:rsid w:val="00CE26E7"/>
    <w:rsid w:val="00D071A6"/>
    <w:rsid w:val="00D619DF"/>
    <w:rsid w:val="00DC6989"/>
    <w:rsid w:val="00DE3133"/>
    <w:rsid w:val="00E13A9C"/>
    <w:rsid w:val="00E44E90"/>
    <w:rsid w:val="00E52758"/>
    <w:rsid w:val="00EB786E"/>
    <w:rsid w:val="00EC669F"/>
    <w:rsid w:val="00EE008B"/>
    <w:rsid w:val="00EF0427"/>
    <w:rsid w:val="00EF0B0F"/>
    <w:rsid w:val="00F22AB2"/>
    <w:rsid w:val="00F34D18"/>
    <w:rsid w:val="00F37B9B"/>
    <w:rsid w:val="00F563CF"/>
    <w:rsid w:val="00F95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4DFB3"/>
  <w15:chartTrackingRefBased/>
  <w15:docId w15:val="{1BBD3B94-89AD-5043-BEE6-F00323E4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F0427"/>
    <w:rPr>
      <w:sz w:val="20"/>
      <w:szCs w:val="20"/>
    </w:rPr>
  </w:style>
  <w:style w:type="character" w:customStyle="1" w:styleId="FootnoteTextChar">
    <w:name w:val="Footnote Text Char"/>
    <w:basedOn w:val="DefaultParagraphFont"/>
    <w:link w:val="FootnoteText"/>
    <w:uiPriority w:val="99"/>
    <w:semiHidden/>
    <w:rsid w:val="00EF0427"/>
    <w:rPr>
      <w:sz w:val="20"/>
      <w:szCs w:val="20"/>
    </w:rPr>
  </w:style>
  <w:style w:type="character" w:styleId="FootnoteReference">
    <w:name w:val="footnote reference"/>
    <w:basedOn w:val="DefaultParagraphFont"/>
    <w:uiPriority w:val="99"/>
    <w:semiHidden/>
    <w:unhideWhenUsed/>
    <w:rsid w:val="00EF0427"/>
    <w:rPr>
      <w:vertAlign w:val="superscript"/>
    </w:rPr>
  </w:style>
  <w:style w:type="character" w:styleId="Hyperlink">
    <w:name w:val="Hyperlink"/>
    <w:basedOn w:val="DefaultParagraphFont"/>
    <w:uiPriority w:val="99"/>
    <w:unhideWhenUsed/>
    <w:rsid w:val="00EF0427"/>
    <w:rPr>
      <w:color w:val="0563C1" w:themeColor="hyperlink"/>
      <w:u w:val="single"/>
    </w:rPr>
  </w:style>
  <w:style w:type="character" w:styleId="UnresolvedMention">
    <w:name w:val="Unresolved Mention"/>
    <w:basedOn w:val="DefaultParagraphFont"/>
    <w:uiPriority w:val="99"/>
    <w:semiHidden/>
    <w:unhideWhenUsed/>
    <w:rsid w:val="00EF0427"/>
    <w:rPr>
      <w:color w:val="605E5C"/>
      <w:shd w:val="clear" w:color="auto" w:fill="E1DFDD"/>
    </w:rPr>
  </w:style>
  <w:style w:type="paragraph" w:styleId="BalloonText">
    <w:name w:val="Balloon Text"/>
    <w:basedOn w:val="Normal"/>
    <w:link w:val="BalloonTextChar"/>
    <w:uiPriority w:val="99"/>
    <w:semiHidden/>
    <w:unhideWhenUsed/>
    <w:rsid w:val="00667D3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67D30"/>
    <w:rPr>
      <w:rFonts w:ascii="Times New Roman" w:hAnsi="Times New Roman" w:cs="Times New Roman"/>
      <w:sz w:val="18"/>
      <w:szCs w:val="18"/>
    </w:rPr>
  </w:style>
  <w:style w:type="table" w:styleId="TableGrid">
    <w:name w:val="Table Grid"/>
    <w:basedOn w:val="TableNormal"/>
    <w:uiPriority w:val="39"/>
    <w:rsid w:val="00447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7A8D"/>
    <w:pPr>
      <w:ind w:left="720"/>
      <w:contextualSpacing/>
    </w:pPr>
  </w:style>
  <w:style w:type="paragraph" w:styleId="NormalWeb">
    <w:name w:val="Normal (Web)"/>
    <w:basedOn w:val="Normal"/>
    <w:uiPriority w:val="99"/>
    <w:semiHidden/>
    <w:unhideWhenUsed/>
    <w:rsid w:val="00CD0DD9"/>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987B95"/>
    <w:rPr>
      <w:color w:val="954F72" w:themeColor="followedHyperlink"/>
      <w:u w:val="single"/>
    </w:rPr>
  </w:style>
  <w:style w:type="character" w:customStyle="1" w:styleId="apple-converted-space">
    <w:name w:val="apple-converted-space"/>
    <w:basedOn w:val="DefaultParagraphFont"/>
    <w:rsid w:val="00A77BCF"/>
  </w:style>
  <w:style w:type="paragraph" w:styleId="Revision">
    <w:name w:val="Revision"/>
    <w:hidden/>
    <w:uiPriority w:val="99"/>
    <w:semiHidden/>
    <w:rsid w:val="00282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108293">
      <w:bodyDiv w:val="1"/>
      <w:marLeft w:val="0"/>
      <w:marRight w:val="0"/>
      <w:marTop w:val="0"/>
      <w:marBottom w:val="0"/>
      <w:divBdr>
        <w:top w:val="none" w:sz="0" w:space="0" w:color="auto"/>
        <w:left w:val="none" w:sz="0" w:space="0" w:color="auto"/>
        <w:bottom w:val="none" w:sz="0" w:space="0" w:color="auto"/>
        <w:right w:val="none" w:sz="0" w:space="0" w:color="auto"/>
      </w:divBdr>
    </w:div>
    <w:div w:id="646320610">
      <w:bodyDiv w:val="1"/>
      <w:marLeft w:val="0"/>
      <w:marRight w:val="0"/>
      <w:marTop w:val="0"/>
      <w:marBottom w:val="0"/>
      <w:divBdr>
        <w:top w:val="none" w:sz="0" w:space="0" w:color="auto"/>
        <w:left w:val="none" w:sz="0" w:space="0" w:color="auto"/>
        <w:bottom w:val="none" w:sz="0" w:space="0" w:color="auto"/>
        <w:right w:val="none" w:sz="0" w:space="0" w:color="auto"/>
      </w:divBdr>
    </w:div>
    <w:div w:id="1196652546">
      <w:bodyDiv w:val="1"/>
      <w:marLeft w:val="0"/>
      <w:marRight w:val="0"/>
      <w:marTop w:val="0"/>
      <w:marBottom w:val="0"/>
      <w:divBdr>
        <w:top w:val="none" w:sz="0" w:space="0" w:color="auto"/>
        <w:left w:val="none" w:sz="0" w:space="0" w:color="auto"/>
        <w:bottom w:val="none" w:sz="0" w:space="0" w:color="auto"/>
        <w:right w:val="none" w:sz="0" w:space="0" w:color="auto"/>
      </w:divBdr>
    </w:div>
    <w:div w:id="1452086359">
      <w:bodyDiv w:val="1"/>
      <w:marLeft w:val="0"/>
      <w:marRight w:val="0"/>
      <w:marTop w:val="0"/>
      <w:marBottom w:val="0"/>
      <w:divBdr>
        <w:top w:val="none" w:sz="0" w:space="0" w:color="auto"/>
        <w:left w:val="none" w:sz="0" w:space="0" w:color="auto"/>
        <w:bottom w:val="none" w:sz="0" w:space="0" w:color="auto"/>
        <w:right w:val="none" w:sz="0" w:space="0" w:color="auto"/>
      </w:divBdr>
    </w:div>
    <w:div w:id="1493326244">
      <w:bodyDiv w:val="1"/>
      <w:marLeft w:val="0"/>
      <w:marRight w:val="0"/>
      <w:marTop w:val="0"/>
      <w:marBottom w:val="0"/>
      <w:divBdr>
        <w:top w:val="none" w:sz="0" w:space="0" w:color="auto"/>
        <w:left w:val="none" w:sz="0" w:space="0" w:color="auto"/>
        <w:bottom w:val="none" w:sz="0" w:space="0" w:color="auto"/>
        <w:right w:val="none" w:sz="0" w:space="0" w:color="auto"/>
      </w:divBdr>
    </w:div>
    <w:div w:id="1523322427">
      <w:bodyDiv w:val="1"/>
      <w:marLeft w:val="0"/>
      <w:marRight w:val="0"/>
      <w:marTop w:val="0"/>
      <w:marBottom w:val="0"/>
      <w:divBdr>
        <w:top w:val="none" w:sz="0" w:space="0" w:color="auto"/>
        <w:left w:val="none" w:sz="0" w:space="0" w:color="auto"/>
        <w:bottom w:val="none" w:sz="0" w:space="0" w:color="auto"/>
        <w:right w:val="none" w:sz="0" w:space="0" w:color="auto"/>
      </w:divBdr>
      <w:divsChild>
        <w:div w:id="1889342798">
          <w:marLeft w:val="0"/>
          <w:marRight w:val="0"/>
          <w:marTop w:val="0"/>
          <w:marBottom w:val="0"/>
          <w:divBdr>
            <w:top w:val="none" w:sz="0" w:space="0" w:color="auto"/>
            <w:left w:val="none" w:sz="0" w:space="0" w:color="auto"/>
            <w:bottom w:val="none" w:sz="0" w:space="0" w:color="auto"/>
            <w:right w:val="none" w:sz="0" w:space="0" w:color="auto"/>
          </w:divBdr>
          <w:divsChild>
            <w:div w:id="81223112">
              <w:marLeft w:val="0"/>
              <w:marRight w:val="0"/>
              <w:marTop w:val="0"/>
              <w:marBottom w:val="0"/>
              <w:divBdr>
                <w:top w:val="none" w:sz="0" w:space="0" w:color="auto"/>
                <w:left w:val="none" w:sz="0" w:space="0" w:color="auto"/>
                <w:bottom w:val="none" w:sz="0" w:space="0" w:color="auto"/>
                <w:right w:val="none" w:sz="0" w:space="0" w:color="auto"/>
              </w:divBdr>
              <w:divsChild>
                <w:div w:id="946430045">
                  <w:marLeft w:val="0"/>
                  <w:marRight w:val="0"/>
                  <w:marTop w:val="0"/>
                  <w:marBottom w:val="0"/>
                  <w:divBdr>
                    <w:top w:val="none" w:sz="0" w:space="0" w:color="auto"/>
                    <w:left w:val="none" w:sz="0" w:space="0" w:color="auto"/>
                    <w:bottom w:val="none" w:sz="0" w:space="0" w:color="auto"/>
                    <w:right w:val="none" w:sz="0" w:space="0" w:color="auto"/>
                  </w:divBdr>
                  <w:divsChild>
                    <w:div w:id="34401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91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ndelrating.com/" TargetMode="External"/><Relationship Id="rId5" Type="http://schemas.openxmlformats.org/officeDocument/2006/relationships/webSettings" Target="webSettings.xml"/><Relationship Id="rId10" Type="http://schemas.openxmlformats.org/officeDocument/2006/relationships/hyperlink" Target="mailto:david@communicationsandcontent.com" TargetMode="External"/><Relationship Id="rId4" Type="http://schemas.openxmlformats.org/officeDocument/2006/relationships/settings" Target="settings.xml"/><Relationship Id="rId9" Type="http://schemas.openxmlformats.org/officeDocument/2006/relationships/hyperlink" Target="mailto:info@handelrating.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iogas-info.co.uk/about/faqs/" TargetMode="External"/><Relationship Id="rId2" Type="http://schemas.openxmlformats.org/officeDocument/2006/relationships/hyperlink" Target="https://extension.psu.edu/a-short-history-of-anaerobic-digestion" TargetMode="External"/><Relationship Id="rId1" Type="http://schemas.openxmlformats.org/officeDocument/2006/relationships/hyperlink" Target="https://www.biogas-info.co.uk/about/faqs/" TargetMode="External"/><Relationship Id="rId4" Type="http://schemas.openxmlformats.org/officeDocument/2006/relationships/hyperlink" Target="https://commonslibrary.parliament.uk/research-briefings/cbp-85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512D7-92C2-5A41-AC22-5B0CCB4FD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820</Words>
  <Characters>4677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Butcher</dc:creator>
  <cp:keywords/>
  <dc:description/>
  <cp:lastModifiedBy>Chris Handel</cp:lastModifiedBy>
  <cp:revision>2</cp:revision>
  <dcterms:created xsi:type="dcterms:W3CDTF">2022-11-23T09:25:00Z</dcterms:created>
  <dcterms:modified xsi:type="dcterms:W3CDTF">2022-11-23T09:25:00Z</dcterms:modified>
</cp:coreProperties>
</file>