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1EF9" w14:textId="77777777" w:rsidR="000C4A19" w:rsidRDefault="00A71779" w:rsidP="00DD4249">
      <w:pPr>
        <w:spacing w:after="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1839E849" w14:textId="77777777" w:rsidR="000C4A19" w:rsidRDefault="00A71779" w:rsidP="00DD4249">
      <w:pPr>
        <w:spacing w:after="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Hydrogen Production and Industrial Carbon Capture Business Models</w:t>
      </w:r>
    </w:p>
    <w:p w14:paraId="00910A58" w14:textId="77777777" w:rsidR="000C4A19" w:rsidRDefault="000C4A19">
      <w:pPr>
        <w:spacing w:before="120" w:after="120" w:line="240" w:lineRule="auto"/>
        <w:rPr>
          <w:rFonts w:ascii="Open Sans" w:eastAsia="Open Sans" w:hAnsi="Open Sans" w:cs="Open Sans"/>
          <w:color w:val="434343"/>
          <w:sz w:val="20"/>
          <w:szCs w:val="20"/>
        </w:rPr>
      </w:pPr>
    </w:p>
    <w:p w14:paraId="574692EE" w14:textId="6C608B4C" w:rsidR="000C4A19" w:rsidRDefault="00A7177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Association for Renewable Energy &amp; Clean Technologies (REA) is pleased to submit this response to the above </w:t>
      </w:r>
      <w:r w:rsidR="00F04719">
        <w:rPr>
          <w:rFonts w:ascii="Open Sans" w:eastAsia="Open Sans" w:hAnsi="Open Sans" w:cs="Open Sans"/>
          <w:color w:val="434343"/>
          <w:sz w:val="20"/>
          <w:szCs w:val="20"/>
        </w:rPr>
        <w:t>consultation</w:t>
      </w:r>
      <w:r>
        <w:rPr>
          <w:rFonts w:ascii="Open Sans" w:eastAsia="Open Sans" w:hAnsi="Open Sans" w:cs="Open Sans"/>
          <w:color w:val="434343"/>
          <w:sz w:val="20"/>
          <w:szCs w:val="20"/>
        </w:rPr>
        <w:t xml:space="preserve">. The REA represents industry stakeholders from across the whole heat sector and includes dedicated member forums focused on green </w:t>
      </w:r>
      <w:proofErr w:type="gramStart"/>
      <w:r>
        <w:rPr>
          <w:rFonts w:ascii="Open Sans" w:eastAsia="Open Sans" w:hAnsi="Open Sans" w:cs="Open Sans"/>
          <w:color w:val="434343"/>
          <w:sz w:val="20"/>
          <w:szCs w:val="20"/>
        </w:rPr>
        <w:t xml:space="preserve">gas </w:t>
      </w:r>
      <w:r w:rsidR="0067173A">
        <w:rPr>
          <w:rFonts w:ascii="Open Sans" w:eastAsia="Open Sans" w:hAnsi="Open Sans" w:cs="Open Sans"/>
          <w:color w:val="434343"/>
          <w:sz w:val="20"/>
          <w:szCs w:val="20"/>
        </w:rPr>
        <w:t>,</w:t>
      </w:r>
      <w:r>
        <w:rPr>
          <w:rFonts w:ascii="Open Sans" w:eastAsia="Open Sans" w:hAnsi="Open Sans" w:cs="Open Sans"/>
          <w:color w:val="434343"/>
          <w:sz w:val="20"/>
          <w:szCs w:val="20"/>
        </w:rPr>
        <w:t>hydrogen</w:t>
      </w:r>
      <w:proofErr w:type="gramEnd"/>
      <w:r>
        <w:rPr>
          <w:rFonts w:ascii="Open Sans" w:eastAsia="Open Sans" w:hAnsi="Open Sans" w:cs="Open Sans"/>
          <w:color w:val="434343"/>
          <w:sz w:val="20"/>
          <w:szCs w:val="20"/>
        </w:rPr>
        <w:t xml:space="preserve">,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497FA0CF" w14:textId="77777777" w:rsidR="000C4A19" w:rsidRDefault="000C4A19">
      <w:pPr>
        <w:spacing w:before="120" w:after="120" w:line="240" w:lineRule="auto"/>
        <w:ind w:left="720"/>
        <w:rPr>
          <w:rFonts w:ascii="Open Sans" w:eastAsia="Open Sans" w:hAnsi="Open Sans" w:cs="Open Sans"/>
          <w:b/>
          <w:color w:val="2F5496"/>
          <w:sz w:val="24"/>
          <w:szCs w:val="24"/>
          <w:u w:val="single"/>
        </w:rPr>
      </w:pPr>
    </w:p>
    <w:p w14:paraId="4048FD2A"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proposals relating to the Secretary of State’s power to direct a counterparty to offer to contract?</w:t>
      </w:r>
    </w:p>
    <w:p w14:paraId="4B25178A" w14:textId="218D388C" w:rsidR="000C4A19" w:rsidRDefault="00A71779">
      <w:pPr>
        <w:spacing w:after="120" w:line="240" w:lineRule="auto"/>
        <w:rPr>
          <w:rFonts w:ascii="Open Sans" w:eastAsia="Open Sans" w:hAnsi="Open Sans" w:cs="Open Sans"/>
          <w:sz w:val="20"/>
          <w:szCs w:val="20"/>
        </w:rPr>
      </w:pPr>
      <w:r>
        <w:rPr>
          <w:rFonts w:ascii="Open Sans" w:eastAsia="Open Sans" w:hAnsi="Open Sans" w:cs="Open Sans"/>
          <w:sz w:val="20"/>
          <w:szCs w:val="20"/>
        </w:rPr>
        <w:t>Yes, we support the proposals relating to the Secretary of State's power to direct a counterparty to offer to contract.</w:t>
      </w:r>
      <w:r w:rsidR="00C47DF4">
        <w:rPr>
          <w:rFonts w:ascii="Open Sans" w:eastAsia="Open Sans" w:hAnsi="Open Sans" w:cs="Open Sans"/>
          <w:sz w:val="20"/>
          <w:szCs w:val="20"/>
        </w:rPr>
        <w:t xml:space="preserve"> </w:t>
      </w:r>
      <w:r w:rsidR="00FC0881">
        <w:rPr>
          <w:rFonts w:ascii="Open Sans" w:eastAsia="Open Sans" w:hAnsi="Open Sans" w:cs="Open Sans"/>
          <w:sz w:val="20"/>
          <w:szCs w:val="20"/>
        </w:rPr>
        <w:t>We encourage</w:t>
      </w:r>
      <w:r w:rsidR="00C47DF4">
        <w:rPr>
          <w:rFonts w:ascii="Open Sans" w:eastAsia="Open Sans" w:hAnsi="Open Sans" w:cs="Open Sans"/>
          <w:sz w:val="20"/>
          <w:szCs w:val="20"/>
        </w:rPr>
        <w:t xml:space="preserve"> </w:t>
      </w:r>
      <w:r>
        <w:rPr>
          <w:rFonts w:ascii="Open Sans" w:eastAsia="Open Sans" w:hAnsi="Open Sans" w:cs="Open Sans"/>
          <w:sz w:val="20"/>
          <w:szCs w:val="20"/>
        </w:rPr>
        <w:t>the government to move forward with the implementation of the regulations</w:t>
      </w:r>
      <w:r w:rsidR="00C47DF4">
        <w:rPr>
          <w:rFonts w:ascii="Open Sans" w:eastAsia="Open Sans" w:hAnsi="Open Sans" w:cs="Open Sans"/>
          <w:sz w:val="20"/>
          <w:szCs w:val="20"/>
        </w:rPr>
        <w:t xml:space="preserve"> a</w:t>
      </w:r>
      <w:r w:rsidR="009D05B4">
        <w:rPr>
          <w:rFonts w:ascii="Open Sans" w:eastAsia="Open Sans" w:hAnsi="Open Sans" w:cs="Open Sans"/>
          <w:sz w:val="20"/>
          <w:szCs w:val="20"/>
        </w:rPr>
        <w:t xml:space="preserve">t </w:t>
      </w:r>
      <w:r w:rsidR="003E5214">
        <w:rPr>
          <w:rFonts w:ascii="Open Sans" w:eastAsia="Open Sans" w:hAnsi="Open Sans" w:cs="Open Sans"/>
          <w:sz w:val="20"/>
          <w:szCs w:val="20"/>
        </w:rPr>
        <w:t xml:space="preserve">the </w:t>
      </w:r>
      <w:r w:rsidR="009D05B4">
        <w:rPr>
          <w:rFonts w:ascii="Open Sans" w:eastAsia="Open Sans" w:hAnsi="Open Sans" w:cs="Open Sans"/>
          <w:sz w:val="20"/>
          <w:szCs w:val="20"/>
        </w:rPr>
        <w:t xml:space="preserve">earliest opportunity in order that the </w:t>
      </w:r>
      <w:r>
        <w:rPr>
          <w:rFonts w:ascii="Open Sans" w:eastAsia="Open Sans" w:hAnsi="Open Sans" w:cs="Open Sans"/>
          <w:sz w:val="20"/>
          <w:szCs w:val="20"/>
        </w:rPr>
        <w:t>proposed measures</w:t>
      </w:r>
      <w:r w:rsidR="001A5EF3">
        <w:rPr>
          <w:rFonts w:ascii="Open Sans" w:eastAsia="Open Sans" w:hAnsi="Open Sans" w:cs="Open Sans"/>
          <w:sz w:val="20"/>
          <w:szCs w:val="20"/>
        </w:rPr>
        <w:t xml:space="preserve"> </w:t>
      </w:r>
      <w:r w:rsidR="00CD2964">
        <w:rPr>
          <w:rFonts w:ascii="Open Sans" w:eastAsia="Open Sans" w:hAnsi="Open Sans" w:cs="Open Sans"/>
          <w:sz w:val="20"/>
          <w:szCs w:val="20"/>
        </w:rPr>
        <w:t>can</w:t>
      </w:r>
      <w:r>
        <w:rPr>
          <w:rFonts w:ascii="Open Sans" w:eastAsia="Open Sans" w:hAnsi="Open Sans" w:cs="Open Sans"/>
          <w:sz w:val="20"/>
          <w:szCs w:val="20"/>
        </w:rPr>
        <w:t xml:space="preserve"> provide clarity and transparency in the process of awarding contracts for low carbon hydrogen and carbon capture projects.</w:t>
      </w:r>
    </w:p>
    <w:p w14:paraId="6904D675" w14:textId="77777777" w:rsidR="000C4A19" w:rsidRDefault="00A71779">
      <w:pPr>
        <w:spacing w:after="120" w:line="240" w:lineRule="auto"/>
        <w:rPr>
          <w:rFonts w:ascii="Open Sans" w:eastAsia="Open Sans" w:hAnsi="Open Sans" w:cs="Open Sans"/>
          <w:sz w:val="20"/>
          <w:szCs w:val="20"/>
        </w:rPr>
      </w:pPr>
      <w:r>
        <w:rPr>
          <w:rFonts w:ascii="Open Sans" w:eastAsia="Open Sans" w:hAnsi="Open Sans" w:cs="Open Sans"/>
          <w:sz w:val="20"/>
          <w:szCs w:val="20"/>
        </w:rPr>
        <w:t>The regulations provide for a clear process of direction by the Secretary of State, specifying the terms and conditions of the offer, as well as the timeline for compliance by the counterparty. This will reduce the ambiguity and uncertainty surrounding the contracting process and ensure that the eligible low carbon hydrogen producers and carbon capture entities receive timely support.</w:t>
      </w:r>
    </w:p>
    <w:p w14:paraId="79A431B9" w14:textId="0FC70389" w:rsidR="000C4A19" w:rsidRDefault="00A71779">
      <w:pPr>
        <w:spacing w:after="120" w:line="240" w:lineRule="auto"/>
        <w:rPr>
          <w:rFonts w:ascii="Open Sans" w:eastAsia="Open Sans" w:hAnsi="Open Sans" w:cs="Open Sans"/>
          <w:sz w:val="20"/>
          <w:szCs w:val="20"/>
        </w:rPr>
      </w:pPr>
      <w:r>
        <w:rPr>
          <w:rFonts w:ascii="Open Sans" w:eastAsia="Open Sans" w:hAnsi="Open Sans" w:cs="Open Sans"/>
          <w:sz w:val="20"/>
          <w:szCs w:val="20"/>
        </w:rPr>
        <w:t xml:space="preserve">Furthermore, </w:t>
      </w:r>
      <w:r w:rsidR="00ED5702">
        <w:rPr>
          <w:rFonts w:ascii="Open Sans" w:eastAsia="Open Sans" w:hAnsi="Open Sans" w:cs="Open Sans"/>
          <w:sz w:val="20"/>
          <w:szCs w:val="20"/>
        </w:rPr>
        <w:t xml:space="preserve">we are supportive of the fact that the draft </w:t>
      </w:r>
      <w:r>
        <w:rPr>
          <w:rFonts w:ascii="Open Sans" w:eastAsia="Open Sans" w:hAnsi="Open Sans" w:cs="Open Sans"/>
          <w:sz w:val="20"/>
          <w:szCs w:val="20"/>
        </w:rPr>
        <w:t xml:space="preserve">regulations allow for flexibility in cases where support needs to be allocated outside of </w:t>
      </w:r>
      <w:r w:rsidR="00DB0E7B">
        <w:rPr>
          <w:rFonts w:ascii="Open Sans" w:eastAsia="Open Sans" w:hAnsi="Open Sans" w:cs="Open Sans"/>
          <w:sz w:val="20"/>
          <w:szCs w:val="20"/>
        </w:rPr>
        <w:t>futu</w:t>
      </w:r>
      <w:r w:rsidR="00220B6E">
        <w:rPr>
          <w:rFonts w:ascii="Open Sans" w:eastAsia="Open Sans" w:hAnsi="Open Sans" w:cs="Open Sans"/>
          <w:sz w:val="20"/>
          <w:szCs w:val="20"/>
        </w:rPr>
        <w:t>re</w:t>
      </w:r>
      <w:r w:rsidR="00DB0E7B">
        <w:rPr>
          <w:rFonts w:ascii="Open Sans" w:eastAsia="Open Sans" w:hAnsi="Open Sans" w:cs="Open Sans"/>
          <w:sz w:val="20"/>
          <w:szCs w:val="20"/>
        </w:rPr>
        <w:t xml:space="preserve"> </w:t>
      </w:r>
      <w:r>
        <w:rPr>
          <w:rFonts w:ascii="Open Sans" w:eastAsia="Open Sans" w:hAnsi="Open Sans" w:cs="Open Sans"/>
          <w:sz w:val="20"/>
          <w:szCs w:val="20"/>
        </w:rPr>
        <w:t xml:space="preserve">competitive allocation process, such as for major and/or novel one-off projects. This will enable the government to support innovative and </w:t>
      </w:r>
      <w:r w:rsidR="00BF43A1">
        <w:rPr>
          <w:rFonts w:ascii="Open Sans" w:eastAsia="Open Sans" w:hAnsi="Open Sans" w:cs="Open Sans"/>
          <w:sz w:val="20"/>
          <w:szCs w:val="20"/>
        </w:rPr>
        <w:t xml:space="preserve">strategically important </w:t>
      </w:r>
      <w:r>
        <w:rPr>
          <w:rFonts w:ascii="Open Sans" w:eastAsia="Open Sans" w:hAnsi="Open Sans" w:cs="Open Sans"/>
          <w:sz w:val="20"/>
          <w:szCs w:val="20"/>
        </w:rPr>
        <w:t>projects that may not fit into the standard allocation process.</w:t>
      </w:r>
    </w:p>
    <w:p w14:paraId="2B1483A3" w14:textId="77777777" w:rsidR="000C4A19" w:rsidRDefault="000C4A19">
      <w:pPr>
        <w:spacing w:before="120" w:after="120" w:line="240" w:lineRule="auto"/>
        <w:rPr>
          <w:rFonts w:ascii="Open Sans" w:eastAsia="Open Sans" w:hAnsi="Open Sans" w:cs="Open Sans"/>
          <w:b/>
          <w:color w:val="2F5496"/>
          <w:sz w:val="20"/>
          <w:szCs w:val="20"/>
        </w:rPr>
      </w:pPr>
    </w:p>
    <w:p w14:paraId="4D0AE0C0" w14:textId="77777777" w:rsidR="000C4A19" w:rsidRPr="004D3D49" w:rsidRDefault="00A71779">
      <w:pPr>
        <w:numPr>
          <w:ilvl w:val="0"/>
          <w:numId w:val="2"/>
        </w:numPr>
        <w:spacing w:before="120" w:after="120" w:line="240" w:lineRule="auto"/>
      </w:pPr>
      <w:r>
        <w:rPr>
          <w:rFonts w:ascii="Open Sans" w:eastAsia="Open Sans" w:hAnsi="Open Sans" w:cs="Open Sans"/>
          <w:b/>
          <w:color w:val="2F5496"/>
          <w:sz w:val="20"/>
          <w:szCs w:val="20"/>
        </w:rPr>
        <w:t>Is there any information not listed in Table 1 you think should be published in a contract register?</w:t>
      </w:r>
    </w:p>
    <w:p w14:paraId="4EAB9546" w14:textId="60C0D0C7" w:rsidR="004D3D49" w:rsidRDefault="004D3D49" w:rsidP="00643262">
      <w:pPr>
        <w:spacing w:before="120" w:after="120" w:line="240" w:lineRule="auto"/>
      </w:pPr>
      <w:r>
        <w:t xml:space="preserve">The REA </w:t>
      </w:r>
      <w:r w:rsidR="00165B32">
        <w:t>agrees</w:t>
      </w:r>
      <w:r>
        <w:t xml:space="preserve"> with the suggested list. </w:t>
      </w:r>
    </w:p>
    <w:p w14:paraId="355D0C1A"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Is there any information in the contracts you think should not be published?</w:t>
      </w:r>
    </w:p>
    <w:p w14:paraId="4DA61FEE" w14:textId="77777777" w:rsidR="000C4A19" w:rsidRDefault="000C4A19">
      <w:pPr>
        <w:spacing w:before="120" w:after="120" w:line="240" w:lineRule="auto"/>
        <w:rPr>
          <w:rFonts w:ascii="Open Sans" w:eastAsia="Open Sans" w:hAnsi="Open Sans" w:cs="Open Sans"/>
          <w:sz w:val="20"/>
          <w:szCs w:val="20"/>
        </w:rPr>
      </w:pPr>
    </w:p>
    <w:p w14:paraId="7923C92C" w14:textId="2EBAAB3E"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support the disclosure of information related to low-carbon hydrogen production and carbon capture projects in the UK. </w:t>
      </w:r>
      <w:r w:rsidR="00165B32">
        <w:rPr>
          <w:rFonts w:ascii="Open Sans" w:eastAsia="Open Sans" w:hAnsi="Open Sans" w:cs="Open Sans"/>
          <w:sz w:val="20"/>
          <w:szCs w:val="20"/>
        </w:rPr>
        <w:t xml:space="preserve"> The industry recognises that</w:t>
      </w:r>
      <w:r w:rsidR="00220B6E">
        <w:rPr>
          <w:rFonts w:ascii="Open Sans" w:eastAsia="Open Sans" w:hAnsi="Open Sans" w:cs="Open Sans"/>
          <w:sz w:val="20"/>
          <w:szCs w:val="20"/>
        </w:rPr>
        <w:t xml:space="preserve"> </w:t>
      </w:r>
      <w:r w:rsidR="00165B32">
        <w:rPr>
          <w:rFonts w:ascii="Open Sans" w:eastAsia="Open Sans" w:hAnsi="Open Sans" w:cs="Open Sans"/>
          <w:sz w:val="20"/>
          <w:szCs w:val="20"/>
        </w:rPr>
        <w:t>t</w:t>
      </w:r>
      <w:r>
        <w:rPr>
          <w:rFonts w:ascii="Open Sans" w:eastAsia="Open Sans" w:hAnsi="Open Sans" w:cs="Open Sans"/>
          <w:sz w:val="20"/>
          <w:szCs w:val="20"/>
        </w:rPr>
        <w:t xml:space="preserve">ransparency is </w:t>
      </w:r>
      <w:r w:rsidR="00165B32">
        <w:rPr>
          <w:rFonts w:ascii="Open Sans" w:eastAsia="Open Sans" w:hAnsi="Open Sans" w:cs="Open Sans"/>
          <w:sz w:val="20"/>
          <w:szCs w:val="20"/>
        </w:rPr>
        <w:t xml:space="preserve">important </w:t>
      </w:r>
      <w:r w:rsidR="00F73E76">
        <w:rPr>
          <w:rFonts w:ascii="Open Sans" w:eastAsia="Open Sans" w:hAnsi="Open Sans" w:cs="Open Sans"/>
          <w:sz w:val="20"/>
          <w:szCs w:val="20"/>
        </w:rPr>
        <w:t xml:space="preserve">to </w:t>
      </w:r>
      <w:r>
        <w:rPr>
          <w:rFonts w:ascii="Open Sans" w:eastAsia="Open Sans" w:hAnsi="Open Sans" w:cs="Open Sans"/>
          <w:sz w:val="20"/>
          <w:szCs w:val="20"/>
        </w:rPr>
        <w:t>building confidence for project developers and the wider public on the administration and costs of the scheme. The proposed approach of publishing each hydrogen production and carbon capture revenue support contract while protecting key confidential information is a reasonable one.</w:t>
      </w:r>
    </w:p>
    <w:p w14:paraId="6CE98369" w14:textId="77777777"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We agree with the definition of confidential information provided by the consultation, which includes information that constitutes a trade secret, would prejudice the commercial interests of any person, or would constitute a breach of confidence actionable by any person. We also agree with the proposed list of information that should not be treated as confidential, including the strike price, capex payment rate, and reference price.</w:t>
      </w:r>
    </w:p>
    <w:p w14:paraId="172652E8" w14:textId="77777777" w:rsidR="00F73E76" w:rsidRDefault="00F73E76">
      <w:pPr>
        <w:spacing w:before="120" w:after="120" w:line="240" w:lineRule="auto"/>
        <w:rPr>
          <w:rFonts w:ascii="Open Sans" w:eastAsia="Open Sans" w:hAnsi="Open Sans" w:cs="Open Sans"/>
          <w:sz w:val="20"/>
          <w:szCs w:val="20"/>
        </w:rPr>
      </w:pPr>
    </w:p>
    <w:p w14:paraId="5A81FD1E"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proposal for including a requirement in regulations on the counterparty to promptly notify the Secretary of State at the point that it considers that it may become unable to carry out its functions (in addition to the formal 3-months’ notice period in the Bill)?</w:t>
      </w:r>
    </w:p>
    <w:p w14:paraId="5A67A4BE" w14:textId="77777777" w:rsidR="00F73E76" w:rsidRDefault="00F73E76" w:rsidP="00F73E76">
      <w:pPr>
        <w:spacing w:before="120" w:after="120" w:line="240" w:lineRule="auto"/>
        <w:ind w:left="720"/>
        <w:rPr>
          <w:rFonts w:ascii="Open Sans" w:eastAsia="Open Sans" w:hAnsi="Open Sans" w:cs="Open Sans"/>
          <w:b/>
          <w:color w:val="2F5496"/>
          <w:sz w:val="20"/>
          <w:szCs w:val="20"/>
        </w:rPr>
      </w:pPr>
    </w:p>
    <w:p w14:paraId="47D8518C" w14:textId="3B6FA546" w:rsidR="000C4A19" w:rsidRDefault="00D74CE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are not </w:t>
      </w:r>
      <w:r w:rsidR="00F73E76">
        <w:rPr>
          <w:rFonts w:ascii="Open Sans" w:eastAsia="Open Sans" w:hAnsi="Open Sans" w:cs="Open Sans"/>
          <w:sz w:val="20"/>
          <w:szCs w:val="20"/>
        </w:rPr>
        <w:t>intending to respond to this question</w:t>
      </w:r>
      <w:r>
        <w:rPr>
          <w:rFonts w:ascii="Open Sans" w:eastAsia="Open Sans" w:hAnsi="Open Sans" w:cs="Open Sans"/>
          <w:sz w:val="20"/>
          <w:szCs w:val="20"/>
        </w:rPr>
        <w:t xml:space="preserve">. </w:t>
      </w:r>
    </w:p>
    <w:p w14:paraId="50BD460B"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proposal that new hydrogen production capacity added to an existing production facility would be eligible for support?</w:t>
      </w:r>
    </w:p>
    <w:p w14:paraId="0834FA34" w14:textId="358285DC" w:rsidR="000C4A19" w:rsidRDefault="004B7783">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Yes. </w:t>
      </w:r>
      <w:r w:rsidR="00A71779">
        <w:rPr>
          <w:rFonts w:ascii="Open Sans" w:eastAsia="Open Sans" w:hAnsi="Open Sans" w:cs="Open Sans"/>
          <w:sz w:val="20"/>
          <w:szCs w:val="20"/>
        </w:rPr>
        <w:t xml:space="preserve">We agree with the proposal that new hydrogen production capacity added to an existing production facility should be eligible for support. </w:t>
      </w:r>
      <w:r w:rsidR="00C830C0">
        <w:rPr>
          <w:rFonts w:ascii="Open Sans" w:eastAsia="Open Sans" w:hAnsi="Open Sans" w:cs="Open Sans"/>
          <w:sz w:val="20"/>
          <w:szCs w:val="20"/>
        </w:rPr>
        <w:t xml:space="preserve">We recognise </w:t>
      </w:r>
      <w:r w:rsidR="00A71779">
        <w:rPr>
          <w:rFonts w:ascii="Open Sans" w:eastAsia="Open Sans" w:hAnsi="Open Sans" w:cs="Open Sans"/>
          <w:sz w:val="20"/>
          <w:szCs w:val="20"/>
        </w:rPr>
        <w:t xml:space="preserve">it </w:t>
      </w:r>
      <w:r w:rsidR="00C830C0">
        <w:rPr>
          <w:rFonts w:ascii="Open Sans" w:eastAsia="Open Sans" w:hAnsi="Open Sans" w:cs="Open Sans"/>
          <w:sz w:val="20"/>
          <w:szCs w:val="20"/>
        </w:rPr>
        <w:t>will be</w:t>
      </w:r>
      <w:r w:rsidR="00A71779">
        <w:rPr>
          <w:rFonts w:ascii="Open Sans" w:eastAsia="Open Sans" w:hAnsi="Open Sans" w:cs="Open Sans"/>
          <w:sz w:val="20"/>
          <w:szCs w:val="20"/>
        </w:rPr>
        <w:t xml:space="preserve"> important to ensure that the application of this criterion is appropriately defined. In our view, it is reasonable to limit support to new expansions or new capacity added to an existing facility, as this would ensure that the subsidy is directed towards incentivising the development of new low-carbon hydrogen production capacity.</w:t>
      </w:r>
    </w:p>
    <w:p w14:paraId="736F4713" w14:textId="77777777" w:rsidR="000C4A19" w:rsidRDefault="000C4A19">
      <w:pPr>
        <w:spacing w:after="0" w:line="240" w:lineRule="auto"/>
        <w:rPr>
          <w:rFonts w:ascii="Open Sans" w:eastAsia="Open Sans" w:hAnsi="Open Sans" w:cs="Open Sans"/>
          <w:sz w:val="20"/>
          <w:szCs w:val="20"/>
        </w:rPr>
      </w:pPr>
    </w:p>
    <w:p w14:paraId="0F0687DC" w14:textId="47175562" w:rsidR="000C4A19" w:rsidRDefault="00A71779">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However, there are some important considerations that must be </w:t>
      </w:r>
      <w:r w:rsidR="00EE2963">
        <w:rPr>
          <w:rFonts w:ascii="Open Sans" w:eastAsia="Open Sans" w:hAnsi="Open Sans" w:cs="Open Sans"/>
          <w:sz w:val="20"/>
          <w:szCs w:val="20"/>
        </w:rPr>
        <w:t>considered</w:t>
      </w:r>
      <w:r>
        <w:rPr>
          <w:rFonts w:ascii="Open Sans" w:eastAsia="Open Sans" w:hAnsi="Open Sans" w:cs="Open Sans"/>
          <w:sz w:val="20"/>
          <w:szCs w:val="20"/>
        </w:rPr>
        <w:t xml:space="preserve"> when applying this criterion. For instance, it is important not to rule out phased projects where some capital investments are made on long lead-in items in advance of a final investment decision for the </w:t>
      </w:r>
      <w:r w:rsidR="00EE2963">
        <w:rPr>
          <w:rFonts w:ascii="Open Sans" w:eastAsia="Open Sans" w:hAnsi="Open Sans" w:cs="Open Sans"/>
          <w:sz w:val="20"/>
          <w:szCs w:val="20"/>
        </w:rPr>
        <w:t>project</w:t>
      </w:r>
      <w:r>
        <w:rPr>
          <w:rFonts w:ascii="Open Sans" w:eastAsia="Open Sans" w:hAnsi="Open Sans" w:cs="Open Sans"/>
          <w:sz w:val="20"/>
          <w:szCs w:val="20"/>
        </w:rPr>
        <w:t xml:space="preserve">. </w:t>
      </w:r>
      <w:r w:rsidR="0087626D">
        <w:rPr>
          <w:rFonts w:ascii="Open Sans" w:eastAsia="Open Sans" w:hAnsi="Open Sans" w:cs="Open Sans"/>
          <w:sz w:val="20"/>
          <w:szCs w:val="20"/>
        </w:rPr>
        <w:t>S</w:t>
      </w:r>
      <w:r>
        <w:rPr>
          <w:rFonts w:ascii="Open Sans" w:eastAsia="Open Sans" w:hAnsi="Open Sans" w:cs="Open Sans"/>
          <w:sz w:val="20"/>
          <w:szCs w:val="20"/>
        </w:rPr>
        <w:t>uch phased projects may involve new capacity additions to existing facilities, but they may not necessarily qualify as "new" if some capital investments have already been made.</w:t>
      </w:r>
      <w:r w:rsidR="008408E9">
        <w:rPr>
          <w:rFonts w:ascii="Open Sans" w:eastAsia="Open Sans" w:hAnsi="Open Sans" w:cs="Open Sans"/>
          <w:sz w:val="20"/>
          <w:szCs w:val="20"/>
        </w:rPr>
        <w:t xml:space="preserve"> The definitions should be mindful of this and enable support for such projects. </w:t>
      </w:r>
    </w:p>
    <w:p w14:paraId="0896C264" w14:textId="77777777" w:rsidR="000C4A19" w:rsidRDefault="000C4A19">
      <w:pPr>
        <w:spacing w:after="0" w:line="240" w:lineRule="auto"/>
        <w:rPr>
          <w:rFonts w:ascii="Open Sans" w:eastAsia="Open Sans" w:hAnsi="Open Sans" w:cs="Open Sans"/>
          <w:sz w:val="20"/>
          <w:szCs w:val="20"/>
        </w:rPr>
      </w:pPr>
    </w:p>
    <w:p w14:paraId="1AAC2409" w14:textId="11260651" w:rsidR="000C4A19" w:rsidRDefault="00A71779">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To address this issue, we support the hierarchy approach where the eligibility under the primary legislation is broad, with eligibility set a little more tightly in the regulations, but with final </w:t>
      </w:r>
      <w:r w:rsidR="00796F70">
        <w:rPr>
          <w:rFonts w:ascii="Open Sans" w:eastAsia="Open Sans" w:hAnsi="Open Sans" w:cs="Open Sans"/>
          <w:sz w:val="20"/>
          <w:szCs w:val="20"/>
        </w:rPr>
        <w:t xml:space="preserve">and minor clarifications </w:t>
      </w:r>
      <w:r w:rsidR="00176374">
        <w:rPr>
          <w:rFonts w:ascii="Open Sans" w:eastAsia="Open Sans" w:hAnsi="Open Sans" w:cs="Open Sans"/>
          <w:sz w:val="20"/>
          <w:szCs w:val="20"/>
        </w:rPr>
        <w:t xml:space="preserve">provided in the </w:t>
      </w:r>
      <w:r>
        <w:rPr>
          <w:rFonts w:ascii="Open Sans" w:eastAsia="Open Sans" w:hAnsi="Open Sans" w:cs="Open Sans"/>
          <w:sz w:val="20"/>
          <w:szCs w:val="20"/>
        </w:rPr>
        <w:t>allocation round guidance. This approach has worked well in the power CfD and means that the broad framework remains stable while minor adjustments can easily be made between allocation rounds.</w:t>
      </w:r>
      <w:r w:rsidR="00311217">
        <w:rPr>
          <w:rFonts w:ascii="Open Sans" w:eastAsia="Open Sans" w:hAnsi="Open Sans" w:cs="Open Sans"/>
          <w:sz w:val="20"/>
          <w:szCs w:val="20"/>
        </w:rPr>
        <w:t xml:space="preserve"> It should however be acknowledged that while </w:t>
      </w:r>
      <w:r w:rsidR="00172E32">
        <w:rPr>
          <w:rFonts w:ascii="Open Sans" w:eastAsia="Open Sans" w:hAnsi="Open Sans" w:cs="Open Sans"/>
          <w:sz w:val="20"/>
          <w:szCs w:val="20"/>
        </w:rPr>
        <w:t>supportive of</w:t>
      </w:r>
      <w:r w:rsidR="00311217">
        <w:rPr>
          <w:rFonts w:ascii="Open Sans" w:eastAsia="Open Sans" w:hAnsi="Open Sans" w:cs="Open Sans"/>
          <w:sz w:val="20"/>
          <w:szCs w:val="20"/>
        </w:rPr>
        <w:t xml:space="preserve"> this approach, it does raise </w:t>
      </w:r>
      <w:r w:rsidR="00136B2F">
        <w:rPr>
          <w:rFonts w:ascii="Open Sans" w:eastAsia="Open Sans" w:hAnsi="Open Sans" w:cs="Open Sans"/>
          <w:sz w:val="20"/>
          <w:szCs w:val="20"/>
        </w:rPr>
        <w:t xml:space="preserve">a </w:t>
      </w:r>
      <w:r w:rsidR="00172E32">
        <w:rPr>
          <w:rFonts w:ascii="Open Sans" w:eastAsia="Open Sans" w:hAnsi="Open Sans" w:cs="Open Sans"/>
          <w:sz w:val="20"/>
          <w:szCs w:val="20"/>
        </w:rPr>
        <w:t>level of</w:t>
      </w:r>
      <w:r w:rsidR="00136B2F">
        <w:rPr>
          <w:rFonts w:ascii="Open Sans" w:eastAsia="Open Sans" w:hAnsi="Open Sans" w:cs="Open Sans"/>
          <w:sz w:val="20"/>
          <w:szCs w:val="20"/>
        </w:rPr>
        <w:t xml:space="preserve"> risk that projects may prove ineligible only at the point that the allocation </w:t>
      </w:r>
      <w:r w:rsidR="00CC2D38">
        <w:rPr>
          <w:rFonts w:ascii="Open Sans" w:eastAsia="Open Sans" w:hAnsi="Open Sans" w:cs="Open Sans"/>
          <w:sz w:val="20"/>
          <w:szCs w:val="20"/>
        </w:rPr>
        <w:t xml:space="preserve">round rules are set. To avoid projects investing, and getting ready for allocation rounds, only to find </w:t>
      </w:r>
      <w:r w:rsidR="000B15BC">
        <w:rPr>
          <w:rFonts w:ascii="Open Sans" w:eastAsia="Open Sans" w:hAnsi="Open Sans" w:cs="Open Sans"/>
          <w:sz w:val="20"/>
          <w:szCs w:val="20"/>
        </w:rPr>
        <w:t xml:space="preserve">themselves </w:t>
      </w:r>
      <w:r w:rsidR="00A1429C">
        <w:rPr>
          <w:rFonts w:ascii="Open Sans" w:eastAsia="Open Sans" w:hAnsi="Open Sans" w:cs="Open Sans"/>
          <w:sz w:val="20"/>
          <w:szCs w:val="20"/>
        </w:rPr>
        <w:t>ineligible</w:t>
      </w:r>
      <w:r w:rsidR="000B15BC">
        <w:rPr>
          <w:rFonts w:ascii="Open Sans" w:eastAsia="Open Sans" w:hAnsi="Open Sans" w:cs="Open Sans"/>
          <w:sz w:val="20"/>
          <w:szCs w:val="20"/>
        </w:rPr>
        <w:t xml:space="preserve">, </w:t>
      </w:r>
      <w:r w:rsidR="00A1429C">
        <w:rPr>
          <w:rFonts w:ascii="Open Sans" w:eastAsia="Open Sans" w:hAnsi="Open Sans" w:cs="Open Sans"/>
          <w:sz w:val="20"/>
          <w:szCs w:val="20"/>
        </w:rPr>
        <w:t xml:space="preserve">it is critical that government </w:t>
      </w:r>
      <w:r w:rsidR="000B15BC">
        <w:rPr>
          <w:rFonts w:ascii="Open Sans" w:eastAsia="Open Sans" w:hAnsi="Open Sans" w:cs="Open Sans"/>
          <w:sz w:val="20"/>
          <w:szCs w:val="20"/>
        </w:rPr>
        <w:t>should make clear</w:t>
      </w:r>
      <w:r w:rsidR="00A1429C">
        <w:rPr>
          <w:rFonts w:ascii="Open Sans" w:eastAsia="Open Sans" w:hAnsi="Open Sans" w:cs="Open Sans"/>
          <w:sz w:val="20"/>
          <w:szCs w:val="20"/>
        </w:rPr>
        <w:t xml:space="preserve">, </w:t>
      </w:r>
      <w:r w:rsidR="000B15BC">
        <w:rPr>
          <w:rFonts w:ascii="Open Sans" w:eastAsia="Open Sans" w:hAnsi="Open Sans" w:cs="Open Sans"/>
          <w:sz w:val="20"/>
          <w:szCs w:val="20"/>
        </w:rPr>
        <w:t>as early as possible</w:t>
      </w:r>
      <w:r w:rsidR="00A1429C">
        <w:rPr>
          <w:rFonts w:ascii="Open Sans" w:eastAsia="Open Sans" w:hAnsi="Open Sans" w:cs="Open Sans"/>
          <w:sz w:val="20"/>
          <w:szCs w:val="20"/>
        </w:rPr>
        <w:t xml:space="preserve">, </w:t>
      </w:r>
      <w:r w:rsidR="000B15BC">
        <w:rPr>
          <w:rFonts w:ascii="Open Sans" w:eastAsia="Open Sans" w:hAnsi="Open Sans" w:cs="Open Sans"/>
          <w:sz w:val="20"/>
          <w:szCs w:val="20"/>
        </w:rPr>
        <w:t xml:space="preserve">its intentions </w:t>
      </w:r>
      <w:r w:rsidR="00A1429C">
        <w:rPr>
          <w:rFonts w:ascii="Open Sans" w:eastAsia="Open Sans" w:hAnsi="Open Sans" w:cs="Open Sans"/>
          <w:sz w:val="20"/>
          <w:szCs w:val="20"/>
        </w:rPr>
        <w:t>for the</w:t>
      </w:r>
      <w:r w:rsidR="000B15BC">
        <w:rPr>
          <w:rFonts w:ascii="Open Sans" w:eastAsia="Open Sans" w:hAnsi="Open Sans" w:cs="Open Sans"/>
          <w:sz w:val="20"/>
          <w:szCs w:val="20"/>
        </w:rPr>
        <w:t xml:space="preserve"> kinds of projects it </w:t>
      </w:r>
      <w:r w:rsidR="00FA5DE6">
        <w:rPr>
          <w:rFonts w:ascii="Open Sans" w:eastAsia="Open Sans" w:hAnsi="Open Sans" w:cs="Open Sans"/>
          <w:sz w:val="20"/>
          <w:szCs w:val="20"/>
        </w:rPr>
        <w:t>aims to support</w:t>
      </w:r>
      <w:r w:rsidR="0018582A">
        <w:rPr>
          <w:rFonts w:ascii="Open Sans" w:eastAsia="Open Sans" w:hAnsi="Open Sans" w:cs="Open Sans"/>
          <w:sz w:val="20"/>
          <w:szCs w:val="20"/>
        </w:rPr>
        <w:t xml:space="preserve"> in the allocation round</w:t>
      </w:r>
      <w:r w:rsidR="00FA5DE6">
        <w:rPr>
          <w:rFonts w:ascii="Open Sans" w:eastAsia="Open Sans" w:hAnsi="Open Sans" w:cs="Open Sans"/>
          <w:sz w:val="20"/>
          <w:szCs w:val="20"/>
        </w:rPr>
        <w:t xml:space="preserve"> and</w:t>
      </w:r>
      <w:r w:rsidR="0018582A">
        <w:rPr>
          <w:rFonts w:ascii="Open Sans" w:eastAsia="Open Sans" w:hAnsi="Open Sans" w:cs="Open Sans"/>
          <w:sz w:val="20"/>
          <w:szCs w:val="20"/>
        </w:rPr>
        <w:t xml:space="preserve"> then</w:t>
      </w:r>
      <w:r w:rsidR="00FA5DE6">
        <w:rPr>
          <w:rFonts w:ascii="Open Sans" w:eastAsia="Open Sans" w:hAnsi="Open Sans" w:cs="Open Sans"/>
          <w:sz w:val="20"/>
          <w:szCs w:val="20"/>
        </w:rPr>
        <w:t xml:space="preserve"> provide clarity</w:t>
      </w:r>
      <w:r w:rsidR="0018582A">
        <w:rPr>
          <w:rFonts w:ascii="Open Sans" w:eastAsia="Open Sans" w:hAnsi="Open Sans" w:cs="Open Sans"/>
          <w:sz w:val="20"/>
          <w:szCs w:val="20"/>
        </w:rPr>
        <w:t xml:space="preserve"> around next steps</w:t>
      </w:r>
      <w:r w:rsidR="00FA5DE6">
        <w:rPr>
          <w:rFonts w:ascii="Open Sans" w:eastAsia="Open Sans" w:hAnsi="Open Sans" w:cs="Open Sans"/>
          <w:sz w:val="20"/>
          <w:szCs w:val="20"/>
        </w:rPr>
        <w:t xml:space="preserve"> to any developm</w:t>
      </w:r>
      <w:r w:rsidR="0018582A">
        <w:rPr>
          <w:rFonts w:ascii="Open Sans" w:eastAsia="Open Sans" w:hAnsi="Open Sans" w:cs="Open Sans"/>
          <w:sz w:val="20"/>
          <w:szCs w:val="20"/>
        </w:rPr>
        <w:t>ent</w:t>
      </w:r>
      <w:r w:rsidR="00FA5DE6">
        <w:rPr>
          <w:rFonts w:ascii="Open Sans" w:eastAsia="Open Sans" w:hAnsi="Open Sans" w:cs="Open Sans"/>
          <w:sz w:val="20"/>
          <w:szCs w:val="20"/>
        </w:rPr>
        <w:t xml:space="preserve"> that may sit outside this eligibility criteria. </w:t>
      </w:r>
    </w:p>
    <w:p w14:paraId="6D629C08"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proposals for the type of entities that can be party to a LCHA?</w:t>
      </w:r>
    </w:p>
    <w:p w14:paraId="7B08DD02" w14:textId="77777777" w:rsidR="000C4A19" w:rsidRDefault="00A7177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Yes, this proposal for the type of entities that can be party to a Low Carbon Hydrogen Agreement (LCHA) seems reasonable. By not limiting the business models just to the producer, it allows for a broader range of entities to participate in the LCHA, which could potentially lead to more innovation, competition, and market development. The exclusion of third parties/brokers from being parties to the LCHA also seems appropriate, as their involvement could create additional complexities and potential conflicts of interest. Overall, this proposal appears to be well-</w:t>
      </w:r>
      <w:r>
        <w:rPr>
          <w:rFonts w:ascii="Open Sans" w:eastAsia="Open Sans" w:hAnsi="Open Sans" w:cs="Open Sans"/>
          <w:sz w:val="20"/>
          <w:szCs w:val="20"/>
        </w:rPr>
        <w:lastRenderedPageBreak/>
        <w:t>considered and aligned with the goal of supporting the development of the low carbon hydrogen sector.</w:t>
      </w:r>
    </w:p>
    <w:p w14:paraId="1E138A8B" w14:textId="77777777" w:rsidR="000C4A19" w:rsidRDefault="000C4A19">
      <w:pPr>
        <w:spacing w:before="120" w:after="120" w:line="240" w:lineRule="auto"/>
        <w:rPr>
          <w:rFonts w:ascii="Open Sans" w:eastAsia="Open Sans" w:hAnsi="Open Sans" w:cs="Open Sans"/>
          <w:b/>
          <w:color w:val="2F5496"/>
          <w:sz w:val="20"/>
          <w:szCs w:val="20"/>
        </w:rPr>
      </w:pPr>
    </w:p>
    <w:p w14:paraId="6EB6B0DD"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 xml:space="preserve">Do you agree with the advantages and disadvantages set out under option 1? Are there any other considerations for option 1 that we should </w:t>
      </w:r>
      <w:proofErr w:type="gramStart"/>
      <w:r>
        <w:rPr>
          <w:rFonts w:ascii="Open Sans" w:eastAsia="Open Sans" w:hAnsi="Open Sans" w:cs="Open Sans"/>
          <w:b/>
          <w:color w:val="2F5496"/>
          <w:sz w:val="20"/>
          <w:szCs w:val="20"/>
        </w:rPr>
        <w:t>take into account</w:t>
      </w:r>
      <w:proofErr w:type="gramEnd"/>
      <w:r>
        <w:rPr>
          <w:rFonts w:ascii="Open Sans" w:eastAsia="Open Sans" w:hAnsi="Open Sans" w:cs="Open Sans"/>
          <w:b/>
          <w:color w:val="2F5496"/>
          <w:sz w:val="20"/>
          <w:szCs w:val="20"/>
        </w:rPr>
        <w:t>?</w:t>
      </w:r>
    </w:p>
    <w:p w14:paraId="71ABFB3A" w14:textId="02E5760E" w:rsidR="000C4A19" w:rsidRDefault="00A71779">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We agree with the advantages and disadvantages set out under option 1, which suggest setting out eligible feedstocks for low-carbon hydrogen production. </w:t>
      </w:r>
      <w:r w:rsidR="00D75B6E">
        <w:rPr>
          <w:rFonts w:ascii="Open Sans" w:eastAsia="Open Sans" w:hAnsi="Open Sans" w:cs="Open Sans"/>
          <w:sz w:val="20"/>
          <w:szCs w:val="20"/>
        </w:rPr>
        <w:t>W</w:t>
      </w:r>
      <w:r>
        <w:rPr>
          <w:rFonts w:ascii="Open Sans" w:eastAsia="Open Sans" w:hAnsi="Open Sans" w:cs="Open Sans"/>
          <w:sz w:val="20"/>
          <w:szCs w:val="20"/>
        </w:rPr>
        <w:t xml:space="preserve">e believe a </w:t>
      </w:r>
      <w:r w:rsidR="00D75B6E">
        <w:rPr>
          <w:rFonts w:ascii="Open Sans" w:eastAsia="Open Sans" w:hAnsi="Open Sans" w:cs="Open Sans"/>
          <w:sz w:val="20"/>
          <w:szCs w:val="20"/>
        </w:rPr>
        <w:t xml:space="preserve">wide </w:t>
      </w:r>
      <w:r>
        <w:rPr>
          <w:rFonts w:ascii="Open Sans" w:eastAsia="Open Sans" w:hAnsi="Open Sans" w:cs="Open Sans"/>
          <w:sz w:val="20"/>
          <w:szCs w:val="20"/>
        </w:rPr>
        <w:t xml:space="preserve">range of hydrogen production pathways should be </w:t>
      </w:r>
      <w:r w:rsidR="00A829E4">
        <w:rPr>
          <w:rFonts w:ascii="Open Sans" w:eastAsia="Open Sans" w:hAnsi="Open Sans" w:cs="Open Sans"/>
          <w:sz w:val="20"/>
          <w:szCs w:val="20"/>
        </w:rPr>
        <w:t>recognised</w:t>
      </w:r>
      <w:r w:rsidR="001B13DD">
        <w:rPr>
          <w:rFonts w:ascii="Open Sans" w:eastAsia="Open Sans" w:hAnsi="Open Sans" w:cs="Open Sans"/>
          <w:sz w:val="20"/>
          <w:szCs w:val="20"/>
        </w:rPr>
        <w:t xml:space="preserve"> and therefore </w:t>
      </w:r>
      <w:r w:rsidR="00210905">
        <w:rPr>
          <w:rFonts w:ascii="Open Sans" w:eastAsia="Open Sans" w:hAnsi="Open Sans" w:cs="Open Sans"/>
          <w:sz w:val="20"/>
          <w:szCs w:val="20"/>
        </w:rPr>
        <w:t xml:space="preserve">support </w:t>
      </w:r>
      <w:r w:rsidR="00EF5C4E">
        <w:rPr>
          <w:rFonts w:ascii="Open Sans" w:eastAsia="Open Sans" w:hAnsi="Open Sans" w:cs="Open Sans"/>
          <w:sz w:val="20"/>
          <w:szCs w:val="20"/>
        </w:rPr>
        <w:t>an app</w:t>
      </w:r>
      <w:r w:rsidR="00202867">
        <w:rPr>
          <w:rFonts w:ascii="Open Sans" w:eastAsia="Open Sans" w:hAnsi="Open Sans" w:cs="Open Sans"/>
          <w:sz w:val="20"/>
          <w:szCs w:val="20"/>
        </w:rPr>
        <w:t xml:space="preserve">roach to </w:t>
      </w:r>
      <w:r w:rsidR="00FA3C73">
        <w:rPr>
          <w:rFonts w:ascii="Open Sans" w:eastAsia="Open Sans" w:hAnsi="Open Sans" w:cs="Open Sans"/>
          <w:sz w:val="20"/>
          <w:szCs w:val="20"/>
        </w:rPr>
        <w:t>defining eligibility by feedstock</w:t>
      </w:r>
      <w:r w:rsidR="00202867">
        <w:rPr>
          <w:rFonts w:ascii="Open Sans" w:eastAsia="Open Sans" w:hAnsi="Open Sans" w:cs="Open Sans"/>
          <w:sz w:val="20"/>
          <w:szCs w:val="20"/>
        </w:rPr>
        <w:t>,</w:t>
      </w:r>
      <w:r w:rsidR="00210905">
        <w:rPr>
          <w:rFonts w:ascii="Open Sans" w:eastAsia="Open Sans" w:hAnsi="Open Sans" w:cs="Open Sans"/>
          <w:sz w:val="20"/>
          <w:szCs w:val="20"/>
        </w:rPr>
        <w:t xml:space="preserve"> rather </w:t>
      </w:r>
      <w:r w:rsidR="0057482A">
        <w:rPr>
          <w:rFonts w:ascii="Open Sans" w:eastAsia="Open Sans" w:hAnsi="Open Sans" w:cs="Open Sans"/>
          <w:sz w:val="20"/>
          <w:szCs w:val="20"/>
        </w:rPr>
        <w:t>than</w:t>
      </w:r>
      <w:r w:rsidR="00210905">
        <w:rPr>
          <w:rFonts w:ascii="Open Sans" w:eastAsia="Open Sans" w:hAnsi="Open Sans" w:cs="Open Sans"/>
          <w:sz w:val="20"/>
          <w:szCs w:val="20"/>
        </w:rPr>
        <w:t xml:space="preserve"> pathways</w:t>
      </w:r>
      <w:r>
        <w:rPr>
          <w:rFonts w:ascii="Open Sans" w:eastAsia="Open Sans" w:hAnsi="Open Sans" w:cs="Open Sans"/>
          <w:sz w:val="20"/>
          <w:szCs w:val="20"/>
        </w:rPr>
        <w:t xml:space="preserve">. </w:t>
      </w:r>
      <w:r w:rsidR="00210905">
        <w:rPr>
          <w:rFonts w:ascii="Open Sans" w:eastAsia="Open Sans" w:hAnsi="Open Sans" w:cs="Open Sans"/>
          <w:sz w:val="20"/>
          <w:szCs w:val="20"/>
        </w:rPr>
        <w:t xml:space="preserve"> The </w:t>
      </w:r>
      <w:r>
        <w:rPr>
          <w:rFonts w:ascii="Open Sans" w:eastAsia="Open Sans" w:hAnsi="Open Sans" w:cs="Open Sans"/>
          <w:sz w:val="20"/>
          <w:szCs w:val="20"/>
        </w:rPr>
        <w:t>pathways</w:t>
      </w:r>
      <w:r w:rsidR="00E43E1A">
        <w:rPr>
          <w:rFonts w:ascii="Open Sans" w:eastAsia="Open Sans" w:hAnsi="Open Sans" w:cs="Open Sans"/>
          <w:sz w:val="20"/>
          <w:szCs w:val="20"/>
        </w:rPr>
        <w:t xml:space="preserve"> </w:t>
      </w:r>
      <w:r w:rsidR="00311EE9">
        <w:rPr>
          <w:rFonts w:ascii="Open Sans" w:eastAsia="Open Sans" w:hAnsi="Open Sans" w:cs="Open Sans"/>
          <w:sz w:val="20"/>
          <w:szCs w:val="20"/>
        </w:rPr>
        <w:t>itself</w:t>
      </w:r>
      <w:r w:rsidR="00210905">
        <w:rPr>
          <w:rFonts w:ascii="Open Sans" w:eastAsia="Open Sans" w:hAnsi="Open Sans" w:cs="Open Sans"/>
          <w:sz w:val="20"/>
          <w:szCs w:val="20"/>
        </w:rPr>
        <w:t xml:space="preserve"> should be considered</w:t>
      </w:r>
      <w:r w:rsidR="00E43E1A">
        <w:rPr>
          <w:rFonts w:ascii="Open Sans" w:eastAsia="Open Sans" w:hAnsi="Open Sans" w:cs="Open Sans"/>
          <w:sz w:val="20"/>
          <w:szCs w:val="20"/>
        </w:rPr>
        <w:t xml:space="preserve"> immaterial </w:t>
      </w:r>
      <w:r w:rsidR="0057482A">
        <w:rPr>
          <w:rFonts w:ascii="Open Sans" w:eastAsia="Open Sans" w:hAnsi="Open Sans" w:cs="Open Sans"/>
          <w:sz w:val="20"/>
          <w:szCs w:val="20"/>
        </w:rPr>
        <w:t>if</w:t>
      </w:r>
      <w:r w:rsidR="00E43E1A">
        <w:rPr>
          <w:rFonts w:ascii="Open Sans" w:eastAsia="Open Sans" w:hAnsi="Open Sans" w:cs="Open Sans"/>
          <w:sz w:val="20"/>
          <w:szCs w:val="20"/>
        </w:rPr>
        <w:t xml:space="preserve"> the produced</w:t>
      </w:r>
      <w:r>
        <w:rPr>
          <w:rFonts w:ascii="Open Sans" w:eastAsia="Open Sans" w:hAnsi="Open Sans" w:cs="Open Sans"/>
          <w:sz w:val="20"/>
          <w:szCs w:val="20"/>
        </w:rPr>
        <w:t xml:space="preserve"> hydrogen meets the low-carbon standard. </w:t>
      </w:r>
      <w:r w:rsidR="00FA3C73">
        <w:rPr>
          <w:rFonts w:ascii="Open Sans" w:eastAsia="Open Sans" w:hAnsi="Open Sans" w:cs="Open Sans"/>
          <w:sz w:val="20"/>
          <w:szCs w:val="20"/>
        </w:rPr>
        <w:t xml:space="preserve">We would also note that this </w:t>
      </w:r>
      <w:r w:rsidR="00AD22D1">
        <w:rPr>
          <w:rFonts w:ascii="Open Sans" w:eastAsia="Open Sans" w:hAnsi="Open Sans" w:cs="Open Sans"/>
          <w:sz w:val="20"/>
          <w:szCs w:val="20"/>
        </w:rPr>
        <w:t xml:space="preserve">could </w:t>
      </w:r>
      <w:r w:rsidR="00FA3C73">
        <w:rPr>
          <w:rFonts w:ascii="Open Sans" w:eastAsia="Open Sans" w:hAnsi="Open Sans" w:cs="Open Sans"/>
          <w:sz w:val="20"/>
          <w:szCs w:val="20"/>
        </w:rPr>
        <w:t xml:space="preserve">work in </w:t>
      </w:r>
      <w:r w:rsidR="00311EE9">
        <w:rPr>
          <w:rFonts w:ascii="Open Sans" w:eastAsia="Open Sans" w:hAnsi="Open Sans" w:cs="Open Sans"/>
          <w:sz w:val="20"/>
          <w:szCs w:val="20"/>
        </w:rPr>
        <w:t>conjunction</w:t>
      </w:r>
      <w:r w:rsidR="00FA3C73">
        <w:rPr>
          <w:rFonts w:ascii="Open Sans" w:eastAsia="Open Sans" w:hAnsi="Open Sans" w:cs="Open Sans"/>
          <w:sz w:val="20"/>
          <w:szCs w:val="20"/>
        </w:rPr>
        <w:t xml:space="preserve"> with option 3,</w:t>
      </w:r>
      <w:r w:rsidR="00797039">
        <w:rPr>
          <w:rFonts w:ascii="Open Sans" w:eastAsia="Open Sans" w:hAnsi="Open Sans" w:cs="Open Sans"/>
          <w:sz w:val="20"/>
          <w:szCs w:val="20"/>
        </w:rPr>
        <w:t xml:space="preserve"> where the LCHS takes priority as the defining eligibility criteria. </w:t>
      </w:r>
      <w:r>
        <w:rPr>
          <w:rFonts w:ascii="Open Sans" w:eastAsia="Open Sans" w:hAnsi="Open Sans" w:cs="Open Sans"/>
          <w:sz w:val="20"/>
          <w:szCs w:val="20"/>
        </w:rPr>
        <w:t xml:space="preserve"> </w:t>
      </w:r>
    </w:p>
    <w:p w14:paraId="6DD1E477" w14:textId="77777777" w:rsidR="000C4A19" w:rsidRDefault="000C4A19">
      <w:pPr>
        <w:spacing w:after="0" w:line="240" w:lineRule="auto"/>
        <w:rPr>
          <w:rFonts w:ascii="Open Sans" w:eastAsia="Open Sans" w:hAnsi="Open Sans" w:cs="Open Sans"/>
          <w:sz w:val="20"/>
          <w:szCs w:val="20"/>
        </w:rPr>
      </w:pPr>
    </w:p>
    <w:p w14:paraId="2836A7F0" w14:textId="77777777" w:rsidR="000C4A19" w:rsidRDefault="00A71779">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In addition to the four proposed categories of feedstock (water, biomass, waste, and fossil fuel), other considerations, such as residues and industrial off-gases, should also be </w:t>
      </w:r>
      <w:proofErr w:type="gramStart"/>
      <w:r>
        <w:rPr>
          <w:rFonts w:ascii="Open Sans" w:eastAsia="Open Sans" w:hAnsi="Open Sans" w:cs="Open Sans"/>
          <w:sz w:val="20"/>
          <w:szCs w:val="20"/>
        </w:rPr>
        <w:t>taken into account</w:t>
      </w:r>
      <w:proofErr w:type="gramEnd"/>
      <w:r>
        <w:rPr>
          <w:rFonts w:ascii="Open Sans" w:eastAsia="Open Sans" w:hAnsi="Open Sans" w:cs="Open Sans"/>
          <w:sz w:val="20"/>
          <w:szCs w:val="20"/>
        </w:rPr>
        <w:t xml:space="preserve"> to determine their eligibility for support. Government needs to consider the potential of industrial off-gases to produce hydrogen, as they often come from fossil fuel processing and may require a CCS system to be installed if they produce carbon dioxide. The same applies to residues, and they should be treated under a feedstock-based approach to determine their eligibility for support.</w:t>
      </w:r>
    </w:p>
    <w:p w14:paraId="53D55BA8" w14:textId="77777777" w:rsidR="000C4A19" w:rsidRDefault="000C4A19">
      <w:pPr>
        <w:spacing w:after="0" w:line="240" w:lineRule="auto"/>
        <w:rPr>
          <w:rFonts w:ascii="Open Sans" w:eastAsia="Open Sans" w:hAnsi="Open Sans" w:cs="Open Sans"/>
          <w:sz w:val="20"/>
          <w:szCs w:val="20"/>
        </w:rPr>
      </w:pPr>
    </w:p>
    <w:p w14:paraId="5A6A689A" w14:textId="77777777" w:rsidR="000C4A19" w:rsidRDefault="000C4A19">
      <w:pPr>
        <w:spacing w:before="120" w:after="120" w:line="240" w:lineRule="auto"/>
        <w:rPr>
          <w:rFonts w:ascii="Open Sans" w:eastAsia="Open Sans" w:hAnsi="Open Sans" w:cs="Open Sans"/>
          <w:b/>
          <w:color w:val="2F5496"/>
          <w:sz w:val="20"/>
          <w:szCs w:val="20"/>
        </w:rPr>
      </w:pPr>
    </w:p>
    <w:p w14:paraId="3F3BC824"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If we proceed with option 1, do you agree with the list of proposed feedstocks?</w:t>
      </w:r>
    </w:p>
    <w:p w14:paraId="4FFA95CB" w14:textId="77777777" w:rsidR="00507E1D"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agree with the proposed list of feedstocks for Option 1, which includes water, biomass, waste, and fossil fuel. We particularly note the reference to industrial off gases as an important source of hydrogen production and their role in supporting decarbonisation in refineries, steel, and petrochemical plants. It is essential to understand that these gases are residues from a process, have no off-site uses, and no material economic value, making them wastes or residues from a sustainability point of view. </w:t>
      </w:r>
    </w:p>
    <w:p w14:paraId="7379F201" w14:textId="31BDE85B"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To ensure only low-carbon processes are eligible, a complete carbon capture and storage (CCS) system must be installed if a fossil fuel-based feedstock is used to produce hydrogen, and the production process produces carbon dioxide.</w:t>
      </w:r>
      <w:r w:rsidR="0080328D">
        <w:rPr>
          <w:rFonts w:ascii="Open Sans" w:eastAsia="Open Sans" w:hAnsi="Open Sans" w:cs="Open Sans"/>
          <w:sz w:val="20"/>
          <w:szCs w:val="20"/>
        </w:rPr>
        <w:t xml:space="preserve"> We also support the </w:t>
      </w:r>
      <w:r w:rsidR="00855CA3">
        <w:rPr>
          <w:rFonts w:ascii="Open Sans" w:eastAsia="Open Sans" w:hAnsi="Open Sans" w:cs="Open Sans"/>
          <w:sz w:val="20"/>
          <w:szCs w:val="20"/>
        </w:rPr>
        <w:t xml:space="preserve">intention not to mandate CCS for projects using biomass or waste feedstocks, but also encourage DES NZ to consider the interaction the Decarbonisation Readiness </w:t>
      </w:r>
      <w:r w:rsidR="00907188">
        <w:rPr>
          <w:rFonts w:ascii="Open Sans" w:eastAsia="Open Sans" w:hAnsi="Open Sans" w:cs="Open Sans"/>
          <w:sz w:val="20"/>
          <w:szCs w:val="20"/>
        </w:rPr>
        <w:t xml:space="preserve">Requirement </w:t>
      </w:r>
      <w:r w:rsidR="00855CA3">
        <w:rPr>
          <w:rFonts w:ascii="Open Sans" w:eastAsia="Open Sans" w:hAnsi="Open Sans" w:cs="Open Sans"/>
          <w:sz w:val="20"/>
          <w:szCs w:val="20"/>
        </w:rPr>
        <w:t xml:space="preserve">Proposals also currently under consultation. </w:t>
      </w:r>
    </w:p>
    <w:p w14:paraId="284603E8" w14:textId="77777777" w:rsidR="000C4A19" w:rsidRDefault="000C4A19">
      <w:pPr>
        <w:spacing w:before="120" w:after="120" w:line="240" w:lineRule="auto"/>
        <w:rPr>
          <w:rFonts w:ascii="Open Sans" w:eastAsia="Open Sans" w:hAnsi="Open Sans" w:cs="Open Sans"/>
          <w:sz w:val="20"/>
          <w:szCs w:val="20"/>
        </w:rPr>
      </w:pPr>
    </w:p>
    <w:p w14:paraId="2110925B"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 xml:space="preserve">Do you agree with the advantages and disadvantages set out under option 2? Are there any other considerations for option 2 that we should </w:t>
      </w:r>
      <w:proofErr w:type="gramStart"/>
      <w:r>
        <w:rPr>
          <w:rFonts w:ascii="Open Sans" w:eastAsia="Open Sans" w:hAnsi="Open Sans" w:cs="Open Sans"/>
          <w:b/>
          <w:color w:val="2F5496"/>
          <w:sz w:val="20"/>
          <w:szCs w:val="20"/>
        </w:rPr>
        <w:t>take into account</w:t>
      </w:r>
      <w:proofErr w:type="gramEnd"/>
      <w:r>
        <w:rPr>
          <w:rFonts w:ascii="Open Sans" w:eastAsia="Open Sans" w:hAnsi="Open Sans" w:cs="Open Sans"/>
          <w:b/>
          <w:color w:val="2F5496"/>
          <w:sz w:val="20"/>
          <w:szCs w:val="20"/>
        </w:rPr>
        <w:t>?</w:t>
      </w:r>
    </w:p>
    <w:p w14:paraId="13CB73F2" w14:textId="77777777" w:rsidR="000C4A19" w:rsidRDefault="000C4A19">
      <w:pPr>
        <w:spacing w:before="120" w:after="120" w:line="240" w:lineRule="auto"/>
        <w:rPr>
          <w:rFonts w:ascii="Open Sans" w:eastAsia="Open Sans" w:hAnsi="Open Sans" w:cs="Open Sans"/>
          <w:sz w:val="20"/>
          <w:szCs w:val="20"/>
        </w:rPr>
      </w:pPr>
    </w:p>
    <w:p w14:paraId="7F2BB7F1" w14:textId="76254F85"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t>
      </w:r>
      <w:r w:rsidR="00295462">
        <w:rPr>
          <w:rFonts w:ascii="Open Sans" w:eastAsia="Open Sans" w:hAnsi="Open Sans" w:cs="Open Sans"/>
          <w:sz w:val="20"/>
          <w:szCs w:val="20"/>
        </w:rPr>
        <w:t>believe</w:t>
      </w:r>
      <w:r>
        <w:rPr>
          <w:rFonts w:ascii="Open Sans" w:eastAsia="Open Sans" w:hAnsi="Open Sans" w:cs="Open Sans"/>
          <w:sz w:val="20"/>
          <w:szCs w:val="20"/>
        </w:rPr>
        <w:t xml:space="preserve"> Option 2 </w:t>
      </w:r>
      <w:r w:rsidR="00B97445">
        <w:rPr>
          <w:rFonts w:ascii="Open Sans" w:eastAsia="Open Sans" w:hAnsi="Open Sans" w:cs="Open Sans"/>
          <w:sz w:val="20"/>
          <w:szCs w:val="20"/>
        </w:rPr>
        <w:t xml:space="preserve">will be </w:t>
      </w:r>
      <w:r>
        <w:rPr>
          <w:rFonts w:ascii="Open Sans" w:eastAsia="Open Sans" w:hAnsi="Open Sans" w:cs="Open Sans"/>
          <w:sz w:val="20"/>
          <w:szCs w:val="20"/>
        </w:rPr>
        <w:t>overly prescriptive and</w:t>
      </w:r>
      <w:r w:rsidR="00496921">
        <w:rPr>
          <w:rFonts w:ascii="Open Sans" w:eastAsia="Open Sans" w:hAnsi="Open Sans" w:cs="Open Sans"/>
          <w:sz w:val="20"/>
          <w:szCs w:val="20"/>
        </w:rPr>
        <w:t xml:space="preserve"> will</w:t>
      </w:r>
      <w:r w:rsidR="00295462">
        <w:rPr>
          <w:rFonts w:ascii="Open Sans" w:eastAsia="Open Sans" w:hAnsi="Open Sans" w:cs="Open Sans"/>
          <w:sz w:val="20"/>
          <w:szCs w:val="20"/>
        </w:rPr>
        <w:t xml:space="preserve"> limit </w:t>
      </w:r>
      <w:r>
        <w:rPr>
          <w:rFonts w:ascii="Open Sans" w:eastAsia="Open Sans" w:hAnsi="Open Sans" w:cs="Open Sans"/>
          <w:sz w:val="20"/>
          <w:szCs w:val="20"/>
        </w:rPr>
        <w:t>innovation</w:t>
      </w:r>
      <w:r w:rsidR="001C1B52">
        <w:rPr>
          <w:rFonts w:ascii="Open Sans" w:eastAsia="Open Sans" w:hAnsi="Open Sans" w:cs="Open Sans"/>
          <w:sz w:val="20"/>
          <w:szCs w:val="20"/>
        </w:rPr>
        <w:t>, given the reasons given in the disadvantages section</w:t>
      </w:r>
      <w:r>
        <w:rPr>
          <w:rFonts w:ascii="Open Sans" w:eastAsia="Open Sans" w:hAnsi="Open Sans" w:cs="Open Sans"/>
          <w:sz w:val="20"/>
          <w:szCs w:val="20"/>
        </w:rPr>
        <w:t xml:space="preserve">. It </w:t>
      </w:r>
      <w:r w:rsidR="00A50E11">
        <w:rPr>
          <w:rFonts w:ascii="Open Sans" w:eastAsia="Open Sans" w:hAnsi="Open Sans" w:cs="Open Sans"/>
          <w:sz w:val="20"/>
          <w:szCs w:val="20"/>
        </w:rPr>
        <w:t xml:space="preserve">will likely </w:t>
      </w:r>
      <w:r>
        <w:rPr>
          <w:rFonts w:ascii="Open Sans" w:eastAsia="Open Sans" w:hAnsi="Open Sans" w:cs="Open Sans"/>
          <w:sz w:val="20"/>
          <w:szCs w:val="20"/>
        </w:rPr>
        <w:t>exclude potentially viable pathways for producing low carbon hydrogen</w:t>
      </w:r>
      <w:r w:rsidR="005065AB">
        <w:rPr>
          <w:rFonts w:ascii="Open Sans" w:eastAsia="Open Sans" w:hAnsi="Open Sans" w:cs="Open Sans"/>
          <w:sz w:val="20"/>
          <w:szCs w:val="20"/>
        </w:rPr>
        <w:t xml:space="preserve"> and it is</w:t>
      </w:r>
      <w:r w:rsidR="00DD19EA">
        <w:rPr>
          <w:rFonts w:ascii="Open Sans" w:eastAsia="Open Sans" w:hAnsi="Open Sans" w:cs="Open Sans"/>
          <w:sz w:val="20"/>
          <w:szCs w:val="20"/>
        </w:rPr>
        <w:t xml:space="preserve"> unlikely to be possible to be </w:t>
      </w:r>
      <w:r w:rsidR="00FA6801">
        <w:rPr>
          <w:rFonts w:ascii="Open Sans" w:eastAsia="Open Sans" w:hAnsi="Open Sans" w:cs="Open Sans"/>
          <w:sz w:val="20"/>
          <w:szCs w:val="20"/>
        </w:rPr>
        <w:t xml:space="preserve">comprehensive </w:t>
      </w:r>
      <w:r w:rsidR="005065AB">
        <w:rPr>
          <w:rFonts w:ascii="Open Sans" w:eastAsia="Open Sans" w:hAnsi="Open Sans" w:cs="Open Sans"/>
          <w:sz w:val="20"/>
          <w:szCs w:val="20"/>
        </w:rPr>
        <w:t xml:space="preserve">enough </w:t>
      </w:r>
      <w:r w:rsidR="00BE0089">
        <w:rPr>
          <w:rFonts w:ascii="Open Sans" w:eastAsia="Open Sans" w:hAnsi="Open Sans" w:cs="Open Sans"/>
          <w:sz w:val="20"/>
          <w:szCs w:val="20"/>
        </w:rPr>
        <w:t>for available</w:t>
      </w:r>
      <w:r w:rsidR="00FA6801">
        <w:rPr>
          <w:rFonts w:ascii="Open Sans" w:eastAsia="Open Sans" w:hAnsi="Open Sans" w:cs="Open Sans"/>
          <w:sz w:val="20"/>
          <w:szCs w:val="20"/>
        </w:rPr>
        <w:t xml:space="preserve"> options. </w:t>
      </w:r>
      <w:r w:rsidR="005065AB">
        <w:rPr>
          <w:rFonts w:ascii="Open Sans" w:eastAsia="Open Sans" w:hAnsi="Open Sans" w:cs="Open Sans"/>
          <w:sz w:val="20"/>
          <w:szCs w:val="20"/>
        </w:rPr>
        <w:t xml:space="preserve">While the </w:t>
      </w:r>
      <w:r w:rsidR="00BE0089">
        <w:rPr>
          <w:rFonts w:ascii="Open Sans" w:eastAsia="Open Sans" w:hAnsi="Open Sans" w:cs="Open Sans"/>
          <w:sz w:val="20"/>
          <w:szCs w:val="20"/>
        </w:rPr>
        <w:t xml:space="preserve">table could be amended and updated to allow for new pathways, this will introduce </w:t>
      </w:r>
      <w:r w:rsidR="00E31565">
        <w:rPr>
          <w:rFonts w:ascii="Open Sans" w:eastAsia="Open Sans" w:hAnsi="Open Sans" w:cs="Open Sans"/>
          <w:sz w:val="20"/>
          <w:szCs w:val="20"/>
        </w:rPr>
        <w:t xml:space="preserve">a significant </w:t>
      </w:r>
      <w:r>
        <w:rPr>
          <w:rFonts w:ascii="Open Sans" w:eastAsia="Open Sans" w:hAnsi="Open Sans" w:cs="Open Sans"/>
          <w:sz w:val="20"/>
          <w:szCs w:val="20"/>
        </w:rPr>
        <w:t>time lag between the provision of data and changes to regulations being made, which may hamper investment and progress in the industry.</w:t>
      </w:r>
    </w:p>
    <w:p w14:paraId="4B3C9F1F" w14:textId="77777777"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Furthermore, the complexity of the regulations required to prescribe which pathways are eligible could also be a disadvantage. The amendments required to update them as technologies emerge and market changes occur may make them more convoluted and difficult to navigate, potentially deterring investors from entering the market.</w:t>
      </w:r>
    </w:p>
    <w:p w14:paraId="6FB14ACA" w14:textId="3BE1544F"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As a matter of principle, we believe </w:t>
      </w:r>
      <w:r w:rsidR="00E72525">
        <w:rPr>
          <w:rFonts w:ascii="Open Sans" w:eastAsia="Open Sans" w:hAnsi="Open Sans" w:cs="Open Sans"/>
          <w:sz w:val="20"/>
          <w:szCs w:val="20"/>
        </w:rPr>
        <w:t xml:space="preserve">that any process that meets the </w:t>
      </w:r>
      <w:r>
        <w:rPr>
          <w:rFonts w:ascii="Open Sans" w:eastAsia="Open Sans" w:hAnsi="Open Sans" w:cs="Open Sans"/>
          <w:sz w:val="20"/>
          <w:szCs w:val="20"/>
        </w:rPr>
        <w:t>low carbon hydrogen standard should be included in the regulations. Limiting eligibility based on production pathways risks stifling innovation and progress in the industry.</w:t>
      </w:r>
    </w:p>
    <w:p w14:paraId="7F8F221D" w14:textId="77777777" w:rsidR="000C4A19" w:rsidRDefault="000C4A19">
      <w:pPr>
        <w:spacing w:before="120" w:after="120" w:line="240" w:lineRule="auto"/>
        <w:rPr>
          <w:rFonts w:ascii="Open Sans" w:eastAsia="Open Sans" w:hAnsi="Open Sans" w:cs="Open Sans"/>
          <w:b/>
          <w:color w:val="2F5496"/>
          <w:sz w:val="20"/>
          <w:szCs w:val="20"/>
        </w:rPr>
      </w:pPr>
    </w:p>
    <w:p w14:paraId="311CA0C2"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If we proceed with option 2, do you agree with the proposed pathways set out in Table 2?</w:t>
      </w:r>
    </w:p>
    <w:p w14:paraId="0DA3CB46" w14:textId="6A12C13E" w:rsidR="005C3B38" w:rsidRDefault="005C3B3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w:t>
      </w:r>
      <w:r w:rsidR="00A71779">
        <w:rPr>
          <w:rFonts w:ascii="Open Sans" w:eastAsia="Open Sans" w:hAnsi="Open Sans" w:cs="Open Sans"/>
          <w:sz w:val="20"/>
          <w:szCs w:val="20"/>
        </w:rPr>
        <w:t xml:space="preserve">While Option 2 proposes a prescriptive approach for setting out eligible production pathways, </w:t>
      </w:r>
      <w:r w:rsidR="002932DA">
        <w:rPr>
          <w:rFonts w:ascii="Open Sans" w:eastAsia="Open Sans" w:hAnsi="Open Sans" w:cs="Open Sans"/>
          <w:sz w:val="20"/>
          <w:szCs w:val="20"/>
        </w:rPr>
        <w:t xml:space="preserve">we note that </w:t>
      </w:r>
      <w:r w:rsidR="00E718D5">
        <w:rPr>
          <w:rFonts w:ascii="Open Sans" w:eastAsia="Open Sans" w:hAnsi="Open Sans" w:cs="Open Sans"/>
          <w:sz w:val="20"/>
          <w:szCs w:val="20"/>
        </w:rPr>
        <w:t>table 2</w:t>
      </w:r>
      <w:r w:rsidR="002932DA">
        <w:rPr>
          <w:rFonts w:ascii="Open Sans" w:eastAsia="Open Sans" w:hAnsi="Open Sans" w:cs="Open Sans"/>
          <w:sz w:val="20"/>
          <w:szCs w:val="20"/>
        </w:rPr>
        <w:t xml:space="preserve"> </w:t>
      </w:r>
      <w:r w:rsidR="00A71779">
        <w:rPr>
          <w:rFonts w:ascii="Open Sans" w:eastAsia="Open Sans" w:hAnsi="Open Sans" w:cs="Open Sans"/>
          <w:sz w:val="20"/>
          <w:szCs w:val="20"/>
        </w:rPr>
        <w:t xml:space="preserve">does not appear to cover all </w:t>
      </w:r>
      <w:r w:rsidR="009102B8">
        <w:rPr>
          <w:rFonts w:ascii="Open Sans" w:eastAsia="Open Sans" w:hAnsi="Open Sans" w:cs="Open Sans"/>
          <w:sz w:val="20"/>
          <w:szCs w:val="20"/>
        </w:rPr>
        <w:t>possibilities</w:t>
      </w:r>
      <w:r w:rsidR="005868F3">
        <w:rPr>
          <w:rFonts w:ascii="Open Sans" w:eastAsia="Open Sans" w:hAnsi="Open Sans" w:cs="Open Sans"/>
          <w:sz w:val="20"/>
          <w:szCs w:val="20"/>
        </w:rPr>
        <w:t>, this includes</w:t>
      </w:r>
      <w:r w:rsidR="003B60F2">
        <w:rPr>
          <w:rFonts w:ascii="Open Sans" w:eastAsia="Open Sans" w:hAnsi="Open Sans" w:cs="Open Sans"/>
          <w:sz w:val="20"/>
          <w:szCs w:val="20"/>
        </w:rPr>
        <w:t xml:space="preserve"> the variety of</w:t>
      </w:r>
      <w:r w:rsidR="00A71779">
        <w:rPr>
          <w:rFonts w:ascii="Open Sans" w:eastAsia="Open Sans" w:hAnsi="Open Sans" w:cs="Open Sans"/>
          <w:sz w:val="20"/>
          <w:szCs w:val="20"/>
        </w:rPr>
        <w:t xml:space="preserve"> processes </w:t>
      </w:r>
      <w:r w:rsidR="003B60F2">
        <w:rPr>
          <w:rFonts w:ascii="Open Sans" w:eastAsia="Open Sans" w:hAnsi="Open Sans" w:cs="Open Sans"/>
          <w:sz w:val="20"/>
          <w:szCs w:val="20"/>
        </w:rPr>
        <w:t>available</w:t>
      </w:r>
      <w:r w:rsidR="003B60F2">
        <w:rPr>
          <w:rFonts w:ascii="Open Sans" w:eastAsia="Open Sans" w:hAnsi="Open Sans" w:cs="Open Sans"/>
          <w:sz w:val="20"/>
          <w:szCs w:val="20"/>
        </w:rPr>
        <w:t xml:space="preserve"> </w:t>
      </w:r>
      <w:r w:rsidR="00A71779">
        <w:rPr>
          <w:rFonts w:ascii="Open Sans" w:eastAsia="Open Sans" w:hAnsi="Open Sans" w:cs="Open Sans"/>
          <w:sz w:val="20"/>
          <w:szCs w:val="20"/>
        </w:rPr>
        <w:t xml:space="preserve">to turn 'industrial off gases' into hydrogen. </w:t>
      </w:r>
    </w:p>
    <w:p w14:paraId="324FED72" w14:textId="08157521" w:rsidR="000C4A19" w:rsidRDefault="005C3B3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For example,</w:t>
      </w:r>
      <w:r w:rsidR="00A71779">
        <w:rPr>
          <w:rFonts w:ascii="Open Sans" w:eastAsia="Open Sans" w:hAnsi="Open Sans" w:cs="Open Sans"/>
          <w:sz w:val="20"/>
          <w:szCs w:val="20"/>
        </w:rPr>
        <w:t xml:space="preserve"> there are a wide range of conversion technologies available for turning </w:t>
      </w:r>
      <w:r w:rsidR="00375250">
        <w:rPr>
          <w:rFonts w:ascii="Open Sans" w:eastAsia="Open Sans" w:hAnsi="Open Sans" w:cs="Open Sans"/>
          <w:sz w:val="20"/>
          <w:szCs w:val="20"/>
        </w:rPr>
        <w:t>feedstock</w:t>
      </w:r>
      <w:r w:rsidR="00A71779">
        <w:rPr>
          <w:rFonts w:ascii="Open Sans" w:eastAsia="Open Sans" w:hAnsi="Open Sans" w:cs="Open Sans"/>
          <w:sz w:val="20"/>
          <w:szCs w:val="20"/>
        </w:rPr>
        <w:t xml:space="preserve"> into gases</w:t>
      </w:r>
      <w:r w:rsidR="003F30C9">
        <w:rPr>
          <w:rFonts w:ascii="Open Sans" w:eastAsia="Open Sans" w:hAnsi="Open Sans" w:cs="Open Sans"/>
          <w:sz w:val="20"/>
          <w:szCs w:val="20"/>
        </w:rPr>
        <w:t xml:space="preserve"> beyond</w:t>
      </w:r>
      <w:r w:rsidR="00A71779">
        <w:rPr>
          <w:rFonts w:ascii="Open Sans" w:eastAsia="Open Sans" w:hAnsi="Open Sans" w:cs="Open Sans"/>
          <w:sz w:val="20"/>
          <w:szCs w:val="20"/>
        </w:rPr>
        <w:t xml:space="preserve"> gasification,</w:t>
      </w:r>
      <w:r w:rsidR="0066176B">
        <w:rPr>
          <w:rFonts w:ascii="Open Sans" w:eastAsia="Open Sans" w:hAnsi="Open Sans" w:cs="Open Sans"/>
          <w:sz w:val="20"/>
          <w:szCs w:val="20"/>
        </w:rPr>
        <w:t xml:space="preserve"> this includes pyrolysis and plasma processes which are typically </w:t>
      </w:r>
      <w:r w:rsidR="00751DD5">
        <w:rPr>
          <w:rFonts w:ascii="Open Sans" w:eastAsia="Open Sans" w:hAnsi="Open Sans" w:cs="Open Sans"/>
          <w:sz w:val="20"/>
          <w:szCs w:val="20"/>
        </w:rPr>
        <w:t>widely</w:t>
      </w:r>
      <w:r w:rsidR="0066176B">
        <w:rPr>
          <w:rFonts w:ascii="Open Sans" w:eastAsia="Open Sans" w:hAnsi="Open Sans" w:cs="Open Sans"/>
          <w:sz w:val="20"/>
          <w:szCs w:val="20"/>
        </w:rPr>
        <w:t xml:space="preserve"> defined as Advanced Conversion Technologies</w:t>
      </w:r>
      <w:r w:rsidR="00F6355C">
        <w:rPr>
          <w:rFonts w:ascii="Open Sans" w:eastAsia="Open Sans" w:hAnsi="Open Sans" w:cs="Open Sans"/>
          <w:sz w:val="20"/>
          <w:szCs w:val="20"/>
        </w:rPr>
        <w:t>.</w:t>
      </w:r>
      <w:r w:rsidR="00751DD5">
        <w:rPr>
          <w:rFonts w:ascii="Open Sans" w:eastAsia="Open Sans" w:hAnsi="Open Sans" w:cs="Open Sans"/>
          <w:sz w:val="20"/>
          <w:szCs w:val="20"/>
        </w:rPr>
        <w:t xml:space="preserve"> Equally electrolysis process</w:t>
      </w:r>
      <w:r w:rsidR="007A6F9B">
        <w:rPr>
          <w:rFonts w:ascii="Open Sans" w:eastAsia="Open Sans" w:hAnsi="Open Sans" w:cs="Open Sans"/>
          <w:sz w:val="20"/>
          <w:szCs w:val="20"/>
        </w:rPr>
        <w:t>es</w:t>
      </w:r>
      <w:r w:rsidR="00751DD5">
        <w:rPr>
          <w:rFonts w:ascii="Open Sans" w:eastAsia="Open Sans" w:hAnsi="Open Sans" w:cs="Open Sans"/>
          <w:sz w:val="20"/>
          <w:szCs w:val="20"/>
        </w:rPr>
        <w:t xml:space="preserve"> </w:t>
      </w:r>
      <w:r w:rsidR="00FF2CD2">
        <w:rPr>
          <w:rFonts w:ascii="Open Sans" w:eastAsia="Open Sans" w:hAnsi="Open Sans" w:cs="Open Sans"/>
          <w:sz w:val="20"/>
          <w:szCs w:val="20"/>
        </w:rPr>
        <w:t xml:space="preserve">from energy from waste or biomass power projects </w:t>
      </w:r>
      <w:r w:rsidR="00B10A15">
        <w:rPr>
          <w:rFonts w:ascii="Open Sans" w:eastAsia="Open Sans" w:hAnsi="Open Sans" w:cs="Open Sans"/>
          <w:sz w:val="20"/>
          <w:szCs w:val="20"/>
        </w:rPr>
        <w:t>are</w:t>
      </w:r>
      <w:r w:rsidR="008749A1">
        <w:rPr>
          <w:rFonts w:ascii="Open Sans" w:eastAsia="Open Sans" w:hAnsi="Open Sans" w:cs="Open Sans"/>
          <w:sz w:val="20"/>
          <w:szCs w:val="20"/>
        </w:rPr>
        <w:t xml:space="preserve"> also</w:t>
      </w:r>
      <w:r w:rsidR="00FF2CD2">
        <w:rPr>
          <w:rFonts w:ascii="Open Sans" w:eastAsia="Open Sans" w:hAnsi="Open Sans" w:cs="Open Sans"/>
          <w:sz w:val="20"/>
          <w:szCs w:val="20"/>
        </w:rPr>
        <w:t xml:space="preserve"> not covered.</w:t>
      </w:r>
      <w:r w:rsidR="001F3117">
        <w:rPr>
          <w:rFonts w:ascii="Open Sans" w:eastAsia="Open Sans" w:hAnsi="Open Sans" w:cs="Open Sans"/>
          <w:sz w:val="20"/>
          <w:szCs w:val="20"/>
        </w:rPr>
        <w:t xml:space="preserve"> Table 2 is not comprehensive enough </w:t>
      </w:r>
      <w:r w:rsidR="008A733F">
        <w:rPr>
          <w:rFonts w:ascii="Open Sans" w:eastAsia="Open Sans" w:hAnsi="Open Sans" w:cs="Open Sans"/>
          <w:sz w:val="20"/>
          <w:szCs w:val="20"/>
        </w:rPr>
        <w:t xml:space="preserve">to be the benchmark for </w:t>
      </w:r>
      <w:r w:rsidR="002529E8">
        <w:rPr>
          <w:rFonts w:ascii="Open Sans" w:eastAsia="Open Sans" w:hAnsi="Open Sans" w:cs="Open Sans"/>
          <w:sz w:val="20"/>
          <w:szCs w:val="20"/>
        </w:rPr>
        <w:t>eligibility and</w:t>
      </w:r>
      <w:r w:rsidR="00FE18E1">
        <w:rPr>
          <w:rFonts w:ascii="Open Sans" w:eastAsia="Open Sans" w:hAnsi="Open Sans" w:cs="Open Sans"/>
          <w:sz w:val="20"/>
          <w:szCs w:val="20"/>
        </w:rPr>
        <w:t xml:space="preserve"> is unlikely</w:t>
      </w:r>
      <w:r w:rsidR="007A6F9B">
        <w:rPr>
          <w:rFonts w:ascii="Open Sans" w:eastAsia="Open Sans" w:hAnsi="Open Sans" w:cs="Open Sans"/>
          <w:sz w:val="20"/>
          <w:szCs w:val="20"/>
        </w:rPr>
        <w:t xml:space="preserve"> ever to be able </w:t>
      </w:r>
      <w:r w:rsidR="00FE18E1">
        <w:rPr>
          <w:rFonts w:ascii="Open Sans" w:eastAsia="Open Sans" w:hAnsi="Open Sans" w:cs="Open Sans"/>
          <w:sz w:val="20"/>
          <w:szCs w:val="20"/>
        </w:rPr>
        <w:t xml:space="preserve">to cover all </w:t>
      </w:r>
      <w:r w:rsidR="00B10A15">
        <w:rPr>
          <w:rFonts w:ascii="Open Sans" w:eastAsia="Open Sans" w:hAnsi="Open Sans" w:cs="Open Sans"/>
          <w:sz w:val="20"/>
          <w:szCs w:val="20"/>
        </w:rPr>
        <w:t>available</w:t>
      </w:r>
      <w:r w:rsidR="00FE18E1">
        <w:rPr>
          <w:rFonts w:ascii="Open Sans" w:eastAsia="Open Sans" w:hAnsi="Open Sans" w:cs="Open Sans"/>
          <w:sz w:val="20"/>
          <w:szCs w:val="20"/>
        </w:rPr>
        <w:t xml:space="preserve"> options. As such</w:t>
      </w:r>
      <w:r w:rsidR="002529E8">
        <w:rPr>
          <w:rFonts w:ascii="Open Sans" w:eastAsia="Open Sans" w:hAnsi="Open Sans" w:cs="Open Sans"/>
          <w:sz w:val="20"/>
          <w:szCs w:val="20"/>
        </w:rPr>
        <w:t>, by its nature</w:t>
      </w:r>
      <w:r w:rsidR="00FE18E1">
        <w:rPr>
          <w:rFonts w:ascii="Open Sans" w:eastAsia="Open Sans" w:hAnsi="Open Sans" w:cs="Open Sans"/>
          <w:sz w:val="20"/>
          <w:szCs w:val="20"/>
        </w:rPr>
        <w:t xml:space="preserve">, </w:t>
      </w:r>
      <w:r w:rsidR="00B10A15">
        <w:rPr>
          <w:rFonts w:ascii="Open Sans" w:eastAsia="Open Sans" w:hAnsi="Open Sans" w:cs="Open Sans"/>
          <w:sz w:val="20"/>
          <w:szCs w:val="20"/>
        </w:rPr>
        <w:t xml:space="preserve">such an approach </w:t>
      </w:r>
      <w:r w:rsidR="002529E8">
        <w:rPr>
          <w:rFonts w:ascii="Open Sans" w:eastAsia="Open Sans" w:hAnsi="Open Sans" w:cs="Open Sans"/>
          <w:sz w:val="20"/>
          <w:szCs w:val="20"/>
        </w:rPr>
        <w:t>will likely</w:t>
      </w:r>
      <w:r w:rsidR="00800AAD">
        <w:rPr>
          <w:rFonts w:ascii="Open Sans" w:eastAsia="Open Sans" w:hAnsi="Open Sans" w:cs="Open Sans"/>
          <w:sz w:val="20"/>
          <w:szCs w:val="20"/>
        </w:rPr>
        <w:t xml:space="preserve"> </w:t>
      </w:r>
      <w:r w:rsidR="002529E8">
        <w:rPr>
          <w:rFonts w:ascii="Open Sans" w:eastAsia="Open Sans" w:hAnsi="Open Sans" w:cs="Open Sans"/>
          <w:sz w:val="20"/>
          <w:szCs w:val="20"/>
        </w:rPr>
        <w:t>unnecessarily</w:t>
      </w:r>
      <w:r w:rsidR="00800AAD">
        <w:rPr>
          <w:rFonts w:ascii="Open Sans" w:eastAsia="Open Sans" w:hAnsi="Open Sans" w:cs="Open Sans"/>
          <w:sz w:val="20"/>
          <w:szCs w:val="20"/>
        </w:rPr>
        <w:t xml:space="preserve"> </w:t>
      </w:r>
      <w:r w:rsidR="008A733F">
        <w:rPr>
          <w:rFonts w:ascii="Open Sans" w:eastAsia="Open Sans" w:hAnsi="Open Sans" w:cs="Open Sans"/>
          <w:sz w:val="20"/>
          <w:szCs w:val="20"/>
        </w:rPr>
        <w:t>become</w:t>
      </w:r>
      <w:r w:rsidR="008749A1">
        <w:rPr>
          <w:rFonts w:ascii="Open Sans" w:eastAsia="Open Sans" w:hAnsi="Open Sans" w:cs="Open Sans"/>
          <w:sz w:val="20"/>
          <w:szCs w:val="20"/>
        </w:rPr>
        <w:t xml:space="preserve"> a limiting factor and slow innovation</w:t>
      </w:r>
      <w:r w:rsidR="00800AAD">
        <w:rPr>
          <w:rFonts w:ascii="Open Sans" w:eastAsia="Open Sans" w:hAnsi="Open Sans" w:cs="Open Sans"/>
          <w:sz w:val="20"/>
          <w:szCs w:val="20"/>
        </w:rPr>
        <w:t xml:space="preserve">. </w:t>
      </w:r>
      <w:r w:rsidR="00F6355C">
        <w:rPr>
          <w:rFonts w:ascii="Open Sans" w:eastAsia="Open Sans" w:hAnsi="Open Sans" w:cs="Open Sans"/>
          <w:sz w:val="20"/>
          <w:szCs w:val="20"/>
        </w:rPr>
        <w:t xml:space="preserve"> </w:t>
      </w:r>
    </w:p>
    <w:p w14:paraId="3F550661" w14:textId="39A20A53" w:rsidR="000C4A19" w:rsidRDefault="00B76ED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If taken forward, </w:t>
      </w:r>
      <w:r w:rsidR="00A71779">
        <w:rPr>
          <w:rFonts w:ascii="Open Sans" w:eastAsia="Open Sans" w:hAnsi="Open Sans" w:cs="Open Sans"/>
          <w:sz w:val="20"/>
          <w:szCs w:val="20"/>
        </w:rPr>
        <w:t xml:space="preserve">It </w:t>
      </w:r>
      <w:r>
        <w:rPr>
          <w:rFonts w:ascii="Open Sans" w:eastAsia="Open Sans" w:hAnsi="Open Sans" w:cs="Open Sans"/>
          <w:sz w:val="20"/>
          <w:szCs w:val="20"/>
        </w:rPr>
        <w:t xml:space="preserve">will be essential for option </w:t>
      </w:r>
      <w:proofErr w:type="gramStart"/>
      <w:r>
        <w:rPr>
          <w:rFonts w:ascii="Open Sans" w:eastAsia="Open Sans" w:hAnsi="Open Sans" w:cs="Open Sans"/>
          <w:sz w:val="20"/>
          <w:szCs w:val="20"/>
        </w:rPr>
        <w:t xml:space="preserve">2 </w:t>
      </w:r>
      <w:r w:rsidR="00A71779">
        <w:rPr>
          <w:rFonts w:ascii="Open Sans" w:eastAsia="Open Sans" w:hAnsi="Open Sans" w:cs="Open Sans"/>
          <w:sz w:val="20"/>
          <w:szCs w:val="20"/>
        </w:rPr>
        <w:t xml:space="preserve"> to</w:t>
      </w:r>
      <w:proofErr w:type="gramEnd"/>
      <w:r w:rsidR="00A71779">
        <w:rPr>
          <w:rFonts w:ascii="Open Sans" w:eastAsia="Open Sans" w:hAnsi="Open Sans" w:cs="Open Sans"/>
          <w:sz w:val="20"/>
          <w:szCs w:val="20"/>
        </w:rPr>
        <w:t xml:space="preserve"> broaden the list of eligible pathways to ensure that all low carbon production methods are covered. This would require more complex regulations, which may need to be updated regularly to capture market changes and technological advancements. </w:t>
      </w:r>
    </w:p>
    <w:p w14:paraId="3BE29A85" w14:textId="0EB60C48"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Therefore, while Option 2 provides investors with certainty on the eligibility of specific production pathways,</w:t>
      </w:r>
      <w:r w:rsidR="00094B00">
        <w:rPr>
          <w:rFonts w:ascii="Open Sans" w:eastAsia="Open Sans" w:hAnsi="Open Sans" w:cs="Open Sans"/>
          <w:sz w:val="20"/>
          <w:szCs w:val="20"/>
        </w:rPr>
        <w:t xml:space="preserve"> a</w:t>
      </w:r>
      <w:r>
        <w:rPr>
          <w:rFonts w:ascii="Open Sans" w:eastAsia="Open Sans" w:hAnsi="Open Sans" w:cs="Open Sans"/>
          <w:sz w:val="20"/>
          <w:szCs w:val="20"/>
        </w:rPr>
        <w:t xml:space="preserve"> more comprehensive and flexible approach that includes a broader range of conversion technologies, such as plasma technology and off gas conversion, </w:t>
      </w:r>
      <w:r w:rsidR="00094B00">
        <w:rPr>
          <w:rFonts w:ascii="Open Sans" w:eastAsia="Open Sans" w:hAnsi="Open Sans" w:cs="Open Sans"/>
          <w:sz w:val="20"/>
          <w:szCs w:val="20"/>
        </w:rPr>
        <w:t>will</w:t>
      </w:r>
      <w:r>
        <w:rPr>
          <w:rFonts w:ascii="Open Sans" w:eastAsia="Open Sans" w:hAnsi="Open Sans" w:cs="Open Sans"/>
          <w:sz w:val="20"/>
          <w:szCs w:val="20"/>
        </w:rPr>
        <w:t xml:space="preserve"> be necessary to ensure that low carbon hydrogen production is supported across all sectors.</w:t>
      </w:r>
    </w:p>
    <w:p w14:paraId="7F4EADA4" w14:textId="77777777" w:rsidR="000C4A19" w:rsidRDefault="000C4A19">
      <w:pPr>
        <w:spacing w:before="120" w:after="120" w:line="240" w:lineRule="auto"/>
        <w:ind w:left="720"/>
        <w:rPr>
          <w:rFonts w:ascii="Open Sans" w:eastAsia="Open Sans" w:hAnsi="Open Sans" w:cs="Open Sans"/>
          <w:b/>
          <w:color w:val="2F5496"/>
          <w:sz w:val="20"/>
          <w:szCs w:val="20"/>
        </w:rPr>
      </w:pPr>
    </w:p>
    <w:p w14:paraId="086857CE"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If we proceed with option 1 or option 2, do you agree with the proposal to only mandate installation of CCS for fossil fuel feedstocks?</w:t>
      </w:r>
    </w:p>
    <w:p w14:paraId="7C58AC63" w14:textId="28C3F2B4"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Mandating CCS for hydrogen production pathways</w:t>
      </w:r>
      <w:r w:rsidR="00AF23EB">
        <w:rPr>
          <w:rFonts w:ascii="Open Sans" w:eastAsia="Open Sans" w:hAnsi="Open Sans" w:cs="Open Sans"/>
          <w:sz w:val="20"/>
          <w:szCs w:val="20"/>
        </w:rPr>
        <w:t xml:space="preserve"> using fossil fuel feedstocks is essential</w:t>
      </w:r>
      <w:r>
        <w:rPr>
          <w:rFonts w:ascii="Open Sans" w:eastAsia="Open Sans" w:hAnsi="Open Sans" w:cs="Open Sans"/>
          <w:sz w:val="20"/>
          <w:szCs w:val="20"/>
        </w:rPr>
        <w:t xml:space="preserve"> </w:t>
      </w:r>
      <w:r w:rsidR="00F120EE">
        <w:rPr>
          <w:rFonts w:ascii="Open Sans" w:eastAsia="Open Sans" w:hAnsi="Open Sans" w:cs="Open Sans"/>
          <w:sz w:val="20"/>
          <w:szCs w:val="20"/>
        </w:rPr>
        <w:t xml:space="preserve">and </w:t>
      </w:r>
      <w:r>
        <w:rPr>
          <w:rFonts w:ascii="Open Sans" w:eastAsia="Open Sans" w:hAnsi="Open Sans" w:cs="Open Sans"/>
          <w:sz w:val="20"/>
          <w:szCs w:val="20"/>
        </w:rPr>
        <w:t xml:space="preserve">would ensure that emissions are minimised. </w:t>
      </w:r>
      <w:r w:rsidR="00EF07B4">
        <w:rPr>
          <w:rFonts w:ascii="Open Sans" w:eastAsia="Open Sans" w:hAnsi="Open Sans" w:cs="Open Sans"/>
          <w:sz w:val="20"/>
          <w:szCs w:val="20"/>
        </w:rPr>
        <w:t>We do</w:t>
      </w:r>
      <w:r w:rsidR="00C42EF5">
        <w:rPr>
          <w:rFonts w:ascii="Open Sans" w:eastAsia="Open Sans" w:hAnsi="Open Sans" w:cs="Open Sans"/>
          <w:sz w:val="20"/>
          <w:szCs w:val="20"/>
        </w:rPr>
        <w:t xml:space="preserve">, </w:t>
      </w:r>
      <w:r w:rsidR="00EF07B4">
        <w:rPr>
          <w:rFonts w:ascii="Open Sans" w:eastAsia="Open Sans" w:hAnsi="Open Sans" w:cs="Open Sans"/>
          <w:sz w:val="20"/>
          <w:szCs w:val="20"/>
        </w:rPr>
        <w:t>however</w:t>
      </w:r>
      <w:r w:rsidR="00C42EF5">
        <w:rPr>
          <w:rFonts w:ascii="Open Sans" w:eastAsia="Open Sans" w:hAnsi="Open Sans" w:cs="Open Sans"/>
          <w:sz w:val="20"/>
          <w:szCs w:val="20"/>
        </w:rPr>
        <w:t xml:space="preserve">, </w:t>
      </w:r>
      <w:r w:rsidR="00EF07B4">
        <w:rPr>
          <w:rFonts w:ascii="Open Sans" w:eastAsia="Open Sans" w:hAnsi="Open Sans" w:cs="Open Sans"/>
          <w:sz w:val="20"/>
          <w:szCs w:val="20"/>
        </w:rPr>
        <w:t>recognise that w</w:t>
      </w:r>
      <w:r>
        <w:rPr>
          <w:rFonts w:ascii="Open Sans" w:eastAsia="Open Sans" w:hAnsi="Open Sans" w:cs="Open Sans"/>
          <w:sz w:val="20"/>
          <w:szCs w:val="20"/>
        </w:rPr>
        <w:t>hile biohydrogen is produced from renewable sources, the process of production may still involve emissions that</w:t>
      </w:r>
      <w:r w:rsidR="00EF07B4">
        <w:rPr>
          <w:rFonts w:ascii="Open Sans" w:eastAsia="Open Sans" w:hAnsi="Open Sans" w:cs="Open Sans"/>
          <w:sz w:val="20"/>
          <w:szCs w:val="20"/>
        </w:rPr>
        <w:t xml:space="preserve">, as the </w:t>
      </w:r>
      <w:r w:rsidR="00981690">
        <w:rPr>
          <w:rFonts w:ascii="Open Sans" w:eastAsia="Open Sans" w:hAnsi="Open Sans" w:cs="Open Sans"/>
          <w:sz w:val="20"/>
          <w:szCs w:val="20"/>
        </w:rPr>
        <w:t>energy</w:t>
      </w:r>
      <w:r w:rsidR="00EF07B4">
        <w:rPr>
          <w:rFonts w:ascii="Open Sans" w:eastAsia="Open Sans" w:hAnsi="Open Sans" w:cs="Open Sans"/>
          <w:sz w:val="20"/>
          <w:szCs w:val="20"/>
        </w:rPr>
        <w:t xml:space="preserve"> system </w:t>
      </w:r>
      <w:r w:rsidR="00981690">
        <w:rPr>
          <w:rFonts w:ascii="Open Sans" w:eastAsia="Open Sans" w:hAnsi="Open Sans" w:cs="Open Sans"/>
          <w:sz w:val="20"/>
          <w:szCs w:val="20"/>
        </w:rPr>
        <w:t>transitions</w:t>
      </w:r>
      <w:r w:rsidR="00EF07B4">
        <w:rPr>
          <w:rFonts w:ascii="Open Sans" w:eastAsia="Open Sans" w:hAnsi="Open Sans" w:cs="Open Sans"/>
          <w:sz w:val="20"/>
          <w:szCs w:val="20"/>
        </w:rPr>
        <w:t>, will</w:t>
      </w:r>
      <w:r w:rsidR="00981690">
        <w:rPr>
          <w:rFonts w:ascii="Open Sans" w:eastAsia="Open Sans" w:hAnsi="Open Sans" w:cs="Open Sans"/>
          <w:sz w:val="20"/>
          <w:szCs w:val="20"/>
        </w:rPr>
        <w:t xml:space="preserve"> </w:t>
      </w:r>
      <w:r w:rsidR="00652E05">
        <w:rPr>
          <w:rFonts w:ascii="Open Sans" w:eastAsia="Open Sans" w:hAnsi="Open Sans" w:cs="Open Sans"/>
          <w:sz w:val="20"/>
          <w:szCs w:val="20"/>
        </w:rPr>
        <w:t>also need</w:t>
      </w:r>
      <w:r>
        <w:rPr>
          <w:rFonts w:ascii="Open Sans" w:eastAsia="Open Sans" w:hAnsi="Open Sans" w:cs="Open Sans"/>
          <w:sz w:val="20"/>
          <w:szCs w:val="20"/>
        </w:rPr>
        <w:t xml:space="preserve"> to be </w:t>
      </w:r>
      <w:r w:rsidR="008C492C">
        <w:rPr>
          <w:rFonts w:ascii="Open Sans" w:eastAsia="Open Sans" w:hAnsi="Open Sans" w:cs="Open Sans"/>
          <w:sz w:val="20"/>
          <w:szCs w:val="20"/>
        </w:rPr>
        <w:t>abated</w:t>
      </w:r>
      <w:r>
        <w:rPr>
          <w:rFonts w:ascii="Open Sans" w:eastAsia="Open Sans" w:hAnsi="Open Sans" w:cs="Open Sans"/>
          <w:sz w:val="20"/>
          <w:szCs w:val="20"/>
        </w:rPr>
        <w:t xml:space="preserve">. </w:t>
      </w:r>
      <w:r w:rsidR="004678D1">
        <w:rPr>
          <w:rFonts w:ascii="Open Sans" w:eastAsia="Open Sans" w:hAnsi="Open Sans" w:cs="Open Sans"/>
          <w:sz w:val="20"/>
          <w:szCs w:val="20"/>
        </w:rPr>
        <w:t xml:space="preserve">We are supportive of the fact that these </w:t>
      </w:r>
      <w:r w:rsidR="001C6E21">
        <w:rPr>
          <w:rFonts w:ascii="Open Sans" w:eastAsia="Open Sans" w:hAnsi="Open Sans" w:cs="Open Sans"/>
          <w:sz w:val="20"/>
          <w:szCs w:val="20"/>
        </w:rPr>
        <w:t>should not require CCS to be installed if they are still meeting the LCHS. W</w:t>
      </w:r>
      <w:r w:rsidR="00EA2D81">
        <w:rPr>
          <w:rFonts w:ascii="Open Sans" w:eastAsia="Open Sans" w:hAnsi="Open Sans" w:cs="Open Sans"/>
          <w:sz w:val="20"/>
          <w:szCs w:val="20"/>
        </w:rPr>
        <w:t>e would</w:t>
      </w:r>
      <w:r w:rsidR="001C6E21">
        <w:rPr>
          <w:rFonts w:ascii="Open Sans" w:eastAsia="Open Sans" w:hAnsi="Open Sans" w:cs="Open Sans"/>
          <w:sz w:val="20"/>
          <w:szCs w:val="20"/>
        </w:rPr>
        <w:t xml:space="preserve">, however, also </w:t>
      </w:r>
      <w:r w:rsidR="00EA2D81">
        <w:rPr>
          <w:rFonts w:ascii="Open Sans" w:eastAsia="Open Sans" w:hAnsi="Open Sans" w:cs="Open Sans"/>
          <w:sz w:val="20"/>
          <w:szCs w:val="20"/>
        </w:rPr>
        <w:t xml:space="preserve">encourage DES NZ to consider </w:t>
      </w:r>
      <w:r w:rsidR="00EF07B4">
        <w:rPr>
          <w:rFonts w:ascii="Open Sans" w:eastAsia="Open Sans" w:hAnsi="Open Sans" w:cs="Open Sans"/>
          <w:sz w:val="20"/>
          <w:szCs w:val="20"/>
        </w:rPr>
        <w:t xml:space="preserve">how requirements in the HPBM </w:t>
      </w:r>
      <w:r w:rsidR="00484E03">
        <w:rPr>
          <w:rFonts w:ascii="Open Sans" w:eastAsia="Open Sans" w:hAnsi="Open Sans" w:cs="Open Sans"/>
          <w:sz w:val="20"/>
          <w:szCs w:val="20"/>
        </w:rPr>
        <w:t>align</w:t>
      </w:r>
      <w:r w:rsidR="008C492C">
        <w:rPr>
          <w:rFonts w:ascii="Open Sans" w:eastAsia="Open Sans" w:hAnsi="Open Sans" w:cs="Open Sans"/>
          <w:sz w:val="20"/>
          <w:szCs w:val="20"/>
        </w:rPr>
        <w:t xml:space="preserve">s </w:t>
      </w:r>
      <w:r w:rsidR="00484E03">
        <w:rPr>
          <w:rFonts w:ascii="Open Sans" w:eastAsia="Open Sans" w:hAnsi="Open Sans" w:cs="Open Sans"/>
          <w:sz w:val="20"/>
          <w:szCs w:val="20"/>
        </w:rPr>
        <w:t>with the power sector</w:t>
      </w:r>
      <w:r w:rsidR="00EA2D81">
        <w:rPr>
          <w:rFonts w:ascii="Open Sans" w:eastAsia="Open Sans" w:hAnsi="Open Sans" w:cs="Open Sans"/>
          <w:sz w:val="20"/>
          <w:szCs w:val="20"/>
        </w:rPr>
        <w:t xml:space="preserve"> Decarbonisation</w:t>
      </w:r>
      <w:r w:rsidR="00484E03">
        <w:rPr>
          <w:rFonts w:ascii="Open Sans" w:eastAsia="Open Sans" w:hAnsi="Open Sans" w:cs="Open Sans"/>
          <w:sz w:val="20"/>
          <w:szCs w:val="20"/>
        </w:rPr>
        <w:t xml:space="preserve"> Readiness</w:t>
      </w:r>
      <w:r w:rsidR="00EA2D81">
        <w:rPr>
          <w:rFonts w:ascii="Open Sans" w:eastAsia="Open Sans" w:hAnsi="Open Sans" w:cs="Open Sans"/>
          <w:sz w:val="20"/>
          <w:szCs w:val="20"/>
        </w:rPr>
        <w:t xml:space="preserve"> Requirements currently being consulted on </w:t>
      </w:r>
    </w:p>
    <w:p w14:paraId="70DA4C9F" w14:textId="7AC2788A" w:rsidR="000C4A19" w:rsidRDefault="00484E03">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remains important that there is a clear </w:t>
      </w:r>
      <w:r w:rsidR="00A71779">
        <w:rPr>
          <w:rFonts w:ascii="Open Sans" w:eastAsia="Open Sans" w:hAnsi="Open Sans" w:cs="Open Sans"/>
          <w:sz w:val="20"/>
          <w:szCs w:val="20"/>
        </w:rPr>
        <w:t>path</w:t>
      </w:r>
      <w:r>
        <w:rPr>
          <w:rFonts w:ascii="Open Sans" w:eastAsia="Open Sans" w:hAnsi="Open Sans" w:cs="Open Sans"/>
          <w:sz w:val="20"/>
          <w:szCs w:val="20"/>
        </w:rPr>
        <w:t>way</w:t>
      </w:r>
      <w:r w:rsidR="00A71779">
        <w:rPr>
          <w:rFonts w:ascii="Open Sans" w:eastAsia="Open Sans" w:hAnsi="Open Sans" w:cs="Open Sans"/>
          <w:sz w:val="20"/>
          <w:szCs w:val="20"/>
        </w:rPr>
        <w:t xml:space="preserve"> to achieving the UK's net-zero emissions targets. By</w:t>
      </w:r>
      <w:r w:rsidR="00F120EE">
        <w:rPr>
          <w:rFonts w:ascii="Open Sans" w:eastAsia="Open Sans" w:hAnsi="Open Sans" w:cs="Open Sans"/>
          <w:sz w:val="20"/>
          <w:szCs w:val="20"/>
        </w:rPr>
        <w:t xml:space="preserve"> eventually ensuring the</w:t>
      </w:r>
      <w:r w:rsidR="00A71779">
        <w:rPr>
          <w:rFonts w:ascii="Open Sans" w:eastAsia="Open Sans" w:hAnsi="Open Sans" w:cs="Open Sans"/>
          <w:sz w:val="20"/>
          <w:szCs w:val="20"/>
        </w:rPr>
        <w:t xml:space="preserve"> captur</w:t>
      </w:r>
      <w:r w:rsidR="00F120EE">
        <w:rPr>
          <w:rFonts w:ascii="Open Sans" w:eastAsia="Open Sans" w:hAnsi="Open Sans" w:cs="Open Sans"/>
          <w:sz w:val="20"/>
          <w:szCs w:val="20"/>
        </w:rPr>
        <w:t xml:space="preserve">e </w:t>
      </w:r>
      <w:r w:rsidR="00A71779">
        <w:rPr>
          <w:rFonts w:ascii="Open Sans" w:eastAsia="Open Sans" w:hAnsi="Open Sans" w:cs="Open Sans"/>
          <w:sz w:val="20"/>
          <w:szCs w:val="20"/>
        </w:rPr>
        <w:t>and storing</w:t>
      </w:r>
      <w:r w:rsidR="00F120EE">
        <w:rPr>
          <w:rFonts w:ascii="Open Sans" w:eastAsia="Open Sans" w:hAnsi="Open Sans" w:cs="Open Sans"/>
          <w:sz w:val="20"/>
          <w:szCs w:val="20"/>
        </w:rPr>
        <w:t xml:space="preserve"> of</w:t>
      </w:r>
      <w:r w:rsidR="00A71779">
        <w:rPr>
          <w:rFonts w:ascii="Open Sans" w:eastAsia="Open Sans" w:hAnsi="Open Sans" w:cs="Open Sans"/>
          <w:sz w:val="20"/>
          <w:szCs w:val="20"/>
        </w:rPr>
        <w:t xml:space="preserve"> emissions from all hydrogen production pathways, the country can ensure that it is making progress towards its emissions reduction goals.</w:t>
      </w:r>
    </w:p>
    <w:p w14:paraId="01BA56F1" w14:textId="77777777" w:rsidR="000C4A19" w:rsidRDefault="000C4A19">
      <w:pPr>
        <w:spacing w:before="120" w:after="120" w:line="240" w:lineRule="auto"/>
        <w:rPr>
          <w:rFonts w:ascii="Open Sans" w:eastAsia="Open Sans" w:hAnsi="Open Sans" w:cs="Open Sans"/>
          <w:sz w:val="20"/>
          <w:szCs w:val="20"/>
        </w:rPr>
      </w:pPr>
    </w:p>
    <w:p w14:paraId="64A613AC"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 xml:space="preserve">Do you agree with the advantages and disadvantages set out under option 3? Are there any other considerations for option 3 that we should </w:t>
      </w:r>
      <w:proofErr w:type="gramStart"/>
      <w:r>
        <w:rPr>
          <w:rFonts w:ascii="Open Sans" w:eastAsia="Open Sans" w:hAnsi="Open Sans" w:cs="Open Sans"/>
          <w:b/>
          <w:color w:val="2F5496"/>
          <w:sz w:val="20"/>
          <w:szCs w:val="20"/>
        </w:rPr>
        <w:t>take into account</w:t>
      </w:r>
      <w:proofErr w:type="gramEnd"/>
      <w:r>
        <w:rPr>
          <w:rFonts w:ascii="Open Sans" w:eastAsia="Open Sans" w:hAnsi="Open Sans" w:cs="Open Sans"/>
          <w:b/>
          <w:color w:val="2F5496"/>
          <w:sz w:val="20"/>
          <w:szCs w:val="20"/>
        </w:rPr>
        <w:t>?</w:t>
      </w:r>
    </w:p>
    <w:p w14:paraId="6AEEFCA0" w14:textId="7076DCF2" w:rsidR="0043293F" w:rsidRDefault="00A71779">
      <w:pPr>
        <w:spacing w:after="0" w:line="240" w:lineRule="auto"/>
        <w:rPr>
          <w:rFonts w:ascii="Open Sans" w:eastAsia="Open Sans" w:hAnsi="Open Sans" w:cs="Open Sans"/>
          <w:sz w:val="20"/>
          <w:szCs w:val="20"/>
        </w:rPr>
      </w:pPr>
      <w:r>
        <w:rPr>
          <w:rFonts w:ascii="Open Sans" w:eastAsia="Open Sans" w:hAnsi="Open Sans" w:cs="Open Sans"/>
          <w:sz w:val="20"/>
          <w:szCs w:val="20"/>
        </w:rPr>
        <w:lastRenderedPageBreak/>
        <w:t>Yes, we agree that regulations should refer to the Low Carbon Hydrogen standard in a broad sense, as it applie</w:t>
      </w:r>
      <w:r w:rsidR="002350F8">
        <w:rPr>
          <w:rFonts w:ascii="Open Sans" w:eastAsia="Open Sans" w:hAnsi="Open Sans" w:cs="Open Sans"/>
          <w:sz w:val="20"/>
          <w:szCs w:val="20"/>
        </w:rPr>
        <w:t>s</w:t>
      </w:r>
      <w:r>
        <w:rPr>
          <w:rFonts w:ascii="Open Sans" w:eastAsia="Open Sans" w:hAnsi="Open Sans" w:cs="Open Sans"/>
          <w:sz w:val="20"/>
          <w:szCs w:val="20"/>
        </w:rPr>
        <w:t xml:space="preserve"> at the time</w:t>
      </w:r>
      <w:r w:rsidR="00874634">
        <w:rPr>
          <w:rFonts w:ascii="Open Sans" w:eastAsia="Open Sans" w:hAnsi="Open Sans" w:cs="Open Sans"/>
          <w:sz w:val="20"/>
          <w:szCs w:val="20"/>
        </w:rPr>
        <w:t xml:space="preserve"> of</w:t>
      </w:r>
      <w:r w:rsidR="002350F8">
        <w:rPr>
          <w:rFonts w:ascii="Open Sans" w:eastAsia="Open Sans" w:hAnsi="Open Sans" w:cs="Open Sans"/>
          <w:sz w:val="20"/>
          <w:szCs w:val="20"/>
        </w:rPr>
        <w:t xml:space="preserve"> a project</w:t>
      </w:r>
      <w:r w:rsidR="00874634">
        <w:rPr>
          <w:rFonts w:ascii="Open Sans" w:eastAsia="Open Sans" w:hAnsi="Open Sans" w:cs="Open Sans"/>
          <w:sz w:val="20"/>
          <w:szCs w:val="20"/>
        </w:rPr>
        <w:t xml:space="preserve"> being contracted</w:t>
      </w:r>
      <w:r>
        <w:rPr>
          <w:rFonts w:ascii="Open Sans" w:eastAsia="Open Sans" w:hAnsi="Open Sans" w:cs="Open Sans"/>
          <w:sz w:val="20"/>
          <w:szCs w:val="20"/>
        </w:rPr>
        <w:t>. It is important that allocation rounds are clear on which version of the standard is being used, and that this should not change between announcing the details of the round and contracts being signed. This is particularly important for avoiding potential negative impacts on specific producers.</w:t>
      </w:r>
      <w:r w:rsidR="00507F93">
        <w:rPr>
          <w:rFonts w:ascii="Open Sans" w:eastAsia="Open Sans" w:hAnsi="Open Sans" w:cs="Open Sans"/>
          <w:sz w:val="20"/>
          <w:szCs w:val="20"/>
        </w:rPr>
        <w:t xml:space="preserve"> </w:t>
      </w:r>
    </w:p>
    <w:p w14:paraId="42C69888" w14:textId="77777777" w:rsidR="0043293F" w:rsidRDefault="0043293F">
      <w:pPr>
        <w:spacing w:after="0" w:line="240" w:lineRule="auto"/>
        <w:rPr>
          <w:rFonts w:ascii="Open Sans" w:eastAsia="Open Sans" w:hAnsi="Open Sans" w:cs="Open Sans"/>
          <w:sz w:val="20"/>
          <w:szCs w:val="20"/>
        </w:rPr>
      </w:pPr>
    </w:p>
    <w:p w14:paraId="524D8933" w14:textId="037F6016" w:rsidR="000C4A19" w:rsidRDefault="002D2E5F">
      <w:pPr>
        <w:spacing w:after="0" w:line="240" w:lineRule="auto"/>
        <w:rPr>
          <w:rFonts w:ascii="Open Sans" w:eastAsia="Open Sans" w:hAnsi="Open Sans" w:cs="Open Sans"/>
          <w:sz w:val="20"/>
          <w:szCs w:val="20"/>
        </w:rPr>
      </w:pPr>
      <w:r>
        <w:rPr>
          <w:rFonts w:ascii="Open Sans" w:eastAsia="Open Sans" w:hAnsi="Open Sans" w:cs="Open Sans"/>
          <w:sz w:val="20"/>
          <w:szCs w:val="20"/>
        </w:rPr>
        <w:t>Alternatively</w:t>
      </w:r>
      <w:r w:rsidR="00507F93">
        <w:rPr>
          <w:rFonts w:ascii="Open Sans" w:eastAsia="Open Sans" w:hAnsi="Open Sans" w:cs="Open Sans"/>
          <w:sz w:val="20"/>
          <w:szCs w:val="20"/>
        </w:rPr>
        <w:t xml:space="preserve">, changes </w:t>
      </w:r>
      <w:r w:rsidR="0043293F">
        <w:rPr>
          <w:rFonts w:ascii="Open Sans" w:eastAsia="Open Sans" w:hAnsi="Open Sans" w:cs="Open Sans"/>
          <w:sz w:val="20"/>
          <w:szCs w:val="20"/>
        </w:rPr>
        <w:t>t</w:t>
      </w:r>
      <w:r w:rsidR="00AC149A">
        <w:rPr>
          <w:rFonts w:ascii="Open Sans" w:eastAsia="Open Sans" w:hAnsi="Open Sans" w:cs="Open Sans"/>
          <w:sz w:val="20"/>
          <w:szCs w:val="20"/>
        </w:rPr>
        <w:t xml:space="preserve">o </w:t>
      </w:r>
      <w:r w:rsidR="00930D30">
        <w:rPr>
          <w:rFonts w:ascii="Open Sans" w:eastAsia="Open Sans" w:hAnsi="Open Sans" w:cs="Open Sans"/>
          <w:sz w:val="20"/>
          <w:szCs w:val="20"/>
        </w:rPr>
        <w:t>a live</w:t>
      </w:r>
      <w:r w:rsidR="00AC149A">
        <w:rPr>
          <w:rFonts w:ascii="Open Sans" w:eastAsia="Open Sans" w:hAnsi="Open Sans" w:cs="Open Sans"/>
          <w:sz w:val="20"/>
          <w:szCs w:val="20"/>
        </w:rPr>
        <w:t xml:space="preserve"> </w:t>
      </w:r>
      <w:r>
        <w:rPr>
          <w:rFonts w:ascii="Open Sans" w:eastAsia="Open Sans" w:hAnsi="Open Sans" w:cs="Open Sans"/>
          <w:sz w:val="20"/>
          <w:szCs w:val="20"/>
        </w:rPr>
        <w:t>Low</w:t>
      </w:r>
      <w:r w:rsidR="00AC149A">
        <w:rPr>
          <w:rFonts w:ascii="Open Sans" w:eastAsia="Open Sans" w:hAnsi="Open Sans" w:cs="Open Sans"/>
          <w:sz w:val="20"/>
          <w:szCs w:val="20"/>
        </w:rPr>
        <w:t xml:space="preserve"> Carbon Hydrogen </w:t>
      </w:r>
      <w:r w:rsidR="0043293F">
        <w:rPr>
          <w:rFonts w:ascii="Open Sans" w:eastAsia="Open Sans" w:hAnsi="Open Sans" w:cs="Open Sans"/>
          <w:sz w:val="20"/>
          <w:szCs w:val="20"/>
        </w:rPr>
        <w:t>Standard</w:t>
      </w:r>
      <w:r w:rsidR="00AC149A">
        <w:rPr>
          <w:rFonts w:ascii="Open Sans" w:eastAsia="Open Sans" w:hAnsi="Open Sans" w:cs="Open Sans"/>
          <w:sz w:val="20"/>
          <w:szCs w:val="20"/>
        </w:rPr>
        <w:t xml:space="preserve"> can have implementation dates </w:t>
      </w:r>
      <w:r w:rsidR="00612ED9">
        <w:rPr>
          <w:rFonts w:ascii="Open Sans" w:eastAsia="Open Sans" w:hAnsi="Open Sans" w:cs="Open Sans"/>
          <w:sz w:val="20"/>
          <w:szCs w:val="20"/>
        </w:rPr>
        <w:t xml:space="preserve">built into </w:t>
      </w:r>
      <w:r w:rsidR="00AC149A">
        <w:rPr>
          <w:rFonts w:ascii="Open Sans" w:eastAsia="Open Sans" w:hAnsi="Open Sans" w:cs="Open Sans"/>
          <w:sz w:val="20"/>
          <w:szCs w:val="20"/>
        </w:rPr>
        <w:t xml:space="preserve">the </w:t>
      </w:r>
      <w:r w:rsidR="0043293F">
        <w:rPr>
          <w:rFonts w:ascii="Open Sans" w:eastAsia="Open Sans" w:hAnsi="Open Sans" w:cs="Open Sans"/>
          <w:sz w:val="20"/>
          <w:szCs w:val="20"/>
        </w:rPr>
        <w:t>g</w:t>
      </w:r>
      <w:r w:rsidR="00AC149A">
        <w:rPr>
          <w:rFonts w:ascii="Open Sans" w:eastAsia="Open Sans" w:hAnsi="Open Sans" w:cs="Open Sans"/>
          <w:sz w:val="20"/>
          <w:szCs w:val="20"/>
        </w:rPr>
        <w:t>uidanc</w:t>
      </w:r>
      <w:r w:rsidR="0043293F">
        <w:rPr>
          <w:rFonts w:ascii="Open Sans" w:eastAsia="Open Sans" w:hAnsi="Open Sans" w:cs="Open Sans"/>
          <w:sz w:val="20"/>
          <w:szCs w:val="20"/>
        </w:rPr>
        <w:t>e</w:t>
      </w:r>
      <w:r w:rsidR="00AC149A">
        <w:rPr>
          <w:rFonts w:ascii="Open Sans" w:eastAsia="Open Sans" w:hAnsi="Open Sans" w:cs="Open Sans"/>
          <w:sz w:val="20"/>
          <w:szCs w:val="20"/>
        </w:rPr>
        <w:t>, making clear that change</w:t>
      </w:r>
      <w:r w:rsidR="0043293F">
        <w:rPr>
          <w:rFonts w:ascii="Open Sans" w:eastAsia="Open Sans" w:hAnsi="Open Sans" w:cs="Open Sans"/>
          <w:sz w:val="20"/>
          <w:szCs w:val="20"/>
        </w:rPr>
        <w:t>s</w:t>
      </w:r>
      <w:r w:rsidR="003513A8">
        <w:rPr>
          <w:rFonts w:ascii="Open Sans" w:eastAsia="Open Sans" w:hAnsi="Open Sans" w:cs="Open Sans"/>
          <w:sz w:val="20"/>
          <w:szCs w:val="20"/>
        </w:rPr>
        <w:t xml:space="preserve"> are not </w:t>
      </w:r>
      <w:r w:rsidR="00B442BB">
        <w:rPr>
          <w:rFonts w:ascii="Open Sans" w:eastAsia="Open Sans" w:hAnsi="Open Sans" w:cs="Open Sans"/>
          <w:sz w:val="20"/>
          <w:szCs w:val="20"/>
        </w:rPr>
        <w:t>retrospective</w:t>
      </w:r>
      <w:r w:rsidR="002F7D09">
        <w:rPr>
          <w:rFonts w:ascii="Open Sans" w:eastAsia="Open Sans" w:hAnsi="Open Sans" w:cs="Open Sans"/>
          <w:sz w:val="20"/>
          <w:szCs w:val="20"/>
        </w:rPr>
        <w:t xml:space="preserve"> </w:t>
      </w:r>
      <w:r w:rsidR="003513A8">
        <w:rPr>
          <w:rFonts w:ascii="Open Sans" w:eastAsia="Open Sans" w:hAnsi="Open Sans" w:cs="Open Sans"/>
          <w:sz w:val="20"/>
          <w:szCs w:val="20"/>
        </w:rPr>
        <w:t>and</w:t>
      </w:r>
      <w:r w:rsidR="00AC149A">
        <w:rPr>
          <w:rFonts w:ascii="Open Sans" w:eastAsia="Open Sans" w:hAnsi="Open Sans" w:cs="Open Sans"/>
          <w:sz w:val="20"/>
          <w:szCs w:val="20"/>
        </w:rPr>
        <w:t xml:space="preserve"> apply to new projects </w:t>
      </w:r>
      <w:r w:rsidR="00494468">
        <w:rPr>
          <w:rFonts w:ascii="Open Sans" w:eastAsia="Open Sans" w:hAnsi="Open Sans" w:cs="Open Sans"/>
          <w:sz w:val="20"/>
          <w:szCs w:val="20"/>
        </w:rPr>
        <w:t>after X date.</w:t>
      </w:r>
      <w:r w:rsidR="00E008E4">
        <w:rPr>
          <w:rFonts w:ascii="Open Sans" w:eastAsia="Open Sans" w:hAnsi="Open Sans" w:cs="Open Sans"/>
          <w:sz w:val="20"/>
          <w:szCs w:val="20"/>
        </w:rPr>
        <w:t xml:space="preserve"> This should especially apply where the changes make it harder for hydrogen production </w:t>
      </w:r>
      <w:r w:rsidR="005D05CA">
        <w:rPr>
          <w:rFonts w:ascii="Open Sans" w:eastAsia="Open Sans" w:hAnsi="Open Sans" w:cs="Open Sans"/>
          <w:sz w:val="20"/>
          <w:szCs w:val="20"/>
        </w:rPr>
        <w:t xml:space="preserve">to be done. </w:t>
      </w:r>
      <w:r w:rsidR="00494468">
        <w:rPr>
          <w:rFonts w:ascii="Open Sans" w:eastAsia="Open Sans" w:hAnsi="Open Sans" w:cs="Open Sans"/>
          <w:sz w:val="20"/>
          <w:szCs w:val="20"/>
        </w:rPr>
        <w:t xml:space="preserve"> This is common practice with legislative changes, for example </w:t>
      </w:r>
      <w:r w:rsidR="003513A8">
        <w:rPr>
          <w:rFonts w:ascii="Open Sans" w:eastAsia="Open Sans" w:hAnsi="Open Sans" w:cs="Open Sans"/>
          <w:sz w:val="20"/>
          <w:szCs w:val="20"/>
        </w:rPr>
        <w:t>see the</w:t>
      </w:r>
      <w:r w:rsidR="00494468">
        <w:rPr>
          <w:rFonts w:ascii="Open Sans" w:eastAsia="Open Sans" w:hAnsi="Open Sans" w:cs="Open Sans"/>
          <w:sz w:val="20"/>
          <w:szCs w:val="20"/>
        </w:rPr>
        <w:t xml:space="preserve"> </w:t>
      </w:r>
      <w:r w:rsidR="003513A8">
        <w:rPr>
          <w:rFonts w:ascii="Open Sans" w:eastAsia="Open Sans" w:hAnsi="Open Sans" w:cs="Open Sans"/>
          <w:sz w:val="20"/>
          <w:szCs w:val="20"/>
        </w:rPr>
        <w:t xml:space="preserve">eligibility amendments made </w:t>
      </w:r>
      <w:r>
        <w:rPr>
          <w:rFonts w:ascii="Open Sans" w:eastAsia="Open Sans" w:hAnsi="Open Sans" w:cs="Open Sans"/>
          <w:sz w:val="20"/>
          <w:szCs w:val="20"/>
        </w:rPr>
        <w:t xml:space="preserve">during the lifetime of the Renewable Heat Incentive. </w:t>
      </w:r>
    </w:p>
    <w:p w14:paraId="03954099" w14:textId="77777777" w:rsidR="000C4A19" w:rsidRDefault="000C4A19">
      <w:pPr>
        <w:spacing w:after="0" w:line="240" w:lineRule="auto"/>
        <w:rPr>
          <w:rFonts w:ascii="Open Sans" w:eastAsia="Open Sans" w:hAnsi="Open Sans" w:cs="Open Sans"/>
          <w:sz w:val="20"/>
          <w:szCs w:val="20"/>
        </w:rPr>
      </w:pPr>
    </w:p>
    <w:p w14:paraId="0FDBE39C" w14:textId="77777777" w:rsidR="000C4A19" w:rsidRDefault="00A71779">
      <w:pPr>
        <w:spacing w:after="0" w:line="240" w:lineRule="auto"/>
        <w:rPr>
          <w:rFonts w:ascii="Open Sans" w:eastAsia="Open Sans" w:hAnsi="Open Sans" w:cs="Open Sans"/>
          <w:sz w:val="20"/>
          <w:szCs w:val="20"/>
        </w:rPr>
      </w:pPr>
      <w:r>
        <w:rPr>
          <w:rFonts w:ascii="Open Sans" w:eastAsia="Open Sans" w:hAnsi="Open Sans" w:cs="Open Sans"/>
          <w:sz w:val="20"/>
          <w:szCs w:val="20"/>
        </w:rPr>
        <w:t>One advantage of referring to the Low Carbon Hydrogen standard is that it would help ensure strong alignment between the regulations and round by round allocation guidance, with the most direct link to the standard. It would also provide clarity and certainty to industry if a fixed version of the standard is referenced, and if a live version is referenced, this would ensure eligibility requirements are always aligned with the latest version of the standard.</w:t>
      </w:r>
    </w:p>
    <w:p w14:paraId="01B789BA" w14:textId="77777777" w:rsidR="000C4A19" w:rsidRDefault="000C4A19">
      <w:pPr>
        <w:spacing w:after="0" w:line="240" w:lineRule="auto"/>
        <w:rPr>
          <w:rFonts w:ascii="Open Sans" w:eastAsia="Open Sans" w:hAnsi="Open Sans" w:cs="Open Sans"/>
          <w:sz w:val="20"/>
          <w:szCs w:val="20"/>
        </w:rPr>
      </w:pPr>
    </w:p>
    <w:p w14:paraId="10CBFFCB" w14:textId="77777777" w:rsidR="000C4A19" w:rsidRDefault="000C4A19">
      <w:pPr>
        <w:spacing w:before="120" w:after="120" w:line="240" w:lineRule="auto"/>
        <w:rPr>
          <w:rFonts w:ascii="Open Sans" w:eastAsia="Open Sans" w:hAnsi="Open Sans" w:cs="Open Sans"/>
          <w:b/>
          <w:color w:val="2F5496"/>
          <w:sz w:val="20"/>
          <w:szCs w:val="20"/>
        </w:rPr>
      </w:pPr>
    </w:p>
    <w:p w14:paraId="7D20C690"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Which of the proposed options to define eligible low carbon hydrogen production pathways do you prefer: i) Set out eligible feedstocks, ii) Set out eligible production pathways, iii) Refer to a fixed version of the standard or iv) Refer to the live standard</w:t>
      </w:r>
    </w:p>
    <w:p w14:paraId="02E03A8D" w14:textId="054B39E9" w:rsidR="00981733" w:rsidRDefault="002D6E3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Overall</w:t>
      </w:r>
      <w:r w:rsidR="00CB3D25">
        <w:rPr>
          <w:rFonts w:ascii="Open Sans" w:eastAsia="Open Sans" w:hAnsi="Open Sans" w:cs="Open Sans"/>
          <w:sz w:val="20"/>
          <w:szCs w:val="20"/>
        </w:rPr>
        <w:t xml:space="preserve">, </w:t>
      </w:r>
      <w:r>
        <w:rPr>
          <w:rFonts w:ascii="Open Sans" w:eastAsia="Open Sans" w:hAnsi="Open Sans" w:cs="Open Sans"/>
          <w:sz w:val="20"/>
          <w:szCs w:val="20"/>
        </w:rPr>
        <w:t xml:space="preserve">we support </w:t>
      </w:r>
      <w:r w:rsidR="004D22E2">
        <w:rPr>
          <w:rFonts w:ascii="Open Sans" w:eastAsia="Open Sans" w:hAnsi="Open Sans" w:cs="Open Sans"/>
          <w:sz w:val="20"/>
          <w:szCs w:val="20"/>
        </w:rPr>
        <w:t xml:space="preserve">the use of </w:t>
      </w:r>
      <w:r w:rsidR="00CB3D25">
        <w:rPr>
          <w:rFonts w:ascii="Open Sans" w:eastAsia="Open Sans" w:hAnsi="Open Sans" w:cs="Open Sans"/>
          <w:sz w:val="20"/>
          <w:szCs w:val="20"/>
        </w:rPr>
        <w:t xml:space="preserve">a live </w:t>
      </w:r>
      <w:r w:rsidR="004D22E2">
        <w:rPr>
          <w:rFonts w:ascii="Open Sans" w:eastAsia="Open Sans" w:hAnsi="Open Sans" w:cs="Open Sans"/>
          <w:sz w:val="20"/>
          <w:szCs w:val="20"/>
        </w:rPr>
        <w:t xml:space="preserve">LCHS as the key criteria </w:t>
      </w:r>
      <w:r w:rsidR="00CB3D25">
        <w:rPr>
          <w:rFonts w:ascii="Open Sans" w:eastAsia="Open Sans" w:hAnsi="Open Sans" w:cs="Open Sans"/>
          <w:sz w:val="20"/>
          <w:szCs w:val="20"/>
        </w:rPr>
        <w:t xml:space="preserve">to determining eligibility.  If necessary, we believe this could be combined with option </w:t>
      </w:r>
      <w:r w:rsidR="00686861">
        <w:rPr>
          <w:rFonts w:ascii="Open Sans" w:eastAsia="Open Sans" w:hAnsi="Open Sans" w:cs="Open Sans"/>
          <w:sz w:val="20"/>
          <w:szCs w:val="20"/>
        </w:rPr>
        <w:t>1 where</w:t>
      </w:r>
      <w:r w:rsidR="00A71779">
        <w:rPr>
          <w:rFonts w:ascii="Open Sans" w:eastAsia="Open Sans" w:hAnsi="Open Sans" w:cs="Open Sans"/>
          <w:sz w:val="20"/>
          <w:szCs w:val="20"/>
        </w:rPr>
        <w:t xml:space="preserve"> </w:t>
      </w:r>
      <w:r w:rsidR="00686861">
        <w:rPr>
          <w:rFonts w:ascii="Open Sans" w:eastAsia="Open Sans" w:hAnsi="Open Sans" w:cs="Open Sans"/>
          <w:sz w:val="20"/>
          <w:szCs w:val="20"/>
        </w:rPr>
        <w:t xml:space="preserve">a broad range of </w:t>
      </w:r>
      <w:r w:rsidR="00A71779">
        <w:rPr>
          <w:rFonts w:ascii="Open Sans" w:eastAsia="Open Sans" w:hAnsi="Open Sans" w:cs="Open Sans"/>
          <w:sz w:val="20"/>
          <w:szCs w:val="20"/>
        </w:rPr>
        <w:t>eligible feedstocks</w:t>
      </w:r>
      <w:r w:rsidR="00686861">
        <w:rPr>
          <w:rFonts w:ascii="Open Sans" w:eastAsia="Open Sans" w:hAnsi="Open Sans" w:cs="Open Sans"/>
          <w:sz w:val="20"/>
          <w:szCs w:val="20"/>
        </w:rPr>
        <w:t xml:space="preserve"> are set out</w:t>
      </w:r>
      <w:r w:rsidR="00A71779">
        <w:rPr>
          <w:rFonts w:ascii="Open Sans" w:eastAsia="Open Sans" w:hAnsi="Open Sans" w:cs="Open Sans"/>
          <w:sz w:val="20"/>
          <w:szCs w:val="20"/>
        </w:rPr>
        <w:t xml:space="preserve">. </w:t>
      </w:r>
    </w:p>
    <w:p w14:paraId="53CD9005" w14:textId="13B83FBF" w:rsidR="009423CC" w:rsidRDefault="00686861">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w:t>
      </w:r>
      <w:r w:rsidR="00A71779">
        <w:rPr>
          <w:rFonts w:ascii="Open Sans" w:eastAsia="Open Sans" w:hAnsi="Open Sans" w:cs="Open Sans"/>
          <w:sz w:val="20"/>
          <w:szCs w:val="20"/>
        </w:rPr>
        <w:t xml:space="preserve">e do not think </w:t>
      </w:r>
      <w:r>
        <w:rPr>
          <w:rFonts w:ascii="Open Sans" w:eastAsia="Open Sans" w:hAnsi="Open Sans" w:cs="Open Sans"/>
          <w:sz w:val="20"/>
          <w:szCs w:val="20"/>
        </w:rPr>
        <w:t>Option 2 is appropriate</w:t>
      </w:r>
      <w:r w:rsidR="009423CC">
        <w:rPr>
          <w:rFonts w:ascii="Open Sans" w:eastAsia="Open Sans" w:hAnsi="Open Sans" w:cs="Open Sans"/>
          <w:sz w:val="20"/>
          <w:szCs w:val="20"/>
        </w:rPr>
        <w:t xml:space="preserve"> as setting out</w:t>
      </w:r>
      <w:r w:rsidR="00A71779">
        <w:rPr>
          <w:rFonts w:ascii="Open Sans" w:eastAsia="Open Sans" w:hAnsi="Open Sans" w:cs="Open Sans"/>
          <w:sz w:val="20"/>
          <w:szCs w:val="20"/>
        </w:rPr>
        <w:t xml:space="preserve"> eligible production pathways </w:t>
      </w:r>
      <w:r w:rsidR="009423CC">
        <w:rPr>
          <w:rFonts w:ascii="Open Sans" w:eastAsia="Open Sans" w:hAnsi="Open Sans" w:cs="Open Sans"/>
          <w:sz w:val="20"/>
          <w:szCs w:val="20"/>
        </w:rPr>
        <w:t>will restrict innovation</w:t>
      </w:r>
      <w:r w:rsidR="00A71779">
        <w:rPr>
          <w:rFonts w:ascii="Open Sans" w:eastAsia="Open Sans" w:hAnsi="Open Sans" w:cs="Open Sans"/>
          <w:sz w:val="20"/>
          <w:szCs w:val="20"/>
        </w:rPr>
        <w:t>.</w:t>
      </w:r>
    </w:p>
    <w:p w14:paraId="6D6E8EE0" w14:textId="68D604F9"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key criterion for whether the hydrogen produced is sufficiently low carbon is the Low Carbon Hydrogen Standard (LCHS). Therefore, compliance with the LCHS should be mandatory to access support, whether at the regulation, allocation round, or contract level. If the concept of a standard is no longer needed, it would be an argument to revise the standard, rather than doing away with it altogether.</w:t>
      </w:r>
    </w:p>
    <w:p w14:paraId="456C1E49" w14:textId="284114DF" w:rsidR="000C4A19" w:rsidRDefault="00A7177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As stated in our response to question 12, the LCHS will evolve over time. Therefore, the regulations should refer broadly to the LCHS as amended from time to time. Allocation rounds (and contracts) should refer to a specified version of the LCHS,</w:t>
      </w:r>
      <w:r w:rsidR="0013027E">
        <w:rPr>
          <w:rFonts w:ascii="Open Sans" w:eastAsia="Open Sans" w:hAnsi="Open Sans" w:cs="Open Sans"/>
          <w:sz w:val="20"/>
          <w:szCs w:val="20"/>
        </w:rPr>
        <w:t xml:space="preserve"> </w:t>
      </w:r>
      <w:r>
        <w:rPr>
          <w:rFonts w:ascii="Open Sans" w:eastAsia="Open Sans" w:hAnsi="Open Sans" w:cs="Open Sans"/>
          <w:sz w:val="20"/>
          <w:szCs w:val="20"/>
        </w:rPr>
        <w:t>which should be unchanged between the date of confirming allocation round details and the date of entering into the relevant agreements.</w:t>
      </w:r>
      <w:r w:rsidR="002B76FA" w:rsidRPr="002B76FA">
        <w:rPr>
          <w:rFonts w:ascii="Open Sans" w:eastAsia="Open Sans" w:hAnsi="Open Sans" w:cs="Open Sans"/>
          <w:sz w:val="20"/>
          <w:szCs w:val="20"/>
        </w:rPr>
        <w:t xml:space="preserve"> </w:t>
      </w:r>
      <w:r w:rsidR="002B76FA">
        <w:rPr>
          <w:rFonts w:ascii="Open Sans" w:eastAsia="Open Sans" w:hAnsi="Open Sans" w:cs="Open Sans"/>
          <w:sz w:val="20"/>
          <w:szCs w:val="20"/>
        </w:rPr>
        <w:t xml:space="preserve">Alternatively, amendments to the standard should have clear application dates within the guidance itself. </w:t>
      </w:r>
    </w:p>
    <w:p w14:paraId="5FD2BA8C" w14:textId="77777777" w:rsidR="000C4A19" w:rsidRDefault="000C4A19">
      <w:pPr>
        <w:spacing w:before="120" w:after="120" w:line="240" w:lineRule="auto"/>
        <w:rPr>
          <w:rFonts w:ascii="Open Sans" w:eastAsia="Open Sans" w:hAnsi="Open Sans" w:cs="Open Sans"/>
          <w:sz w:val="20"/>
          <w:szCs w:val="20"/>
        </w:rPr>
      </w:pPr>
    </w:p>
    <w:p w14:paraId="324B7982"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any other approaches to define eligible low carbon hydrogen production pathways which would achieve our policy aims whilst also meeting the Bill definition of a “low carbon hydrogen producer”? Hydrogen production and ICC business model revenue support regulations</w:t>
      </w:r>
    </w:p>
    <w:p w14:paraId="1481323E" w14:textId="2EA01169" w:rsidR="000C4A19" w:rsidRPr="00C9101B" w:rsidRDefault="008B3F4F">
      <w:pPr>
        <w:spacing w:before="120" w:after="120" w:line="240" w:lineRule="auto"/>
        <w:rPr>
          <w:rFonts w:ascii="Open Sans" w:eastAsia="Open Sans" w:hAnsi="Open Sans" w:cs="Open Sans"/>
          <w:sz w:val="20"/>
          <w:szCs w:val="20"/>
        </w:rPr>
      </w:pPr>
      <w:r w:rsidRPr="00C9101B">
        <w:rPr>
          <w:rFonts w:ascii="Open Sans" w:eastAsia="Open Sans" w:hAnsi="Open Sans" w:cs="Open Sans"/>
          <w:sz w:val="20"/>
          <w:szCs w:val="20"/>
        </w:rPr>
        <w:t>REA are not intending to answer this question</w:t>
      </w:r>
      <w:r w:rsidR="00C9101B">
        <w:rPr>
          <w:rFonts w:ascii="Open Sans" w:eastAsia="Open Sans" w:hAnsi="Open Sans" w:cs="Open Sans"/>
          <w:sz w:val="20"/>
          <w:szCs w:val="20"/>
        </w:rPr>
        <w:t>.</w:t>
      </w:r>
    </w:p>
    <w:p w14:paraId="3B7128F9" w14:textId="77777777" w:rsidR="000C4A19" w:rsidRDefault="000C4A19">
      <w:pPr>
        <w:spacing w:before="120" w:after="120" w:line="240" w:lineRule="auto"/>
        <w:rPr>
          <w:rFonts w:ascii="Open Sans" w:eastAsia="Open Sans" w:hAnsi="Open Sans" w:cs="Open Sans"/>
          <w:color w:val="2F5496"/>
          <w:sz w:val="20"/>
          <w:szCs w:val="20"/>
        </w:rPr>
      </w:pPr>
    </w:p>
    <w:p w14:paraId="7F3DB7FD"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lastRenderedPageBreak/>
        <w:t>Do you have any other comments on the proposals for the hydrogen eligibility regulations?</w:t>
      </w:r>
    </w:p>
    <w:p w14:paraId="5289E81B" w14:textId="77777777" w:rsidR="008B3F4F" w:rsidRPr="00C9101B" w:rsidRDefault="008B3F4F" w:rsidP="00401C8C">
      <w:pPr>
        <w:spacing w:before="120" w:after="120" w:line="240" w:lineRule="auto"/>
        <w:rPr>
          <w:rFonts w:ascii="Open Sans" w:eastAsia="Open Sans" w:hAnsi="Open Sans" w:cs="Open Sans"/>
          <w:sz w:val="20"/>
          <w:szCs w:val="20"/>
        </w:rPr>
      </w:pPr>
      <w:r w:rsidRPr="00C9101B">
        <w:rPr>
          <w:rFonts w:ascii="Open Sans" w:eastAsia="Open Sans" w:hAnsi="Open Sans" w:cs="Open Sans"/>
          <w:sz w:val="20"/>
          <w:szCs w:val="20"/>
        </w:rPr>
        <w:t xml:space="preserve">REA are not intending to answer this </w:t>
      </w:r>
      <w:proofErr w:type="gramStart"/>
      <w:r w:rsidRPr="00C9101B">
        <w:rPr>
          <w:rFonts w:ascii="Open Sans" w:eastAsia="Open Sans" w:hAnsi="Open Sans" w:cs="Open Sans"/>
          <w:sz w:val="20"/>
          <w:szCs w:val="20"/>
        </w:rPr>
        <w:t>question</w:t>
      </w:r>
      <w:proofErr w:type="gramEnd"/>
    </w:p>
    <w:p w14:paraId="0DCED339" w14:textId="77777777" w:rsidR="008B3F4F" w:rsidRDefault="008B3F4F" w:rsidP="008B3F4F">
      <w:pPr>
        <w:spacing w:before="120" w:after="120" w:line="240" w:lineRule="auto"/>
        <w:rPr>
          <w:rFonts w:ascii="Open Sans" w:eastAsia="Open Sans" w:hAnsi="Open Sans" w:cs="Open Sans"/>
          <w:b/>
          <w:color w:val="2F5496"/>
          <w:sz w:val="20"/>
          <w:szCs w:val="20"/>
        </w:rPr>
      </w:pPr>
    </w:p>
    <w:p w14:paraId="04FEA651"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proposal to take a technology neutral approach, and not place restrictions within regulations on the types of technologies that may be used by a carbon capture entity to capture carbon dioxide?</w:t>
      </w:r>
    </w:p>
    <w:p w14:paraId="32D0ABC4" w14:textId="0005ACF3" w:rsidR="00401C8C" w:rsidRPr="00C9101B" w:rsidRDefault="00986CC6" w:rsidP="00C9101B">
      <w:pPr>
        <w:spacing w:before="120" w:after="0" w:line="240" w:lineRule="auto"/>
        <w:ind w:left="-142"/>
        <w:rPr>
          <w:rFonts w:ascii="Open Sans" w:eastAsia="Open Sans" w:hAnsi="Open Sans" w:cs="Open Sans"/>
          <w:bCs/>
          <w:sz w:val="20"/>
          <w:szCs w:val="20"/>
        </w:rPr>
      </w:pPr>
      <w:r w:rsidRPr="00C9101B">
        <w:rPr>
          <w:rFonts w:ascii="Open Sans" w:eastAsia="Open Sans" w:hAnsi="Open Sans" w:cs="Open Sans"/>
          <w:bCs/>
          <w:sz w:val="20"/>
          <w:szCs w:val="20"/>
        </w:rPr>
        <w:t>Yes</w:t>
      </w:r>
      <w:r w:rsidR="0088654A" w:rsidRPr="00C9101B">
        <w:rPr>
          <w:rFonts w:ascii="Open Sans" w:eastAsia="Open Sans" w:hAnsi="Open Sans" w:cs="Open Sans"/>
          <w:bCs/>
          <w:sz w:val="20"/>
          <w:szCs w:val="20"/>
        </w:rPr>
        <w:t>. W</w:t>
      </w:r>
      <w:r w:rsidRPr="00C9101B">
        <w:rPr>
          <w:rFonts w:ascii="Open Sans" w:eastAsia="Open Sans" w:hAnsi="Open Sans" w:cs="Open Sans"/>
          <w:bCs/>
          <w:sz w:val="20"/>
          <w:szCs w:val="20"/>
        </w:rPr>
        <w:t xml:space="preserve">e strongly agree </w:t>
      </w:r>
      <w:r w:rsidR="00744477" w:rsidRPr="00C9101B">
        <w:rPr>
          <w:rFonts w:ascii="Open Sans" w:eastAsia="Open Sans" w:hAnsi="Open Sans" w:cs="Open Sans"/>
          <w:bCs/>
          <w:sz w:val="20"/>
          <w:szCs w:val="20"/>
        </w:rPr>
        <w:t xml:space="preserve">with </w:t>
      </w:r>
      <w:r w:rsidR="008741BC" w:rsidRPr="00C9101B">
        <w:rPr>
          <w:rFonts w:ascii="Open Sans" w:eastAsia="Open Sans" w:hAnsi="Open Sans" w:cs="Open Sans"/>
          <w:bCs/>
          <w:sz w:val="20"/>
          <w:szCs w:val="20"/>
        </w:rPr>
        <w:t xml:space="preserve">technology neutral approach. Technologies will continue to </w:t>
      </w:r>
      <w:proofErr w:type="gramStart"/>
      <w:r w:rsidR="008741BC" w:rsidRPr="00C9101B">
        <w:rPr>
          <w:rFonts w:ascii="Open Sans" w:eastAsia="Open Sans" w:hAnsi="Open Sans" w:cs="Open Sans"/>
          <w:bCs/>
          <w:sz w:val="20"/>
          <w:szCs w:val="20"/>
        </w:rPr>
        <w:t>evolve</w:t>
      </w:r>
      <w:r w:rsidR="00440145">
        <w:rPr>
          <w:rFonts w:ascii="Open Sans" w:eastAsia="Open Sans" w:hAnsi="Open Sans" w:cs="Open Sans"/>
          <w:bCs/>
          <w:sz w:val="20"/>
          <w:szCs w:val="20"/>
        </w:rPr>
        <w:t xml:space="preserve"> </w:t>
      </w:r>
      <w:r w:rsidR="008741BC" w:rsidRPr="00C9101B">
        <w:rPr>
          <w:rFonts w:ascii="Open Sans" w:eastAsia="Open Sans" w:hAnsi="Open Sans" w:cs="Open Sans"/>
          <w:bCs/>
          <w:sz w:val="20"/>
          <w:szCs w:val="20"/>
        </w:rPr>
        <w:t xml:space="preserve"> and</w:t>
      </w:r>
      <w:proofErr w:type="gramEnd"/>
      <w:r w:rsidR="00440145">
        <w:rPr>
          <w:rFonts w:ascii="Open Sans" w:eastAsia="Open Sans" w:hAnsi="Open Sans" w:cs="Open Sans"/>
          <w:bCs/>
          <w:sz w:val="20"/>
          <w:szCs w:val="20"/>
        </w:rPr>
        <w:t xml:space="preserve">, </w:t>
      </w:r>
      <w:r w:rsidR="008741BC" w:rsidRPr="00C9101B">
        <w:rPr>
          <w:rFonts w:ascii="Open Sans" w:eastAsia="Open Sans" w:hAnsi="Open Sans" w:cs="Open Sans"/>
          <w:bCs/>
          <w:sz w:val="20"/>
          <w:szCs w:val="20"/>
        </w:rPr>
        <w:t xml:space="preserve">as has already been identified by the 2022 Government Review of Next Generation CCS technologies, different technologies suit different industrial applications. </w:t>
      </w:r>
      <w:r w:rsidR="000A7C3F" w:rsidRPr="00C9101B">
        <w:rPr>
          <w:rFonts w:ascii="Open Sans" w:eastAsia="Open Sans" w:hAnsi="Open Sans" w:cs="Open Sans"/>
          <w:bCs/>
          <w:sz w:val="20"/>
          <w:szCs w:val="20"/>
        </w:rPr>
        <w:t xml:space="preserve">Noting specific technologies in the regulations would restrict innovation and stop the delivery of efficiencies within the sector. </w:t>
      </w:r>
    </w:p>
    <w:p w14:paraId="2CD80213" w14:textId="77777777" w:rsidR="000C4A19" w:rsidRDefault="000C4A19">
      <w:pPr>
        <w:spacing w:before="120" w:after="120" w:line="240" w:lineRule="auto"/>
        <w:rPr>
          <w:rFonts w:ascii="Open Sans" w:eastAsia="Open Sans" w:hAnsi="Open Sans" w:cs="Open Sans"/>
          <w:b/>
          <w:color w:val="2F5496"/>
          <w:sz w:val="20"/>
          <w:szCs w:val="20"/>
        </w:rPr>
      </w:pPr>
    </w:p>
    <w:p w14:paraId="75D451EA"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approach to not limit within regulations the class of person that may be eligible for a revenue support contract?</w:t>
      </w:r>
    </w:p>
    <w:p w14:paraId="6D5774FE" w14:textId="4549225B" w:rsidR="000C4A19" w:rsidRPr="00C60986" w:rsidRDefault="0088654A">
      <w:pPr>
        <w:spacing w:before="120" w:after="120" w:line="240" w:lineRule="auto"/>
        <w:rPr>
          <w:rFonts w:ascii="Open Sans" w:eastAsia="Open Sans" w:hAnsi="Open Sans" w:cs="Open Sans"/>
          <w:bCs/>
          <w:sz w:val="20"/>
          <w:szCs w:val="20"/>
        </w:rPr>
      </w:pPr>
      <w:r w:rsidRPr="00C60986">
        <w:rPr>
          <w:rFonts w:ascii="Open Sans" w:eastAsia="Open Sans" w:hAnsi="Open Sans" w:cs="Open Sans"/>
          <w:bCs/>
          <w:sz w:val="20"/>
          <w:szCs w:val="20"/>
        </w:rPr>
        <w:t xml:space="preserve">Yes. Given the intention to apply the ICC contract to wide range of industrial sectors, </w:t>
      </w:r>
      <w:r w:rsidR="00387780" w:rsidRPr="00C60986">
        <w:rPr>
          <w:rFonts w:ascii="Open Sans" w:eastAsia="Open Sans" w:hAnsi="Open Sans" w:cs="Open Sans"/>
          <w:bCs/>
          <w:sz w:val="20"/>
          <w:szCs w:val="20"/>
        </w:rPr>
        <w:t xml:space="preserve">it is likely it will need to be applied to a variety of </w:t>
      </w:r>
      <w:r w:rsidR="00622D40" w:rsidRPr="00C60986">
        <w:rPr>
          <w:rFonts w:ascii="Open Sans" w:eastAsia="Open Sans" w:hAnsi="Open Sans" w:cs="Open Sans"/>
          <w:bCs/>
          <w:sz w:val="20"/>
          <w:szCs w:val="20"/>
        </w:rPr>
        <w:t>corporate</w:t>
      </w:r>
      <w:r w:rsidRPr="00C60986">
        <w:rPr>
          <w:rFonts w:ascii="Open Sans" w:eastAsia="Open Sans" w:hAnsi="Open Sans" w:cs="Open Sans"/>
          <w:bCs/>
          <w:sz w:val="20"/>
          <w:szCs w:val="20"/>
        </w:rPr>
        <w:t xml:space="preserve"> arrangements</w:t>
      </w:r>
      <w:r w:rsidR="00BB65E8" w:rsidRPr="00C60986">
        <w:rPr>
          <w:rFonts w:ascii="Open Sans" w:eastAsia="Open Sans" w:hAnsi="Open Sans" w:cs="Open Sans"/>
          <w:bCs/>
          <w:sz w:val="20"/>
          <w:szCs w:val="20"/>
        </w:rPr>
        <w:t>. This include</w:t>
      </w:r>
      <w:r w:rsidR="00387780" w:rsidRPr="00C60986">
        <w:rPr>
          <w:rFonts w:ascii="Open Sans" w:eastAsia="Open Sans" w:hAnsi="Open Sans" w:cs="Open Sans"/>
          <w:bCs/>
          <w:sz w:val="20"/>
          <w:szCs w:val="20"/>
        </w:rPr>
        <w:t>s</w:t>
      </w:r>
      <w:r w:rsidR="00BB65E8" w:rsidRPr="00C60986">
        <w:rPr>
          <w:rFonts w:ascii="Open Sans" w:eastAsia="Open Sans" w:hAnsi="Open Sans" w:cs="Open Sans"/>
          <w:bCs/>
          <w:sz w:val="20"/>
          <w:szCs w:val="20"/>
        </w:rPr>
        <w:t xml:space="preserve"> energy from waste sites, which as part of local </w:t>
      </w:r>
      <w:r w:rsidR="00387780" w:rsidRPr="00C60986">
        <w:rPr>
          <w:rFonts w:ascii="Open Sans" w:eastAsia="Open Sans" w:hAnsi="Open Sans" w:cs="Open Sans"/>
          <w:bCs/>
          <w:sz w:val="20"/>
          <w:szCs w:val="20"/>
        </w:rPr>
        <w:t>authorly</w:t>
      </w:r>
      <w:r w:rsidR="00BB65E8" w:rsidRPr="00C60986">
        <w:rPr>
          <w:rFonts w:ascii="Open Sans" w:eastAsia="Open Sans" w:hAnsi="Open Sans" w:cs="Open Sans"/>
          <w:bCs/>
          <w:sz w:val="20"/>
          <w:szCs w:val="20"/>
        </w:rPr>
        <w:t xml:space="preserve"> waste management infrastructure, </w:t>
      </w:r>
      <w:r w:rsidR="00E7550C" w:rsidRPr="00C60986">
        <w:rPr>
          <w:rFonts w:ascii="Open Sans" w:eastAsia="Open Sans" w:hAnsi="Open Sans" w:cs="Open Sans"/>
          <w:bCs/>
          <w:sz w:val="20"/>
          <w:szCs w:val="20"/>
        </w:rPr>
        <w:t>often</w:t>
      </w:r>
      <w:r w:rsidR="00BB65E8" w:rsidRPr="00C60986">
        <w:rPr>
          <w:rFonts w:ascii="Open Sans" w:eastAsia="Open Sans" w:hAnsi="Open Sans" w:cs="Open Sans"/>
          <w:bCs/>
          <w:sz w:val="20"/>
          <w:szCs w:val="20"/>
        </w:rPr>
        <w:t xml:space="preserve"> have </w:t>
      </w:r>
      <w:r w:rsidR="006200D1" w:rsidRPr="00C60986">
        <w:rPr>
          <w:rFonts w:ascii="Open Sans" w:eastAsia="Open Sans" w:hAnsi="Open Sans" w:cs="Open Sans"/>
          <w:bCs/>
          <w:sz w:val="20"/>
          <w:szCs w:val="20"/>
        </w:rPr>
        <w:t>differing ownership models and</w:t>
      </w:r>
      <w:r w:rsidR="00E7550C" w:rsidRPr="00C60986">
        <w:rPr>
          <w:rFonts w:ascii="Open Sans" w:eastAsia="Open Sans" w:hAnsi="Open Sans" w:cs="Open Sans"/>
          <w:bCs/>
          <w:sz w:val="20"/>
          <w:szCs w:val="20"/>
        </w:rPr>
        <w:t xml:space="preserve"> corporate</w:t>
      </w:r>
      <w:r w:rsidR="006200D1" w:rsidRPr="00C60986">
        <w:rPr>
          <w:rFonts w:ascii="Open Sans" w:eastAsia="Open Sans" w:hAnsi="Open Sans" w:cs="Open Sans"/>
          <w:bCs/>
          <w:sz w:val="20"/>
          <w:szCs w:val="20"/>
        </w:rPr>
        <w:t xml:space="preserve"> </w:t>
      </w:r>
      <w:r w:rsidR="00C60986">
        <w:rPr>
          <w:rFonts w:ascii="Open Sans" w:eastAsia="Open Sans" w:hAnsi="Open Sans" w:cs="Open Sans"/>
          <w:bCs/>
          <w:sz w:val="20"/>
          <w:szCs w:val="20"/>
        </w:rPr>
        <w:t>structures</w:t>
      </w:r>
      <w:r w:rsidR="006200D1" w:rsidRPr="00C60986">
        <w:rPr>
          <w:rFonts w:ascii="Open Sans" w:eastAsia="Open Sans" w:hAnsi="Open Sans" w:cs="Open Sans"/>
          <w:bCs/>
          <w:sz w:val="20"/>
          <w:szCs w:val="20"/>
        </w:rPr>
        <w:t xml:space="preserve">. As </w:t>
      </w:r>
      <w:r w:rsidR="009E4470" w:rsidRPr="00C60986">
        <w:rPr>
          <w:rFonts w:ascii="Open Sans" w:eastAsia="Open Sans" w:hAnsi="Open Sans" w:cs="Open Sans"/>
          <w:bCs/>
          <w:sz w:val="20"/>
          <w:szCs w:val="20"/>
        </w:rPr>
        <w:t>such</w:t>
      </w:r>
      <w:r w:rsidR="009E4470">
        <w:rPr>
          <w:rFonts w:ascii="Open Sans" w:eastAsia="Open Sans" w:hAnsi="Open Sans" w:cs="Open Sans"/>
          <w:bCs/>
          <w:sz w:val="20"/>
          <w:szCs w:val="20"/>
        </w:rPr>
        <w:t xml:space="preserve">, </w:t>
      </w:r>
      <w:r w:rsidR="009E4470" w:rsidRPr="00C60986">
        <w:rPr>
          <w:rFonts w:ascii="Open Sans" w:eastAsia="Open Sans" w:hAnsi="Open Sans" w:cs="Open Sans"/>
          <w:bCs/>
          <w:sz w:val="20"/>
          <w:szCs w:val="20"/>
        </w:rPr>
        <w:t>we</w:t>
      </w:r>
      <w:r w:rsidR="006200D1" w:rsidRPr="00C60986">
        <w:rPr>
          <w:rFonts w:ascii="Open Sans" w:eastAsia="Open Sans" w:hAnsi="Open Sans" w:cs="Open Sans"/>
          <w:bCs/>
          <w:sz w:val="20"/>
          <w:szCs w:val="20"/>
        </w:rPr>
        <w:t xml:space="preserve"> are supportive of not limiting the class of person </w:t>
      </w:r>
      <w:r w:rsidR="00387780" w:rsidRPr="00C60986">
        <w:rPr>
          <w:rFonts w:ascii="Open Sans" w:eastAsia="Open Sans" w:hAnsi="Open Sans" w:cs="Open Sans"/>
          <w:bCs/>
          <w:sz w:val="20"/>
          <w:szCs w:val="20"/>
        </w:rPr>
        <w:t>that may be eligible for a revenue support contract.</w:t>
      </w:r>
    </w:p>
    <w:p w14:paraId="6DA0BFE3" w14:textId="0D7D28FF" w:rsidR="000C4A19" w:rsidRDefault="00A71779">
      <w:pPr>
        <w:spacing w:before="120" w:after="120" w:line="240" w:lineRule="auto"/>
        <w:rPr>
          <w:rFonts w:ascii="Open Sans" w:eastAsia="Open Sans" w:hAnsi="Open Sans" w:cs="Open Sans"/>
          <w:sz w:val="20"/>
          <w:szCs w:val="20"/>
        </w:rPr>
      </w:pPr>
      <w:r w:rsidRPr="00C60986">
        <w:rPr>
          <w:rFonts w:ascii="Open Sans" w:eastAsia="Open Sans" w:hAnsi="Open Sans" w:cs="Open Sans"/>
          <w:sz w:val="20"/>
          <w:szCs w:val="20"/>
        </w:rPr>
        <w:t>We</w:t>
      </w:r>
      <w:r w:rsidR="00046B03" w:rsidRPr="00C60986">
        <w:rPr>
          <w:rFonts w:ascii="Open Sans" w:eastAsia="Open Sans" w:hAnsi="Open Sans" w:cs="Open Sans"/>
          <w:sz w:val="20"/>
          <w:szCs w:val="20"/>
        </w:rPr>
        <w:t>,</w:t>
      </w:r>
      <w:r w:rsidRPr="00C60986">
        <w:rPr>
          <w:rFonts w:ascii="Open Sans" w:eastAsia="Open Sans" w:hAnsi="Open Sans" w:cs="Open Sans"/>
          <w:sz w:val="20"/>
          <w:szCs w:val="20"/>
        </w:rPr>
        <w:t xml:space="preserve"> </w:t>
      </w:r>
      <w:r w:rsidR="008F1E04" w:rsidRPr="00C60986">
        <w:rPr>
          <w:rFonts w:ascii="Open Sans" w:eastAsia="Open Sans" w:hAnsi="Open Sans" w:cs="Open Sans"/>
          <w:sz w:val="20"/>
          <w:szCs w:val="20"/>
        </w:rPr>
        <w:t>however</w:t>
      </w:r>
      <w:r w:rsidR="00046B03" w:rsidRPr="00C60986">
        <w:rPr>
          <w:rFonts w:ascii="Open Sans" w:eastAsia="Open Sans" w:hAnsi="Open Sans" w:cs="Open Sans"/>
          <w:sz w:val="20"/>
          <w:szCs w:val="20"/>
        </w:rPr>
        <w:t xml:space="preserve">, </w:t>
      </w:r>
      <w:r w:rsidR="008F1E04" w:rsidRPr="00C60986">
        <w:rPr>
          <w:rFonts w:ascii="Open Sans" w:eastAsia="Open Sans" w:hAnsi="Open Sans" w:cs="Open Sans"/>
          <w:sz w:val="20"/>
          <w:szCs w:val="20"/>
        </w:rPr>
        <w:t>recognise that it is likely suitable that</w:t>
      </w:r>
      <w:r w:rsidR="00046B03" w:rsidRPr="00C60986">
        <w:rPr>
          <w:rFonts w:ascii="Open Sans" w:eastAsia="Open Sans" w:hAnsi="Open Sans" w:cs="Open Sans"/>
          <w:sz w:val="20"/>
          <w:szCs w:val="20"/>
        </w:rPr>
        <w:t xml:space="preserve"> those receiving support should</w:t>
      </w:r>
      <w:r w:rsidR="00E56990" w:rsidRPr="00C60986">
        <w:rPr>
          <w:rFonts w:ascii="Open Sans" w:eastAsia="Open Sans" w:hAnsi="Open Sans" w:cs="Open Sans"/>
          <w:sz w:val="20"/>
          <w:szCs w:val="20"/>
        </w:rPr>
        <w:t xml:space="preserve"> </w:t>
      </w:r>
      <w:r w:rsidR="009E4470">
        <w:rPr>
          <w:rFonts w:ascii="Open Sans" w:eastAsia="Open Sans" w:hAnsi="Open Sans" w:cs="Open Sans"/>
          <w:sz w:val="20"/>
          <w:szCs w:val="20"/>
        </w:rPr>
        <w:t xml:space="preserve">be </w:t>
      </w:r>
      <w:r w:rsidR="00E56990" w:rsidRPr="00C60986">
        <w:rPr>
          <w:rFonts w:ascii="Open Sans" w:eastAsia="Open Sans" w:hAnsi="Open Sans" w:cs="Open Sans"/>
          <w:sz w:val="20"/>
          <w:szCs w:val="20"/>
        </w:rPr>
        <w:t xml:space="preserve">UK </w:t>
      </w:r>
      <w:r w:rsidR="00BE6648" w:rsidRPr="00C60986">
        <w:rPr>
          <w:rFonts w:ascii="Open Sans" w:eastAsia="Open Sans" w:hAnsi="Open Sans" w:cs="Open Sans"/>
          <w:sz w:val="20"/>
          <w:szCs w:val="20"/>
        </w:rPr>
        <w:t>based projects</w:t>
      </w:r>
      <w:r w:rsidR="00E56990" w:rsidRPr="00C60986">
        <w:rPr>
          <w:rFonts w:ascii="Open Sans" w:eastAsia="Open Sans" w:hAnsi="Open Sans" w:cs="Open Sans"/>
          <w:sz w:val="20"/>
          <w:szCs w:val="20"/>
        </w:rPr>
        <w:t xml:space="preserve"> and be part of UK Limited company, given the use of </w:t>
      </w:r>
      <w:r w:rsidR="009E4470" w:rsidRPr="00C60986">
        <w:rPr>
          <w:rFonts w:ascii="Open Sans" w:eastAsia="Open Sans" w:hAnsi="Open Sans" w:cs="Open Sans"/>
          <w:sz w:val="20"/>
          <w:szCs w:val="20"/>
        </w:rPr>
        <w:t>taxpayer’s</w:t>
      </w:r>
      <w:r w:rsidR="00E56990" w:rsidRPr="00C60986">
        <w:rPr>
          <w:rFonts w:ascii="Open Sans" w:eastAsia="Open Sans" w:hAnsi="Open Sans" w:cs="Open Sans"/>
          <w:sz w:val="20"/>
          <w:szCs w:val="20"/>
        </w:rPr>
        <w:t xml:space="preserve"> money. </w:t>
      </w:r>
      <w:r w:rsidR="00BE6648" w:rsidRPr="00C60986">
        <w:rPr>
          <w:rFonts w:ascii="Open Sans" w:eastAsia="Open Sans" w:hAnsi="Open Sans" w:cs="Open Sans"/>
          <w:sz w:val="20"/>
          <w:szCs w:val="20"/>
        </w:rPr>
        <w:t xml:space="preserve">This would be consistent with the approach taken in other policies and would help support wider stakeholder and public transparency and confidence in the policy. </w:t>
      </w:r>
    </w:p>
    <w:p w14:paraId="5F246AB5" w14:textId="77777777" w:rsidR="009E4470" w:rsidRDefault="009E4470">
      <w:pPr>
        <w:spacing w:before="120" w:after="120" w:line="240" w:lineRule="auto"/>
        <w:rPr>
          <w:rFonts w:ascii="Open Sans" w:eastAsia="Open Sans" w:hAnsi="Open Sans" w:cs="Open Sans"/>
          <w:b/>
          <w:color w:val="2F5496"/>
          <w:sz w:val="20"/>
          <w:szCs w:val="20"/>
        </w:rPr>
      </w:pPr>
    </w:p>
    <w:p w14:paraId="4AEE5F33"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We have proposed to exclude from eligibility entities that capture carbon dioxide which have been produced from a power generation facility that is solely connected to the transmission or distribution network (exempting CHP and EfW facilities). Do you agree with this proposed approach?</w:t>
      </w:r>
    </w:p>
    <w:p w14:paraId="4939592E" w14:textId="77777777" w:rsidR="003F2CDC" w:rsidRDefault="003F2CDC">
      <w:pPr>
        <w:spacing w:before="120" w:after="120" w:line="240" w:lineRule="auto"/>
        <w:rPr>
          <w:rFonts w:ascii="Open Sans" w:eastAsia="Open Sans" w:hAnsi="Open Sans" w:cs="Open Sans"/>
          <w:sz w:val="20"/>
          <w:szCs w:val="20"/>
        </w:rPr>
      </w:pPr>
    </w:p>
    <w:p w14:paraId="79914A75" w14:textId="4FD0CFBC" w:rsidR="00F112FF" w:rsidRDefault="003F2CD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We recognise the need to focus the ICC Contract on industrial processes </w:t>
      </w:r>
      <w:r w:rsidR="00720F5E">
        <w:rPr>
          <w:rFonts w:ascii="Open Sans" w:eastAsia="Open Sans" w:hAnsi="Open Sans" w:cs="Open Sans"/>
          <w:sz w:val="20"/>
          <w:szCs w:val="20"/>
        </w:rPr>
        <w:t xml:space="preserve">and that other </w:t>
      </w:r>
      <w:r w:rsidR="00311BEC">
        <w:rPr>
          <w:rFonts w:ascii="Open Sans" w:eastAsia="Open Sans" w:hAnsi="Open Sans" w:cs="Open Sans"/>
          <w:sz w:val="20"/>
          <w:szCs w:val="20"/>
        </w:rPr>
        <w:t>g</w:t>
      </w:r>
      <w:r w:rsidR="00DC47BC">
        <w:rPr>
          <w:rFonts w:ascii="Open Sans" w:eastAsia="Open Sans" w:hAnsi="Open Sans" w:cs="Open Sans"/>
          <w:sz w:val="20"/>
          <w:szCs w:val="20"/>
        </w:rPr>
        <w:t>reenhouse</w:t>
      </w:r>
      <w:r w:rsidR="009E29E1">
        <w:rPr>
          <w:rFonts w:ascii="Open Sans" w:eastAsia="Open Sans" w:hAnsi="Open Sans" w:cs="Open Sans"/>
          <w:sz w:val="20"/>
          <w:szCs w:val="20"/>
        </w:rPr>
        <w:t xml:space="preserve"> gas removal contracts, such as the Power BECCS</w:t>
      </w:r>
      <w:r w:rsidR="00BB2AD0">
        <w:rPr>
          <w:rFonts w:ascii="Open Sans" w:eastAsia="Open Sans" w:hAnsi="Open Sans" w:cs="Open Sans"/>
          <w:sz w:val="20"/>
          <w:szCs w:val="20"/>
        </w:rPr>
        <w:t xml:space="preserve">, DPA </w:t>
      </w:r>
      <w:r w:rsidR="009E29E1">
        <w:rPr>
          <w:rFonts w:ascii="Open Sans" w:eastAsia="Open Sans" w:hAnsi="Open Sans" w:cs="Open Sans"/>
          <w:sz w:val="20"/>
          <w:szCs w:val="20"/>
        </w:rPr>
        <w:t>and GGR business model are meant to be available to support</w:t>
      </w:r>
      <w:r w:rsidR="002012BF">
        <w:rPr>
          <w:rFonts w:ascii="Open Sans" w:eastAsia="Open Sans" w:hAnsi="Open Sans" w:cs="Open Sans"/>
          <w:sz w:val="20"/>
          <w:szCs w:val="20"/>
        </w:rPr>
        <w:t xml:space="preserve"> CCS</w:t>
      </w:r>
      <w:r w:rsidR="009E29E1">
        <w:rPr>
          <w:rFonts w:ascii="Open Sans" w:eastAsia="Open Sans" w:hAnsi="Open Sans" w:cs="Open Sans"/>
          <w:sz w:val="20"/>
          <w:szCs w:val="20"/>
        </w:rPr>
        <w:t xml:space="preserve"> </w:t>
      </w:r>
      <w:r w:rsidR="00BB2AD0">
        <w:rPr>
          <w:rFonts w:ascii="Open Sans" w:eastAsia="Open Sans" w:hAnsi="Open Sans" w:cs="Open Sans"/>
          <w:sz w:val="20"/>
          <w:szCs w:val="20"/>
        </w:rPr>
        <w:t>projects connected to the transmission and distribution network</w:t>
      </w:r>
      <w:r w:rsidR="009E29E1">
        <w:rPr>
          <w:rFonts w:ascii="Open Sans" w:eastAsia="Open Sans" w:hAnsi="Open Sans" w:cs="Open Sans"/>
          <w:sz w:val="20"/>
          <w:szCs w:val="20"/>
        </w:rPr>
        <w:t>.</w:t>
      </w:r>
      <w:r w:rsidR="002012BF">
        <w:rPr>
          <w:rFonts w:ascii="Open Sans" w:eastAsia="Open Sans" w:hAnsi="Open Sans" w:cs="Open Sans"/>
          <w:sz w:val="20"/>
          <w:szCs w:val="20"/>
        </w:rPr>
        <w:t xml:space="preserve"> W</w:t>
      </w:r>
      <w:r w:rsidR="009E29E1">
        <w:rPr>
          <w:rFonts w:ascii="Open Sans" w:eastAsia="Open Sans" w:hAnsi="Open Sans" w:cs="Open Sans"/>
          <w:sz w:val="20"/>
          <w:szCs w:val="20"/>
        </w:rPr>
        <w:t xml:space="preserve">e are </w:t>
      </w:r>
      <w:r w:rsidR="00F24A61">
        <w:rPr>
          <w:rFonts w:ascii="Open Sans" w:eastAsia="Open Sans" w:hAnsi="Open Sans" w:cs="Open Sans"/>
          <w:sz w:val="20"/>
          <w:szCs w:val="20"/>
        </w:rPr>
        <w:t xml:space="preserve">also supportive of, and see as essential, the intention to still ensure that CHP plants and </w:t>
      </w:r>
      <w:r w:rsidR="005E0AFE">
        <w:rPr>
          <w:rFonts w:ascii="Open Sans" w:eastAsia="Open Sans" w:hAnsi="Open Sans" w:cs="Open Sans"/>
          <w:sz w:val="20"/>
          <w:szCs w:val="20"/>
        </w:rPr>
        <w:t xml:space="preserve">EfW Plants should still be eligible </w:t>
      </w:r>
      <w:r w:rsidR="00DC47BC">
        <w:rPr>
          <w:rFonts w:ascii="Open Sans" w:eastAsia="Open Sans" w:hAnsi="Open Sans" w:cs="Open Sans"/>
          <w:sz w:val="20"/>
          <w:szCs w:val="20"/>
        </w:rPr>
        <w:t xml:space="preserve">regardless of </w:t>
      </w:r>
      <w:r w:rsidR="003D4CDE">
        <w:rPr>
          <w:rFonts w:ascii="Open Sans" w:eastAsia="Open Sans" w:hAnsi="Open Sans" w:cs="Open Sans"/>
          <w:sz w:val="20"/>
          <w:szCs w:val="20"/>
        </w:rPr>
        <w:t>if they a</w:t>
      </w:r>
      <w:r w:rsidR="00294424">
        <w:rPr>
          <w:rFonts w:ascii="Open Sans" w:eastAsia="Open Sans" w:hAnsi="Open Sans" w:cs="Open Sans"/>
          <w:sz w:val="20"/>
          <w:szCs w:val="20"/>
        </w:rPr>
        <w:t>re</w:t>
      </w:r>
      <w:r w:rsidR="003D4CDE">
        <w:rPr>
          <w:rFonts w:ascii="Open Sans" w:eastAsia="Open Sans" w:hAnsi="Open Sans" w:cs="Open Sans"/>
          <w:sz w:val="20"/>
          <w:szCs w:val="20"/>
        </w:rPr>
        <w:t xml:space="preserve"> connected solely to the electricity transmission or distribution network. </w:t>
      </w:r>
    </w:p>
    <w:p w14:paraId="1389BD68" w14:textId="6D484015" w:rsidR="003D4CDE" w:rsidRDefault="009E4D8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note that the </w:t>
      </w:r>
      <w:r w:rsidR="00FA4B15">
        <w:rPr>
          <w:rFonts w:ascii="Open Sans" w:eastAsia="Open Sans" w:hAnsi="Open Sans" w:cs="Open Sans"/>
          <w:sz w:val="20"/>
          <w:szCs w:val="20"/>
        </w:rPr>
        <w:t xml:space="preserve">inclusion of energy from waste sites should also include biomass power sites utilising waste wood feedstocks, recognising that this itself is an industrial waste management process and should also be eligible for the ICC. </w:t>
      </w:r>
      <w:r w:rsidR="00066660" w:rsidRPr="00B679D1">
        <w:rPr>
          <w:rFonts w:ascii="Open Sans" w:hAnsi="Open Sans" w:cs="Open Sans"/>
          <w:sz w:val="20"/>
          <w:szCs w:val="20"/>
        </w:rPr>
        <w:t>Waste wood arises from the construction sector or civic amenity waste sites providing a valuable waste processing service along with power generation. Use of waste wood capacity sees three million tonnes of waste wood diverted from landfill annually</w:t>
      </w:r>
      <w:r w:rsidR="006222B0">
        <w:rPr>
          <w:rFonts w:ascii="Open Sans" w:hAnsi="Open Sans" w:cs="Open Sans"/>
          <w:sz w:val="20"/>
          <w:szCs w:val="20"/>
        </w:rPr>
        <w:t xml:space="preserve">. </w:t>
      </w:r>
      <w:r w:rsidR="009912BC">
        <w:rPr>
          <w:rFonts w:ascii="Open Sans" w:eastAsia="Open Sans" w:hAnsi="Open Sans" w:cs="Open Sans"/>
          <w:sz w:val="20"/>
          <w:szCs w:val="20"/>
        </w:rPr>
        <w:t xml:space="preserve">We believe that the proposed definitions will allow for such sites to be included and this should be clearly reflected in any relevant guidance. </w:t>
      </w:r>
    </w:p>
    <w:p w14:paraId="21B0D4C4" w14:textId="251646FC" w:rsidR="00263466" w:rsidRDefault="00FA4B15">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 xml:space="preserve">Finally, we </w:t>
      </w:r>
      <w:r w:rsidR="00F8222E">
        <w:rPr>
          <w:rFonts w:ascii="Open Sans" w:eastAsia="Open Sans" w:hAnsi="Open Sans" w:cs="Open Sans"/>
          <w:sz w:val="20"/>
          <w:szCs w:val="20"/>
        </w:rPr>
        <w:t>note the inten</w:t>
      </w:r>
      <w:r w:rsidR="00CC36C4">
        <w:rPr>
          <w:rFonts w:ascii="Open Sans" w:eastAsia="Open Sans" w:hAnsi="Open Sans" w:cs="Open Sans"/>
          <w:sz w:val="20"/>
          <w:szCs w:val="20"/>
        </w:rPr>
        <w:t>tion</w:t>
      </w:r>
      <w:r w:rsidR="00211708">
        <w:rPr>
          <w:rFonts w:ascii="Open Sans" w:eastAsia="Open Sans" w:hAnsi="Open Sans" w:cs="Open Sans"/>
          <w:sz w:val="20"/>
          <w:szCs w:val="20"/>
        </w:rPr>
        <w:t xml:space="preserve"> to</w:t>
      </w:r>
      <w:r w:rsidR="00F8222E">
        <w:rPr>
          <w:rFonts w:ascii="Open Sans" w:eastAsia="Open Sans" w:hAnsi="Open Sans" w:cs="Open Sans"/>
          <w:sz w:val="20"/>
          <w:szCs w:val="20"/>
        </w:rPr>
        <w:t xml:space="preserve"> change to the</w:t>
      </w:r>
      <w:r w:rsidR="00AE3823">
        <w:rPr>
          <w:rFonts w:ascii="Open Sans" w:eastAsia="Open Sans" w:hAnsi="Open Sans" w:cs="Open Sans"/>
          <w:sz w:val="20"/>
          <w:szCs w:val="20"/>
        </w:rPr>
        <w:t xml:space="preserve"> </w:t>
      </w:r>
      <w:r w:rsidR="00406E4D">
        <w:rPr>
          <w:rFonts w:ascii="Open Sans" w:eastAsia="Open Sans" w:hAnsi="Open Sans" w:cs="Open Sans"/>
          <w:sz w:val="20"/>
          <w:szCs w:val="20"/>
        </w:rPr>
        <w:t>definition</w:t>
      </w:r>
      <w:r w:rsidR="00214708">
        <w:rPr>
          <w:rFonts w:ascii="Open Sans" w:eastAsia="Open Sans" w:hAnsi="Open Sans" w:cs="Open Sans"/>
          <w:sz w:val="20"/>
          <w:szCs w:val="20"/>
        </w:rPr>
        <w:t xml:space="preserve"> around “accredited CHP station” and suggest that DES NZ should still ensure that supported CHP sites are </w:t>
      </w:r>
      <w:r w:rsidR="00D14740">
        <w:rPr>
          <w:rFonts w:ascii="Open Sans" w:eastAsia="Open Sans" w:hAnsi="Open Sans" w:cs="Open Sans"/>
          <w:sz w:val="20"/>
          <w:szCs w:val="20"/>
        </w:rPr>
        <w:t xml:space="preserve">CHP Quality Assurance (CHP QA) compliant </w:t>
      </w:r>
      <w:proofErr w:type="gramStart"/>
      <w:r w:rsidR="00D14740">
        <w:rPr>
          <w:rFonts w:ascii="Open Sans" w:eastAsia="Open Sans" w:hAnsi="Open Sans" w:cs="Open Sans"/>
          <w:sz w:val="20"/>
          <w:szCs w:val="20"/>
        </w:rPr>
        <w:t>in order to</w:t>
      </w:r>
      <w:proofErr w:type="gramEnd"/>
      <w:r w:rsidR="00D14740">
        <w:rPr>
          <w:rFonts w:ascii="Open Sans" w:eastAsia="Open Sans" w:hAnsi="Open Sans" w:cs="Open Sans"/>
          <w:sz w:val="20"/>
          <w:szCs w:val="20"/>
        </w:rPr>
        <w:t xml:space="preserve"> receive support. </w:t>
      </w:r>
      <w:r>
        <w:rPr>
          <w:rFonts w:ascii="Open Sans" w:eastAsia="Open Sans" w:hAnsi="Open Sans" w:cs="Open Sans"/>
          <w:sz w:val="20"/>
          <w:szCs w:val="20"/>
        </w:rPr>
        <w:t xml:space="preserve"> </w:t>
      </w:r>
    </w:p>
    <w:p w14:paraId="498BA8A0"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In drafting the regulations, we propose to define a generating station, a combined heat and power generating station and an energy from waste with CHP station, based upon similar definitions laid out in the Contracts for Difference regulations. Do you have any comments on this approach?</w:t>
      </w:r>
    </w:p>
    <w:p w14:paraId="2C23536D" w14:textId="77777777" w:rsidR="00263466" w:rsidRDefault="00406E4D" w:rsidP="00AF1059">
      <w:pPr>
        <w:spacing w:after="0" w:line="240" w:lineRule="auto"/>
        <w:rPr>
          <w:rFonts w:ascii="Open Sans" w:eastAsia="Open Sans" w:hAnsi="Open Sans" w:cs="Open Sans"/>
          <w:bCs/>
          <w:sz w:val="20"/>
          <w:szCs w:val="20"/>
        </w:rPr>
      </w:pPr>
      <w:r w:rsidRPr="00406E4D">
        <w:rPr>
          <w:rFonts w:ascii="Open Sans" w:eastAsia="Open Sans" w:hAnsi="Open Sans" w:cs="Open Sans"/>
          <w:bCs/>
          <w:sz w:val="20"/>
          <w:szCs w:val="20"/>
        </w:rPr>
        <w:t>Overall</w:t>
      </w:r>
      <w:r>
        <w:rPr>
          <w:rFonts w:ascii="Open Sans" w:eastAsia="Open Sans" w:hAnsi="Open Sans" w:cs="Open Sans"/>
          <w:bCs/>
          <w:sz w:val="20"/>
          <w:szCs w:val="20"/>
        </w:rPr>
        <w:t xml:space="preserve">, we are supportive of utilising the </w:t>
      </w:r>
      <w:r w:rsidR="00B271F2">
        <w:rPr>
          <w:rFonts w:ascii="Open Sans" w:eastAsia="Open Sans" w:hAnsi="Open Sans" w:cs="Open Sans"/>
          <w:bCs/>
          <w:sz w:val="20"/>
          <w:szCs w:val="20"/>
        </w:rPr>
        <w:t xml:space="preserve">CfD definitions, creating consistency between schemes. </w:t>
      </w:r>
    </w:p>
    <w:p w14:paraId="6FACBB46" w14:textId="77777777" w:rsidR="00263466" w:rsidRDefault="00263466" w:rsidP="00AF1059">
      <w:pPr>
        <w:spacing w:after="0" w:line="240" w:lineRule="auto"/>
        <w:rPr>
          <w:rFonts w:ascii="Open Sans" w:eastAsia="Open Sans" w:hAnsi="Open Sans" w:cs="Open Sans"/>
          <w:bCs/>
          <w:sz w:val="20"/>
          <w:szCs w:val="20"/>
        </w:rPr>
      </w:pPr>
    </w:p>
    <w:p w14:paraId="0DD0CC4F" w14:textId="62444234" w:rsidR="000C4A19" w:rsidRDefault="00483989" w:rsidP="00AF1059">
      <w:pPr>
        <w:spacing w:after="0" w:line="240" w:lineRule="auto"/>
        <w:rPr>
          <w:rFonts w:ascii="Open Sans" w:eastAsia="Open Sans" w:hAnsi="Open Sans" w:cs="Open Sans"/>
          <w:bCs/>
          <w:sz w:val="20"/>
          <w:szCs w:val="20"/>
        </w:rPr>
      </w:pPr>
      <w:r>
        <w:rPr>
          <w:rFonts w:ascii="Open Sans" w:eastAsia="Open Sans" w:hAnsi="Open Sans" w:cs="Open Sans"/>
          <w:bCs/>
          <w:sz w:val="20"/>
          <w:szCs w:val="20"/>
        </w:rPr>
        <w:t>However,</w:t>
      </w:r>
      <w:r w:rsidR="00B271F2">
        <w:rPr>
          <w:rFonts w:ascii="Open Sans" w:eastAsia="Open Sans" w:hAnsi="Open Sans" w:cs="Open Sans"/>
          <w:bCs/>
          <w:sz w:val="20"/>
          <w:szCs w:val="20"/>
        </w:rPr>
        <w:t xml:space="preserve"> raise the following points in the drafting:</w:t>
      </w:r>
    </w:p>
    <w:p w14:paraId="41A91D17" w14:textId="62C9ECB5" w:rsidR="00B271F2" w:rsidRDefault="0065758F" w:rsidP="00B271F2">
      <w:pPr>
        <w:pStyle w:val="ListParagraph"/>
        <w:numPr>
          <w:ilvl w:val="0"/>
          <w:numId w:val="3"/>
        </w:numPr>
        <w:spacing w:before="120" w:after="120" w:line="240" w:lineRule="auto"/>
        <w:rPr>
          <w:rFonts w:ascii="Open Sans" w:eastAsia="Open Sans" w:hAnsi="Open Sans" w:cs="Open Sans"/>
          <w:bCs/>
          <w:sz w:val="20"/>
          <w:szCs w:val="20"/>
        </w:rPr>
      </w:pPr>
      <w:r>
        <w:rPr>
          <w:rFonts w:ascii="Open Sans" w:eastAsia="Open Sans" w:hAnsi="Open Sans" w:cs="Open Sans"/>
          <w:bCs/>
          <w:sz w:val="20"/>
          <w:szCs w:val="20"/>
        </w:rPr>
        <w:t xml:space="preserve">We believe the current </w:t>
      </w:r>
      <w:r w:rsidR="004220D9">
        <w:rPr>
          <w:rFonts w:ascii="Open Sans" w:eastAsia="Open Sans" w:hAnsi="Open Sans" w:cs="Open Sans"/>
          <w:bCs/>
          <w:sz w:val="20"/>
          <w:szCs w:val="20"/>
        </w:rPr>
        <w:t>definition</w:t>
      </w:r>
      <w:r>
        <w:rPr>
          <w:rFonts w:ascii="Open Sans" w:eastAsia="Open Sans" w:hAnsi="Open Sans" w:cs="Open Sans"/>
          <w:bCs/>
          <w:sz w:val="20"/>
          <w:szCs w:val="20"/>
        </w:rPr>
        <w:t xml:space="preserve"> </w:t>
      </w:r>
      <w:r w:rsidR="00A26FD5">
        <w:rPr>
          <w:rFonts w:ascii="Open Sans" w:eastAsia="Open Sans" w:hAnsi="Open Sans" w:cs="Open Sans"/>
          <w:bCs/>
          <w:sz w:val="20"/>
          <w:szCs w:val="20"/>
        </w:rPr>
        <w:t xml:space="preserve">does allow for </w:t>
      </w:r>
      <w:r w:rsidR="004220D9">
        <w:rPr>
          <w:rFonts w:ascii="Open Sans" w:eastAsia="Open Sans" w:hAnsi="Open Sans" w:cs="Open Sans"/>
          <w:bCs/>
          <w:sz w:val="20"/>
          <w:szCs w:val="20"/>
        </w:rPr>
        <w:t xml:space="preserve">sites using waste wood to also be covered by the ICC contract. This is to be supported and should be reflected in relevant guidance. </w:t>
      </w:r>
    </w:p>
    <w:p w14:paraId="79A9FE7E" w14:textId="227BBB12" w:rsidR="004220D9" w:rsidRDefault="004220D9" w:rsidP="00B271F2">
      <w:pPr>
        <w:pStyle w:val="ListParagraph"/>
        <w:numPr>
          <w:ilvl w:val="0"/>
          <w:numId w:val="3"/>
        </w:numPr>
        <w:spacing w:before="120" w:after="120" w:line="240" w:lineRule="auto"/>
        <w:rPr>
          <w:rFonts w:ascii="Open Sans" w:eastAsia="Open Sans" w:hAnsi="Open Sans" w:cs="Open Sans"/>
          <w:bCs/>
          <w:sz w:val="20"/>
          <w:szCs w:val="20"/>
        </w:rPr>
      </w:pPr>
      <w:r>
        <w:rPr>
          <w:rFonts w:ascii="Open Sans" w:eastAsia="Open Sans" w:hAnsi="Open Sans" w:cs="Open Sans"/>
          <w:bCs/>
          <w:sz w:val="20"/>
          <w:szCs w:val="20"/>
        </w:rPr>
        <w:t xml:space="preserve">We question why </w:t>
      </w:r>
      <w:r w:rsidR="00F6701B">
        <w:rPr>
          <w:rFonts w:ascii="Open Sans" w:eastAsia="Open Sans" w:hAnsi="Open Sans" w:cs="Open Sans"/>
          <w:bCs/>
          <w:sz w:val="20"/>
          <w:szCs w:val="20"/>
        </w:rPr>
        <w:t>DES NZ wishe</w:t>
      </w:r>
      <w:r w:rsidR="00483989">
        <w:rPr>
          <w:rFonts w:ascii="Open Sans" w:eastAsia="Open Sans" w:hAnsi="Open Sans" w:cs="Open Sans"/>
          <w:bCs/>
          <w:sz w:val="20"/>
          <w:szCs w:val="20"/>
        </w:rPr>
        <w:t>s</w:t>
      </w:r>
      <w:r w:rsidR="00F6701B">
        <w:rPr>
          <w:rFonts w:ascii="Open Sans" w:eastAsia="Open Sans" w:hAnsi="Open Sans" w:cs="Open Sans"/>
          <w:bCs/>
          <w:sz w:val="20"/>
          <w:szCs w:val="20"/>
        </w:rPr>
        <w:t xml:space="preserve"> to remove the phrase “accredited CHP </w:t>
      </w:r>
      <w:r w:rsidR="00263466">
        <w:rPr>
          <w:rFonts w:ascii="Open Sans" w:eastAsia="Open Sans" w:hAnsi="Open Sans" w:cs="Open Sans"/>
          <w:bCs/>
          <w:sz w:val="20"/>
          <w:szCs w:val="20"/>
        </w:rPr>
        <w:t>station” -</w:t>
      </w:r>
      <w:r w:rsidR="00F6701B">
        <w:rPr>
          <w:rFonts w:ascii="Open Sans" w:eastAsia="Open Sans" w:hAnsi="Open Sans" w:cs="Open Sans"/>
          <w:bCs/>
          <w:sz w:val="20"/>
          <w:szCs w:val="20"/>
        </w:rPr>
        <w:t xml:space="preserve"> we suggest that supported CHP sites should continue to be CHP Quality Assurance (CHP QA) compliant. </w:t>
      </w:r>
    </w:p>
    <w:p w14:paraId="3391677D" w14:textId="77777777" w:rsidR="00406E4D" w:rsidRDefault="00406E4D" w:rsidP="00406E4D">
      <w:pPr>
        <w:spacing w:before="120" w:after="120" w:line="240" w:lineRule="auto"/>
        <w:rPr>
          <w:rFonts w:ascii="Open Sans" w:eastAsia="Open Sans" w:hAnsi="Open Sans" w:cs="Open Sans"/>
          <w:b/>
          <w:color w:val="2F5496"/>
          <w:sz w:val="20"/>
          <w:szCs w:val="20"/>
        </w:rPr>
      </w:pPr>
    </w:p>
    <w:p w14:paraId="1E3A9F6F"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approach to exclude from eligibility a carbon capture entity which is, without already being party to a revenue support contract, capturing carbon dioxide with a view to its permanent geological storage through an existing or operational CCUS plant?</w:t>
      </w:r>
    </w:p>
    <w:p w14:paraId="4D781F23" w14:textId="10E74915" w:rsidR="004B2BED" w:rsidRPr="00412699" w:rsidRDefault="001E124A" w:rsidP="001E124A">
      <w:pPr>
        <w:spacing w:before="120" w:after="120" w:line="240" w:lineRule="auto"/>
        <w:rPr>
          <w:rFonts w:ascii="Open Sans" w:eastAsia="Open Sans" w:hAnsi="Open Sans" w:cs="Open Sans"/>
          <w:bCs/>
          <w:sz w:val="20"/>
          <w:szCs w:val="20"/>
        </w:rPr>
      </w:pPr>
      <w:r w:rsidRPr="00412699">
        <w:rPr>
          <w:rFonts w:ascii="Open Sans" w:eastAsia="Open Sans" w:hAnsi="Open Sans" w:cs="Open Sans"/>
          <w:bCs/>
          <w:sz w:val="20"/>
          <w:szCs w:val="20"/>
        </w:rPr>
        <w:t xml:space="preserve">Yes. We </w:t>
      </w:r>
      <w:r w:rsidR="00412699" w:rsidRPr="00412699">
        <w:rPr>
          <w:rFonts w:ascii="Open Sans" w:eastAsia="Open Sans" w:hAnsi="Open Sans" w:cs="Open Sans"/>
          <w:bCs/>
          <w:sz w:val="20"/>
          <w:szCs w:val="20"/>
        </w:rPr>
        <w:t>agree</w:t>
      </w:r>
      <w:r w:rsidR="005B5AED" w:rsidRPr="00412699">
        <w:rPr>
          <w:rFonts w:ascii="Open Sans" w:eastAsia="Open Sans" w:hAnsi="Open Sans" w:cs="Open Sans"/>
          <w:bCs/>
          <w:sz w:val="20"/>
          <w:szCs w:val="20"/>
        </w:rPr>
        <w:t xml:space="preserve"> that support should be </w:t>
      </w:r>
      <w:r w:rsidRPr="00412699">
        <w:rPr>
          <w:rFonts w:ascii="Open Sans" w:eastAsia="Open Sans" w:hAnsi="Open Sans" w:cs="Open Sans"/>
          <w:bCs/>
          <w:sz w:val="20"/>
          <w:szCs w:val="20"/>
        </w:rPr>
        <w:t xml:space="preserve">targeted at new carbon capture and storage activities. We are also supportive of </w:t>
      </w:r>
      <w:r w:rsidR="00254695" w:rsidRPr="00412699">
        <w:rPr>
          <w:rFonts w:ascii="Open Sans" w:eastAsia="Open Sans" w:hAnsi="Open Sans" w:cs="Open Sans"/>
          <w:bCs/>
          <w:sz w:val="20"/>
          <w:szCs w:val="20"/>
        </w:rPr>
        <w:t xml:space="preserve">the intention to keep eligible existing </w:t>
      </w:r>
      <w:r w:rsidR="005B5AED" w:rsidRPr="00412699">
        <w:rPr>
          <w:rFonts w:ascii="Open Sans" w:eastAsia="Open Sans" w:hAnsi="Open Sans" w:cs="Open Sans"/>
          <w:bCs/>
          <w:sz w:val="20"/>
          <w:szCs w:val="20"/>
        </w:rPr>
        <w:t xml:space="preserve">CCU </w:t>
      </w:r>
      <w:r w:rsidR="00254695" w:rsidRPr="00412699">
        <w:rPr>
          <w:rFonts w:ascii="Open Sans" w:eastAsia="Open Sans" w:hAnsi="Open Sans" w:cs="Open Sans"/>
          <w:bCs/>
          <w:sz w:val="20"/>
          <w:szCs w:val="20"/>
        </w:rPr>
        <w:t>sites who</w:t>
      </w:r>
      <w:r w:rsidR="005B5AED" w:rsidRPr="00412699">
        <w:rPr>
          <w:rFonts w:ascii="Open Sans" w:eastAsia="Open Sans" w:hAnsi="Open Sans" w:cs="Open Sans"/>
          <w:bCs/>
          <w:sz w:val="20"/>
          <w:szCs w:val="20"/>
        </w:rPr>
        <w:t xml:space="preserve"> </w:t>
      </w:r>
      <w:r w:rsidR="00254695" w:rsidRPr="00412699">
        <w:rPr>
          <w:rFonts w:ascii="Open Sans" w:eastAsia="Open Sans" w:hAnsi="Open Sans" w:cs="Open Sans"/>
          <w:bCs/>
          <w:sz w:val="20"/>
          <w:szCs w:val="20"/>
        </w:rPr>
        <w:t>may want to access support to</w:t>
      </w:r>
      <w:r w:rsidR="005B5AED" w:rsidRPr="00412699">
        <w:rPr>
          <w:rFonts w:ascii="Open Sans" w:eastAsia="Open Sans" w:hAnsi="Open Sans" w:cs="Open Sans"/>
          <w:bCs/>
          <w:sz w:val="20"/>
          <w:szCs w:val="20"/>
        </w:rPr>
        <w:t xml:space="preserve"> be able to connect to the T&amp;S network</w:t>
      </w:r>
      <w:r w:rsidR="00D90711">
        <w:rPr>
          <w:rFonts w:ascii="Open Sans" w:eastAsia="Open Sans" w:hAnsi="Open Sans" w:cs="Open Sans"/>
          <w:bCs/>
          <w:sz w:val="20"/>
          <w:szCs w:val="20"/>
        </w:rPr>
        <w:t xml:space="preserve">. This recognises </w:t>
      </w:r>
      <w:r w:rsidR="005B5AED" w:rsidRPr="00412699">
        <w:rPr>
          <w:rFonts w:ascii="Open Sans" w:eastAsia="Open Sans" w:hAnsi="Open Sans" w:cs="Open Sans"/>
          <w:bCs/>
          <w:sz w:val="20"/>
          <w:szCs w:val="20"/>
        </w:rPr>
        <w:t>the transitional steps that some sites will need to go through</w:t>
      </w:r>
      <w:r w:rsidR="00680BDF">
        <w:rPr>
          <w:rFonts w:ascii="Open Sans" w:eastAsia="Open Sans" w:hAnsi="Open Sans" w:cs="Open Sans"/>
          <w:bCs/>
          <w:sz w:val="20"/>
          <w:szCs w:val="20"/>
        </w:rPr>
        <w:t>, to</w:t>
      </w:r>
      <w:r w:rsidR="003C7DC7">
        <w:rPr>
          <w:rFonts w:ascii="Open Sans" w:eastAsia="Open Sans" w:hAnsi="Open Sans" w:cs="Open Sans"/>
          <w:bCs/>
          <w:sz w:val="20"/>
          <w:szCs w:val="20"/>
        </w:rPr>
        <w:t xml:space="preserve"> get to a point of delivering permanent storage of carbon. </w:t>
      </w:r>
    </w:p>
    <w:p w14:paraId="25DC1765" w14:textId="77777777" w:rsidR="00FC02D5" w:rsidRDefault="00FC02D5">
      <w:pPr>
        <w:spacing w:before="120" w:after="120" w:line="240" w:lineRule="auto"/>
        <w:ind w:left="720"/>
        <w:rPr>
          <w:rFonts w:ascii="Open Sans" w:eastAsia="Open Sans" w:hAnsi="Open Sans" w:cs="Open Sans"/>
          <w:b/>
          <w:color w:val="2F5496"/>
          <w:sz w:val="20"/>
          <w:szCs w:val="20"/>
        </w:rPr>
      </w:pPr>
    </w:p>
    <w:p w14:paraId="7662050B" w14:textId="77777777" w:rsidR="000C4A19" w:rsidRDefault="00A71779">
      <w:pPr>
        <w:numPr>
          <w:ilvl w:val="0"/>
          <w:numId w:val="2"/>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other comments on the proposals for the industrial carbon capture eligibility regulations?</w:t>
      </w:r>
    </w:p>
    <w:p w14:paraId="4951EAAD" w14:textId="117DE11D" w:rsidR="003C7DC7" w:rsidRDefault="003C7DC7" w:rsidP="003C7DC7">
      <w:pPr>
        <w:spacing w:before="120" w:after="120" w:line="240" w:lineRule="auto"/>
        <w:rPr>
          <w:rFonts w:ascii="Open Sans" w:eastAsia="Open Sans" w:hAnsi="Open Sans" w:cs="Open Sans"/>
          <w:bCs/>
          <w:sz w:val="20"/>
          <w:szCs w:val="20"/>
        </w:rPr>
      </w:pPr>
      <w:r w:rsidRPr="00DA15BC">
        <w:rPr>
          <w:rFonts w:ascii="Open Sans" w:eastAsia="Open Sans" w:hAnsi="Open Sans" w:cs="Open Sans"/>
          <w:bCs/>
          <w:sz w:val="20"/>
          <w:szCs w:val="20"/>
        </w:rPr>
        <w:t xml:space="preserve">It is important that </w:t>
      </w:r>
      <w:r w:rsidR="002E3313" w:rsidRPr="00DA15BC">
        <w:rPr>
          <w:rFonts w:ascii="Open Sans" w:eastAsia="Open Sans" w:hAnsi="Open Sans" w:cs="Open Sans"/>
          <w:bCs/>
          <w:sz w:val="20"/>
          <w:szCs w:val="20"/>
        </w:rPr>
        <w:t xml:space="preserve">allocation round processes do not introduce unnecessary additional </w:t>
      </w:r>
      <w:r w:rsidR="00DA15BC" w:rsidRPr="00DA15BC">
        <w:rPr>
          <w:rFonts w:ascii="Open Sans" w:eastAsia="Open Sans" w:hAnsi="Open Sans" w:cs="Open Sans"/>
          <w:bCs/>
          <w:sz w:val="20"/>
          <w:szCs w:val="20"/>
        </w:rPr>
        <w:t xml:space="preserve">eligibility criteria beyond </w:t>
      </w:r>
      <w:r w:rsidR="00952012">
        <w:rPr>
          <w:rFonts w:ascii="Open Sans" w:eastAsia="Open Sans" w:hAnsi="Open Sans" w:cs="Open Sans"/>
          <w:bCs/>
          <w:sz w:val="20"/>
          <w:szCs w:val="20"/>
        </w:rPr>
        <w:t>those</w:t>
      </w:r>
      <w:r w:rsidR="006E7180">
        <w:rPr>
          <w:rFonts w:ascii="Open Sans" w:eastAsia="Open Sans" w:hAnsi="Open Sans" w:cs="Open Sans"/>
          <w:bCs/>
          <w:sz w:val="20"/>
          <w:szCs w:val="20"/>
        </w:rPr>
        <w:t xml:space="preserve"> already set out in the design of the ICC contract. Confidence has already been </w:t>
      </w:r>
      <w:r w:rsidR="00CC0BD1">
        <w:rPr>
          <w:rFonts w:ascii="Open Sans" w:eastAsia="Open Sans" w:hAnsi="Open Sans" w:cs="Open Sans"/>
          <w:bCs/>
          <w:sz w:val="20"/>
          <w:szCs w:val="20"/>
        </w:rPr>
        <w:t xml:space="preserve">damaged by the introduction of </w:t>
      </w:r>
      <w:r w:rsidR="00952012">
        <w:rPr>
          <w:rFonts w:ascii="Open Sans" w:eastAsia="Open Sans" w:hAnsi="Open Sans" w:cs="Open Sans"/>
          <w:bCs/>
          <w:sz w:val="20"/>
          <w:szCs w:val="20"/>
        </w:rPr>
        <w:t>100 MW thresholds</w:t>
      </w:r>
      <w:r w:rsidR="00CC0BD1">
        <w:rPr>
          <w:rFonts w:ascii="Open Sans" w:eastAsia="Open Sans" w:hAnsi="Open Sans" w:cs="Open Sans"/>
          <w:bCs/>
          <w:sz w:val="20"/>
          <w:szCs w:val="20"/>
        </w:rPr>
        <w:t xml:space="preserve"> in the allocation criteria for Power BECCS contracts</w:t>
      </w:r>
      <w:r w:rsidR="007F4997">
        <w:rPr>
          <w:rFonts w:ascii="Open Sans" w:eastAsia="Open Sans" w:hAnsi="Open Sans" w:cs="Open Sans"/>
          <w:bCs/>
          <w:sz w:val="20"/>
          <w:szCs w:val="20"/>
        </w:rPr>
        <w:t xml:space="preserve"> within the last cluster sequencing allocation process. This immediately excluded </w:t>
      </w:r>
      <w:proofErr w:type="gramStart"/>
      <w:r w:rsidR="007F4997">
        <w:rPr>
          <w:rFonts w:ascii="Open Sans" w:eastAsia="Open Sans" w:hAnsi="Open Sans" w:cs="Open Sans"/>
          <w:bCs/>
          <w:sz w:val="20"/>
          <w:szCs w:val="20"/>
        </w:rPr>
        <w:t>a number of</w:t>
      </w:r>
      <w:proofErr w:type="gramEnd"/>
      <w:r w:rsidR="007F4997">
        <w:rPr>
          <w:rFonts w:ascii="Open Sans" w:eastAsia="Open Sans" w:hAnsi="Open Sans" w:cs="Open Sans"/>
          <w:bCs/>
          <w:sz w:val="20"/>
          <w:szCs w:val="20"/>
        </w:rPr>
        <w:t xml:space="preserve"> smaller projects that had been gearing up to </w:t>
      </w:r>
      <w:r w:rsidR="00952012">
        <w:rPr>
          <w:rFonts w:ascii="Open Sans" w:eastAsia="Open Sans" w:hAnsi="Open Sans" w:cs="Open Sans"/>
          <w:bCs/>
          <w:sz w:val="20"/>
          <w:szCs w:val="20"/>
        </w:rPr>
        <w:t xml:space="preserve">apply for support and have been left with no </w:t>
      </w:r>
      <w:r w:rsidR="00FB3AF6">
        <w:rPr>
          <w:rFonts w:ascii="Open Sans" w:eastAsia="Open Sans" w:hAnsi="Open Sans" w:cs="Open Sans"/>
          <w:bCs/>
          <w:sz w:val="20"/>
          <w:szCs w:val="20"/>
        </w:rPr>
        <w:t>clarity</w:t>
      </w:r>
      <w:r w:rsidR="00952012">
        <w:rPr>
          <w:rFonts w:ascii="Open Sans" w:eastAsia="Open Sans" w:hAnsi="Open Sans" w:cs="Open Sans"/>
          <w:bCs/>
          <w:sz w:val="20"/>
          <w:szCs w:val="20"/>
        </w:rPr>
        <w:t xml:space="preserve"> on their route to market. Similar rest</w:t>
      </w:r>
      <w:r w:rsidR="00FB3AF6">
        <w:rPr>
          <w:rFonts w:ascii="Open Sans" w:eastAsia="Open Sans" w:hAnsi="Open Sans" w:cs="Open Sans"/>
          <w:bCs/>
          <w:sz w:val="20"/>
          <w:szCs w:val="20"/>
        </w:rPr>
        <w:t xml:space="preserve">rictions should be avoided with the ICC allocation process, with it being clear to industry what is to be eligible. </w:t>
      </w:r>
    </w:p>
    <w:p w14:paraId="0CD3D69E" w14:textId="392D22DF" w:rsidR="00FB3AF6" w:rsidRDefault="00674E66" w:rsidP="003C7DC7">
      <w:pPr>
        <w:spacing w:before="120" w:after="120" w:line="240" w:lineRule="auto"/>
        <w:rPr>
          <w:rFonts w:ascii="Open Sans" w:eastAsia="Open Sans" w:hAnsi="Open Sans" w:cs="Open Sans"/>
          <w:bCs/>
          <w:sz w:val="20"/>
          <w:szCs w:val="20"/>
        </w:rPr>
      </w:pPr>
      <w:r>
        <w:rPr>
          <w:rFonts w:ascii="Open Sans" w:eastAsia="Open Sans" w:hAnsi="Open Sans" w:cs="Open Sans"/>
          <w:bCs/>
          <w:sz w:val="20"/>
          <w:szCs w:val="20"/>
        </w:rPr>
        <w:t xml:space="preserve">We would also reiterate the need for these legislative regulatory processes to be completed as quickly as possible and for ICC contracts to be advanced so that final </w:t>
      </w:r>
      <w:r w:rsidR="00CD7FC3">
        <w:rPr>
          <w:rFonts w:ascii="Open Sans" w:eastAsia="Open Sans" w:hAnsi="Open Sans" w:cs="Open Sans"/>
          <w:bCs/>
          <w:sz w:val="20"/>
          <w:szCs w:val="20"/>
        </w:rPr>
        <w:t>finance</w:t>
      </w:r>
      <w:r>
        <w:rPr>
          <w:rFonts w:ascii="Open Sans" w:eastAsia="Open Sans" w:hAnsi="Open Sans" w:cs="Open Sans"/>
          <w:bCs/>
          <w:sz w:val="20"/>
          <w:szCs w:val="20"/>
        </w:rPr>
        <w:t xml:space="preserve"> decisions can be </w:t>
      </w:r>
      <w:proofErr w:type="gramStart"/>
      <w:r>
        <w:rPr>
          <w:rFonts w:ascii="Open Sans" w:eastAsia="Open Sans" w:hAnsi="Open Sans" w:cs="Open Sans"/>
          <w:bCs/>
          <w:sz w:val="20"/>
          <w:szCs w:val="20"/>
        </w:rPr>
        <w:t>made</w:t>
      </w:r>
      <w:proofErr w:type="gramEnd"/>
      <w:r>
        <w:rPr>
          <w:rFonts w:ascii="Open Sans" w:eastAsia="Open Sans" w:hAnsi="Open Sans" w:cs="Open Sans"/>
          <w:bCs/>
          <w:sz w:val="20"/>
          <w:szCs w:val="20"/>
        </w:rPr>
        <w:t xml:space="preserve"> and the UK can quickly start to deploy </w:t>
      </w:r>
      <w:r w:rsidR="00CD7FC3">
        <w:rPr>
          <w:rFonts w:ascii="Open Sans" w:eastAsia="Open Sans" w:hAnsi="Open Sans" w:cs="Open Sans"/>
          <w:bCs/>
          <w:sz w:val="20"/>
          <w:szCs w:val="20"/>
        </w:rPr>
        <w:t>Industrial carbon capture projects</w:t>
      </w:r>
      <w:r w:rsidR="00C36EB8">
        <w:rPr>
          <w:rFonts w:ascii="Open Sans" w:eastAsia="Open Sans" w:hAnsi="Open Sans" w:cs="Open Sans"/>
          <w:bCs/>
          <w:sz w:val="20"/>
          <w:szCs w:val="20"/>
        </w:rPr>
        <w:t xml:space="preserve">. </w:t>
      </w:r>
    </w:p>
    <w:p w14:paraId="5B6083A6" w14:textId="77777777" w:rsidR="00D566BB" w:rsidRDefault="00D566BB" w:rsidP="003C7DC7">
      <w:pPr>
        <w:spacing w:before="120" w:after="120" w:line="240" w:lineRule="auto"/>
        <w:rPr>
          <w:rFonts w:ascii="Open Sans" w:eastAsia="Open Sans" w:hAnsi="Open Sans" w:cs="Open Sans"/>
          <w:bCs/>
          <w:sz w:val="20"/>
          <w:szCs w:val="20"/>
        </w:rPr>
      </w:pPr>
    </w:p>
    <w:p w14:paraId="4E537A8C" w14:textId="5D346B5C" w:rsidR="00D566BB" w:rsidRPr="00D566BB" w:rsidRDefault="00D566BB" w:rsidP="00D566BB">
      <w:pPr>
        <w:spacing w:before="120" w:after="120" w:line="240" w:lineRule="auto"/>
        <w:jc w:val="right"/>
        <w:rPr>
          <w:rFonts w:ascii="Open Sans" w:eastAsia="Open Sans" w:hAnsi="Open Sans" w:cs="Open Sans"/>
          <w:b/>
          <w:i/>
          <w:iCs/>
          <w:sz w:val="20"/>
          <w:szCs w:val="20"/>
        </w:rPr>
      </w:pPr>
      <w:r w:rsidRPr="00D566BB">
        <w:rPr>
          <w:rFonts w:ascii="Open Sans" w:eastAsia="Open Sans" w:hAnsi="Open Sans" w:cs="Open Sans"/>
          <w:b/>
          <w:i/>
          <w:iCs/>
          <w:sz w:val="20"/>
          <w:szCs w:val="20"/>
        </w:rPr>
        <w:t>May 2023</w:t>
      </w:r>
    </w:p>
    <w:sectPr w:rsidR="00D566BB" w:rsidRPr="00D566BB">
      <w:headerReference w:type="default" r:id="rId8"/>
      <w:footerReference w:type="default" r:id="rId9"/>
      <w:head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3517" w14:textId="77777777" w:rsidR="00E9545F" w:rsidRDefault="00E9545F">
      <w:pPr>
        <w:spacing w:after="0" w:line="240" w:lineRule="auto"/>
      </w:pPr>
      <w:r>
        <w:separator/>
      </w:r>
    </w:p>
  </w:endnote>
  <w:endnote w:type="continuationSeparator" w:id="0">
    <w:p w14:paraId="12731BEC" w14:textId="77777777" w:rsidR="00E9545F" w:rsidRDefault="00E9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DB36" w14:textId="77777777" w:rsidR="000C4A19" w:rsidRDefault="00A7177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85022">
      <w:rPr>
        <w:noProof/>
        <w:color w:val="000000"/>
      </w:rPr>
      <w:t>2</w:t>
    </w:r>
    <w:r>
      <w:rPr>
        <w:color w:val="000000"/>
      </w:rPr>
      <w:fldChar w:fldCharType="end"/>
    </w:r>
  </w:p>
  <w:p w14:paraId="7A5B6E2C" w14:textId="77777777" w:rsidR="000C4A19" w:rsidRDefault="000C4A1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60D8" w14:textId="77777777" w:rsidR="00E9545F" w:rsidRDefault="00E9545F">
      <w:pPr>
        <w:spacing w:after="0" w:line="240" w:lineRule="auto"/>
      </w:pPr>
      <w:r>
        <w:separator/>
      </w:r>
    </w:p>
  </w:footnote>
  <w:footnote w:type="continuationSeparator" w:id="0">
    <w:p w14:paraId="3F469726" w14:textId="77777777" w:rsidR="00E9545F" w:rsidRDefault="00E9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A225" w14:textId="77777777" w:rsidR="000C4A19" w:rsidRDefault="00A71779">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a UK Low Carbon Hydrogen Certification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7426" w14:textId="7065036E" w:rsidR="000C4A19" w:rsidRDefault="00FD0961" w:rsidP="00FD0961">
    <w:pPr>
      <w:pBdr>
        <w:top w:val="nil"/>
        <w:left w:val="nil"/>
        <w:bottom w:val="nil"/>
        <w:right w:val="nil"/>
        <w:between w:val="nil"/>
      </w:pBdr>
      <w:tabs>
        <w:tab w:val="left" w:pos="3787"/>
      </w:tabs>
      <w:spacing w:after="0" w:line="240" w:lineRule="auto"/>
      <w:rPr>
        <w:color w:val="000000"/>
      </w:rPr>
    </w:pPr>
    <w:r>
      <w:rPr>
        <w:noProof/>
      </w:rPr>
      <w:drawing>
        <wp:anchor distT="0" distB="0" distL="114300" distR="114300" simplePos="0" relativeHeight="251659264" behindDoc="0" locked="0" layoutInCell="1" allowOverlap="1" wp14:anchorId="754D8FF4" wp14:editId="7B4C3A82">
          <wp:simplePos x="0" y="0"/>
          <wp:positionH relativeFrom="margin">
            <wp:posOffset>4832985</wp:posOffset>
          </wp:positionH>
          <wp:positionV relativeFrom="paragraph">
            <wp:posOffset>-52070</wp:posOffset>
          </wp:positionV>
          <wp:extent cx="991235" cy="51498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1235" cy="514985"/>
                  </a:xfrm>
                  <a:prstGeom prst="rect">
                    <a:avLst/>
                  </a:prstGeom>
                </pic:spPr>
              </pic:pic>
            </a:graphicData>
          </a:graphic>
          <wp14:sizeRelH relativeFrom="page">
            <wp14:pctWidth>0</wp14:pctWidth>
          </wp14:sizeRelH>
          <wp14:sizeRelV relativeFrom="page">
            <wp14:pctHeight>0</wp14:pctHeight>
          </wp14:sizeRelV>
        </wp:anchor>
      </w:drawing>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2930"/>
    <w:multiLevelType w:val="hybridMultilevel"/>
    <w:tmpl w:val="6A7A34B8"/>
    <w:lvl w:ilvl="0" w:tplc="A9DA81A0">
      <w:start w:val="2"/>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52706"/>
    <w:multiLevelType w:val="multilevel"/>
    <w:tmpl w:val="80863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2A53D3"/>
    <w:multiLevelType w:val="multilevel"/>
    <w:tmpl w:val="0F243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4280384">
    <w:abstractNumId w:val="2"/>
  </w:num>
  <w:num w:numId="2" w16cid:durableId="155344784">
    <w:abstractNumId w:val="1"/>
  </w:num>
  <w:num w:numId="3" w16cid:durableId="131171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19"/>
    <w:rsid w:val="0002248C"/>
    <w:rsid w:val="00046B03"/>
    <w:rsid w:val="0005123B"/>
    <w:rsid w:val="00066660"/>
    <w:rsid w:val="00094B00"/>
    <w:rsid w:val="000A7C3F"/>
    <w:rsid w:val="000B15BC"/>
    <w:rsid w:val="000C4A19"/>
    <w:rsid w:val="000C50EA"/>
    <w:rsid w:val="0013027E"/>
    <w:rsid w:val="00136B2F"/>
    <w:rsid w:val="00157313"/>
    <w:rsid w:val="00165B32"/>
    <w:rsid w:val="00166D63"/>
    <w:rsid w:val="00172E32"/>
    <w:rsid w:val="00176374"/>
    <w:rsid w:val="0018582A"/>
    <w:rsid w:val="001A5EF3"/>
    <w:rsid w:val="001B13DD"/>
    <w:rsid w:val="001B42D7"/>
    <w:rsid w:val="001C1B52"/>
    <w:rsid w:val="001C6E21"/>
    <w:rsid w:val="001E124A"/>
    <w:rsid w:val="001F3117"/>
    <w:rsid w:val="002012BF"/>
    <w:rsid w:val="00202867"/>
    <w:rsid w:val="00210905"/>
    <w:rsid w:val="00211708"/>
    <w:rsid w:val="00211F62"/>
    <w:rsid w:val="00214708"/>
    <w:rsid w:val="00215461"/>
    <w:rsid w:val="00220B6E"/>
    <w:rsid w:val="002350F8"/>
    <w:rsid w:val="0025076E"/>
    <w:rsid w:val="002529E8"/>
    <w:rsid w:val="00254695"/>
    <w:rsid w:val="00263466"/>
    <w:rsid w:val="002932DA"/>
    <w:rsid w:val="00294424"/>
    <w:rsid w:val="00295462"/>
    <w:rsid w:val="002B3A0D"/>
    <w:rsid w:val="002B76FA"/>
    <w:rsid w:val="002D2E5F"/>
    <w:rsid w:val="002D6E38"/>
    <w:rsid w:val="002E3313"/>
    <w:rsid w:val="002F7D09"/>
    <w:rsid w:val="003028A2"/>
    <w:rsid w:val="00311217"/>
    <w:rsid w:val="00311BEC"/>
    <w:rsid w:val="00311EE9"/>
    <w:rsid w:val="00312277"/>
    <w:rsid w:val="00336385"/>
    <w:rsid w:val="003513A8"/>
    <w:rsid w:val="00375250"/>
    <w:rsid w:val="00387780"/>
    <w:rsid w:val="003B60F2"/>
    <w:rsid w:val="003C7DC7"/>
    <w:rsid w:val="003D4CDE"/>
    <w:rsid w:val="003E5214"/>
    <w:rsid w:val="003F2CDC"/>
    <w:rsid w:val="003F30C9"/>
    <w:rsid w:val="003F4CA6"/>
    <w:rsid w:val="00401C8C"/>
    <w:rsid w:val="00406E4D"/>
    <w:rsid w:val="00412699"/>
    <w:rsid w:val="004220D9"/>
    <w:rsid w:val="00422556"/>
    <w:rsid w:val="0043293F"/>
    <w:rsid w:val="00440145"/>
    <w:rsid w:val="004678D1"/>
    <w:rsid w:val="00483989"/>
    <w:rsid w:val="00484E03"/>
    <w:rsid w:val="00494468"/>
    <w:rsid w:val="00496921"/>
    <w:rsid w:val="004A28AB"/>
    <w:rsid w:val="004B2BED"/>
    <w:rsid w:val="004B7783"/>
    <w:rsid w:val="004D22E2"/>
    <w:rsid w:val="004D2983"/>
    <w:rsid w:val="004D3D49"/>
    <w:rsid w:val="004E3D81"/>
    <w:rsid w:val="004E6E61"/>
    <w:rsid w:val="005065AB"/>
    <w:rsid w:val="00507E1D"/>
    <w:rsid w:val="00507F93"/>
    <w:rsid w:val="00515185"/>
    <w:rsid w:val="00541ED6"/>
    <w:rsid w:val="0057482A"/>
    <w:rsid w:val="005868F3"/>
    <w:rsid w:val="005B5AED"/>
    <w:rsid w:val="005C3B38"/>
    <w:rsid w:val="005D05CA"/>
    <w:rsid w:val="005E0AFE"/>
    <w:rsid w:val="00612ED9"/>
    <w:rsid w:val="006200D1"/>
    <w:rsid w:val="006222B0"/>
    <w:rsid w:val="00622D40"/>
    <w:rsid w:val="006376E6"/>
    <w:rsid w:val="00643262"/>
    <w:rsid w:val="00652E05"/>
    <w:rsid w:val="0065758F"/>
    <w:rsid w:val="0066176B"/>
    <w:rsid w:val="0067173A"/>
    <w:rsid w:val="00674E66"/>
    <w:rsid w:val="00680BDF"/>
    <w:rsid w:val="00686861"/>
    <w:rsid w:val="0068744D"/>
    <w:rsid w:val="006E7180"/>
    <w:rsid w:val="00700772"/>
    <w:rsid w:val="00720F5E"/>
    <w:rsid w:val="00735A0B"/>
    <w:rsid w:val="00742B27"/>
    <w:rsid w:val="00744477"/>
    <w:rsid w:val="0075135C"/>
    <w:rsid w:val="00751DD5"/>
    <w:rsid w:val="00785022"/>
    <w:rsid w:val="00790AD8"/>
    <w:rsid w:val="00794B1D"/>
    <w:rsid w:val="00795B34"/>
    <w:rsid w:val="00796F70"/>
    <w:rsid w:val="00797039"/>
    <w:rsid w:val="007A6F9B"/>
    <w:rsid w:val="007B07DE"/>
    <w:rsid w:val="007F4997"/>
    <w:rsid w:val="00800AAD"/>
    <w:rsid w:val="0080328D"/>
    <w:rsid w:val="008408E9"/>
    <w:rsid w:val="00855CA3"/>
    <w:rsid w:val="008741BC"/>
    <w:rsid w:val="00874634"/>
    <w:rsid w:val="008749A1"/>
    <w:rsid w:val="0087626D"/>
    <w:rsid w:val="00880703"/>
    <w:rsid w:val="0088654A"/>
    <w:rsid w:val="00890DF6"/>
    <w:rsid w:val="008A46ED"/>
    <w:rsid w:val="008A733F"/>
    <w:rsid w:val="008B3F4F"/>
    <w:rsid w:val="008C492C"/>
    <w:rsid w:val="008F1E04"/>
    <w:rsid w:val="00907188"/>
    <w:rsid w:val="00907DB5"/>
    <w:rsid w:val="009102B8"/>
    <w:rsid w:val="00930D30"/>
    <w:rsid w:val="009423CC"/>
    <w:rsid w:val="00942A4B"/>
    <w:rsid w:val="00952012"/>
    <w:rsid w:val="009530A7"/>
    <w:rsid w:val="00981690"/>
    <w:rsid w:val="00981733"/>
    <w:rsid w:val="00983601"/>
    <w:rsid w:val="00986CC6"/>
    <w:rsid w:val="009902B8"/>
    <w:rsid w:val="009912BC"/>
    <w:rsid w:val="0099312B"/>
    <w:rsid w:val="009B1EEA"/>
    <w:rsid w:val="009D05B4"/>
    <w:rsid w:val="009E29E1"/>
    <w:rsid w:val="009E4470"/>
    <w:rsid w:val="009E4D89"/>
    <w:rsid w:val="00A07293"/>
    <w:rsid w:val="00A1429C"/>
    <w:rsid w:val="00A14C11"/>
    <w:rsid w:val="00A26FD5"/>
    <w:rsid w:val="00A327D0"/>
    <w:rsid w:val="00A50E11"/>
    <w:rsid w:val="00A70A0C"/>
    <w:rsid w:val="00A71779"/>
    <w:rsid w:val="00A81260"/>
    <w:rsid w:val="00A829E4"/>
    <w:rsid w:val="00AB1E7C"/>
    <w:rsid w:val="00AC149A"/>
    <w:rsid w:val="00AD22D1"/>
    <w:rsid w:val="00AE3823"/>
    <w:rsid w:val="00AF1059"/>
    <w:rsid w:val="00AF23EB"/>
    <w:rsid w:val="00B10A15"/>
    <w:rsid w:val="00B2138A"/>
    <w:rsid w:val="00B271F2"/>
    <w:rsid w:val="00B442BB"/>
    <w:rsid w:val="00B76EDB"/>
    <w:rsid w:val="00B87796"/>
    <w:rsid w:val="00B97445"/>
    <w:rsid w:val="00BA4A78"/>
    <w:rsid w:val="00BB2AD0"/>
    <w:rsid w:val="00BB65E8"/>
    <w:rsid w:val="00BE0089"/>
    <w:rsid w:val="00BE3403"/>
    <w:rsid w:val="00BE6648"/>
    <w:rsid w:val="00BF43A1"/>
    <w:rsid w:val="00C24A8C"/>
    <w:rsid w:val="00C36EB8"/>
    <w:rsid w:val="00C42EF5"/>
    <w:rsid w:val="00C47DF4"/>
    <w:rsid w:val="00C60986"/>
    <w:rsid w:val="00C830C0"/>
    <w:rsid w:val="00C9101B"/>
    <w:rsid w:val="00C9345E"/>
    <w:rsid w:val="00CA2F1A"/>
    <w:rsid w:val="00CB3D25"/>
    <w:rsid w:val="00CC020A"/>
    <w:rsid w:val="00CC0BD1"/>
    <w:rsid w:val="00CC2D38"/>
    <w:rsid w:val="00CC36C4"/>
    <w:rsid w:val="00CD2964"/>
    <w:rsid w:val="00CD7FC3"/>
    <w:rsid w:val="00CF56EE"/>
    <w:rsid w:val="00D14740"/>
    <w:rsid w:val="00D566BB"/>
    <w:rsid w:val="00D74CEA"/>
    <w:rsid w:val="00D75B6E"/>
    <w:rsid w:val="00D90711"/>
    <w:rsid w:val="00DA15BC"/>
    <w:rsid w:val="00DA4CC0"/>
    <w:rsid w:val="00DA7648"/>
    <w:rsid w:val="00DB0E7B"/>
    <w:rsid w:val="00DC47BC"/>
    <w:rsid w:val="00DD19EA"/>
    <w:rsid w:val="00DD4249"/>
    <w:rsid w:val="00DE675E"/>
    <w:rsid w:val="00E008E4"/>
    <w:rsid w:val="00E2620F"/>
    <w:rsid w:val="00E31565"/>
    <w:rsid w:val="00E32F2A"/>
    <w:rsid w:val="00E43E1A"/>
    <w:rsid w:val="00E56990"/>
    <w:rsid w:val="00E644F7"/>
    <w:rsid w:val="00E718D5"/>
    <w:rsid w:val="00E72525"/>
    <w:rsid w:val="00E7550C"/>
    <w:rsid w:val="00E9545F"/>
    <w:rsid w:val="00EA0330"/>
    <w:rsid w:val="00EA2D81"/>
    <w:rsid w:val="00EB6CE9"/>
    <w:rsid w:val="00ED4714"/>
    <w:rsid w:val="00ED5702"/>
    <w:rsid w:val="00EE2963"/>
    <w:rsid w:val="00EF07B4"/>
    <w:rsid w:val="00EF5C4E"/>
    <w:rsid w:val="00F00206"/>
    <w:rsid w:val="00F00A97"/>
    <w:rsid w:val="00F04719"/>
    <w:rsid w:val="00F07D31"/>
    <w:rsid w:val="00F112FF"/>
    <w:rsid w:val="00F120EE"/>
    <w:rsid w:val="00F24A61"/>
    <w:rsid w:val="00F6355C"/>
    <w:rsid w:val="00F6701B"/>
    <w:rsid w:val="00F73E76"/>
    <w:rsid w:val="00F8222E"/>
    <w:rsid w:val="00F944DA"/>
    <w:rsid w:val="00FA3C73"/>
    <w:rsid w:val="00FA4B15"/>
    <w:rsid w:val="00FA5DE6"/>
    <w:rsid w:val="00FA6801"/>
    <w:rsid w:val="00FA6B53"/>
    <w:rsid w:val="00FB3AF6"/>
    <w:rsid w:val="00FC02D5"/>
    <w:rsid w:val="00FC0881"/>
    <w:rsid w:val="00FD0961"/>
    <w:rsid w:val="00FE18E1"/>
    <w:rsid w:val="00FF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2AE658D6"/>
  <w15:docId w15:val="{DCE10859-0A70-4D8B-98AC-E2469C53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04719"/>
    <w:pPr>
      <w:spacing w:after="0" w:line="240" w:lineRule="auto"/>
    </w:pPr>
  </w:style>
  <w:style w:type="character" w:styleId="CommentReference">
    <w:name w:val="annotation reference"/>
    <w:basedOn w:val="DefaultParagraphFont"/>
    <w:uiPriority w:val="99"/>
    <w:semiHidden/>
    <w:unhideWhenUsed/>
    <w:rsid w:val="00336385"/>
    <w:rPr>
      <w:sz w:val="16"/>
      <w:szCs w:val="16"/>
    </w:rPr>
  </w:style>
  <w:style w:type="paragraph" w:styleId="CommentText">
    <w:name w:val="annotation text"/>
    <w:basedOn w:val="Normal"/>
    <w:link w:val="CommentTextChar"/>
    <w:uiPriority w:val="99"/>
    <w:unhideWhenUsed/>
    <w:rsid w:val="00336385"/>
    <w:pPr>
      <w:spacing w:line="240" w:lineRule="auto"/>
    </w:pPr>
    <w:rPr>
      <w:sz w:val="20"/>
      <w:szCs w:val="20"/>
    </w:rPr>
  </w:style>
  <w:style w:type="character" w:customStyle="1" w:styleId="CommentTextChar">
    <w:name w:val="Comment Text Char"/>
    <w:basedOn w:val="DefaultParagraphFont"/>
    <w:link w:val="CommentText"/>
    <w:uiPriority w:val="99"/>
    <w:rsid w:val="00336385"/>
    <w:rPr>
      <w:sz w:val="20"/>
      <w:szCs w:val="20"/>
    </w:rPr>
  </w:style>
  <w:style w:type="paragraph" w:styleId="CommentSubject">
    <w:name w:val="annotation subject"/>
    <w:basedOn w:val="CommentText"/>
    <w:next w:val="CommentText"/>
    <w:link w:val="CommentSubjectChar"/>
    <w:uiPriority w:val="99"/>
    <w:semiHidden/>
    <w:unhideWhenUsed/>
    <w:rsid w:val="00336385"/>
    <w:rPr>
      <w:b/>
      <w:bCs/>
    </w:rPr>
  </w:style>
  <w:style w:type="character" w:customStyle="1" w:styleId="CommentSubjectChar">
    <w:name w:val="Comment Subject Char"/>
    <w:basedOn w:val="CommentTextChar"/>
    <w:link w:val="CommentSubject"/>
    <w:uiPriority w:val="99"/>
    <w:semiHidden/>
    <w:rsid w:val="00336385"/>
    <w:rPr>
      <w:b/>
      <w:bCs/>
      <w:sz w:val="20"/>
      <w:szCs w:val="20"/>
    </w:rPr>
  </w:style>
  <w:style w:type="paragraph" w:styleId="ListParagraph">
    <w:name w:val="List Paragraph"/>
    <w:basedOn w:val="Normal"/>
    <w:uiPriority w:val="34"/>
    <w:qFormat/>
    <w:rsid w:val="008B3F4F"/>
    <w:pPr>
      <w:ind w:left="720"/>
      <w:contextualSpacing/>
    </w:pPr>
  </w:style>
  <w:style w:type="paragraph" w:styleId="Header">
    <w:name w:val="header"/>
    <w:basedOn w:val="Normal"/>
    <w:link w:val="HeaderChar"/>
    <w:uiPriority w:val="99"/>
    <w:unhideWhenUsed/>
    <w:rsid w:val="00D56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6BB"/>
  </w:style>
  <w:style w:type="paragraph" w:styleId="Footer">
    <w:name w:val="footer"/>
    <w:basedOn w:val="Normal"/>
    <w:link w:val="FooterChar"/>
    <w:uiPriority w:val="99"/>
    <w:unhideWhenUsed/>
    <w:rsid w:val="00D56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7795A-D35C-4BC8-981A-1CF800FF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Sommerfeld</cp:lastModifiedBy>
  <cp:revision>56</cp:revision>
  <dcterms:created xsi:type="dcterms:W3CDTF">2023-05-04T15:39:00Z</dcterms:created>
  <dcterms:modified xsi:type="dcterms:W3CDTF">2023-05-04T17:13:00Z</dcterms:modified>
</cp:coreProperties>
</file>