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C4230" w14:textId="66A77A09" w:rsidR="009B1179" w:rsidRPr="00A5061E" w:rsidRDefault="009B1179" w:rsidP="009B1179">
      <w:pPr>
        <w:jc w:val="center"/>
        <w:rPr>
          <w:rFonts w:ascii="Open Sans" w:hAnsi="Open Sans" w:cs="Open Sans"/>
          <w:b/>
          <w:bCs/>
          <w:color w:val="06926B"/>
        </w:rPr>
      </w:pPr>
      <w:r w:rsidRPr="00A5061E">
        <w:rPr>
          <w:rFonts w:ascii="Open Sans" w:hAnsi="Open Sans" w:cs="Open Sans"/>
          <w:b/>
          <w:bCs/>
          <w:color w:val="06926B"/>
          <w:sz w:val="24"/>
          <w:szCs w:val="24"/>
        </w:rPr>
        <w:t>REA</w:t>
      </w:r>
      <w:r w:rsidR="00BA74AD">
        <w:rPr>
          <w:rFonts w:ascii="Open Sans" w:hAnsi="Open Sans" w:cs="Open Sans"/>
          <w:b/>
          <w:bCs/>
          <w:color w:val="06926B"/>
          <w:sz w:val="24"/>
          <w:szCs w:val="24"/>
        </w:rPr>
        <w:t xml:space="preserve"> Draft</w:t>
      </w:r>
      <w:r w:rsidRPr="00A5061E">
        <w:rPr>
          <w:rFonts w:ascii="Open Sans" w:hAnsi="Open Sans" w:cs="Open Sans"/>
          <w:b/>
          <w:bCs/>
          <w:color w:val="06926B"/>
          <w:sz w:val="24"/>
          <w:szCs w:val="24"/>
        </w:rPr>
        <w:t xml:space="preserve"> Response: </w:t>
      </w:r>
      <w:r w:rsidR="006C2B7D">
        <w:rPr>
          <w:rFonts w:ascii="Open Sans" w:hAnsi="Open Sans" w:cs="Open Sans"/>
          <w:b/>
          <w:bCs/>
          <w:color w:val="06926B"/>
          <w:sz w:val="24"/>
          <w:szCs w:val="24"/>
        </w:rPr>
        <w:t>Ofgem</w:t>
      </w:r>
      <w:r w:rsidR="009C7AC4">
        <w:rPr>
          <w:rFonts w:ascii="Open Sans" w:hAnsi="Open Sans" w:cs="Open Sans"/>
          <w:b/>
          <w:bCs/>
          <w:color w:val="06926B"/>
          <w:sz w:val="24"/>
          <w:szCs w:val="24"/>
        </w:rPr>
        <w:t>’s o</w:t>
      </w:r>
      <w:r w:rsidR="009C7AC4" w:rsidRPr="009C7AC4">
        <w:rPr>
          <w:rFonts w:ascii="Open Sans" w:hAnsi="Open Sans" w:cs="Open Sans"/>
          <w:b/>
          <w:bCs/>
          <w:color w:val="06926B"/>
          <w:sz w:val="24"/>
          <w:szCs w:val="24"/>
        </w:rPr>
        <w:t>pen letter on future reform to the electricity connections process</w:t>
      </w:r>
    </w:p>
    <w:p w14:paraId="662A6F16" w14:textId="2B10D970" w:rsidR="009B1179" w:rsidRDefault="009B1179" w:rsidP="009B1179">
      <w:pPr>
        <w:jc w:val="both"/>
        <w:rPr>
          <w:rFonts w:ascii="Open Sans" w:hAnsi="Open Sans" w:cs="Open Sans"/>
        </w:rPr>
      </w:pPr>
      <w:r w:rsidRPr="00A5061E">
        <w:rPr>
          <w:rFonts w:ascii="Open Sans" w:hAnsi="Open Sans" w:cs="Open Sans"/>
        </w:rPr>
        <w:t>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w:t>
      </w:r>
      <w:r>
        <w:rPr>
          <w:rFonts w:ascii="Open Sans" w:hAnsi="Open Sans" w:cs="Open Sans"/>
        </w:rPr>
        <w:t>.</w:t>
      </w:r>
    </w:p>
    <w:p w14:paraId="52BA24F8" w14:textId="1A92613F" w:rsidR="00320EDA" w:rsidRDefault="002B6B2A" w:rsidP="009B1179">
      <w:pPr>
        <w:jc w:val="both"/>
        <w:rPr>
          <w:rFonts w:ascii="Open Sans" w:hAnsi="Open Sans" w:cs="Open Sans"/>
        </w:rPr>
      </w:pPr>
      <w:r>
        <w:rPr>
          <w:rFonts w:ascii="Open Sans" w:hAnsi="Open Sans" w:cs="Open Sans"/>
        </w:rPr>
        <w:t>The REA regularly</w:t>
      </w:r>
      <w:r w:rsidR="00186C0F">
        <w:rPr>
          <w:rFonts w:ascii="Open Sans" w:hAnsi="Open Sans" w:cs="Open Sans"/>
        </w:rPr>
        <w:t xml:space="preserve"> hear</w:t>
      </w:r>
      <w:r>
        <w:rPr>
          <w:rFonts w:ascii="Open Sans" w:hAnsi="Open Sans" w:cs="Open Sans"/>
        </w:rPr>
        <w:t>s</w:t>
      </w:r>
      <w:r w:rsidR="00186C0F">
        <w:rPr>
          <w:rFonts w:ascii="Open Sans" w:hAnsi="Open Sans" w:cs="Open Sans"/>
        </w:rPr>
        <w:t xml:space="preserve"> from </w:t>
      </w:r>
      <w:r>
        <w:rPr>
          <w:rFonts w:ascii="Open Sans" w:hAnsi="Open Sans" w:cs="Open Sans"/>
        </w:rPr>
        <w:t>its</w:t>
      </w:r>
      <w:r w:rsidR="00186C0F">
        <w:rPr>
          <w:rFonts w:ascii="Open Sans" w:hAnsi="Open Sans" w:cs="Open Sans"/>
        </w:rPr>
        <w:t xml:space="preserve"> members </w:t>
      </w:r>
      <w:r>
        <w:rPr>
          <w:rFonts w:ascii="Open Sans" w:hAnsi="Open Sans" w:cs="Open Sans"/>
        </w:rPr>
        <w:t>about</w:t>
      </w:r>
      <w:r w:rsidR="00186C0F">
        <w:rPr>
          <w:rFonts w:ascii="Open Sans" w:hAnsi="Open Sans" w:cs="Open Sans"/>
        </w:rPr>
        <w:t xml:space="preserve"> the delays caused by grid </w:t>
      </w:r>
      <w:r w:rsidR="00611AB5">
        <w:rPr>
          <w:rFonts w:ascii="Open Sans" w:hAnsi="Open Sans" w:cs="Open Sans"/>
        </w:rPr>
        <w:t>capacity constraints</w:t>
      </w:r>
      <w:r w:rsidR="00186C0F">
        <w:rPr>
          <w:rFonts w:ascii="Open Sans" w:hAnsi="Open Sans" w:cs="Open Sans"/>
        </w:rPr>
        <w:t>, with some members</w:t>
      </w:r>
      <w:r w:rsidR="004866CC">
        <w:rPr>
          <w:rFonts w:ascii="Open Sans" w:hAnsi="Open Sans" w:cs="Open Sans"/>
        </w:rPr>
        <w:t xml:space="preserve"> receiving an estimated grid connection date of more than ten years. </w:t>
      </w:r>
      <w:r w:rsidR="00711B97">
        <w:rPr>
          <w:rFonts w:ascii="Open Sans" w:hAnsi="Open Sans" w:cs="Open Sans"/>
        </w:rPr>
        <w:t>Such</w:t>
      </w:r>
      <w:r w:rsidR="004866CC">
        <w:rPr>
          <w:rFonts w:ascii="Open Sans" w:hAnsi="Open Sans" w:cs="Open Sans"/>
        </w:rPr>
        <w:t xml:space="preserve"> delays are </w:t>
      </w:r>
      <w:r>
        <w:rPr>
          <w:rFonts w:ascii="Open Sans" w:hAnsi="Open Sans" w:cs="Open Sans"/>
        </w:rPr>
        <w:t>in</w:t>
      </w:r>
      <w:r w:rsidR="0031093B">
        <w:rPr>
          <w:rFonts w:ascii="Open Sans" w:hAnsi="Open Sans" w:cs="Open Sans"/>
        </w:rPr>
        <w:t>com</w:t>
      </w:r>
      <w:r>
        <w:rPr>
          <w:rFonts w:ascii="Open Sans" w:hAnsi="Open Sans" w:cs="Open Sans"/>
        </w:rPr>
        <w:t>pati</w:t>
      </w:r>
      <w:r w:rsidR="0031093B">
        <w:rPr>
          <w:rFonts w:ascii="Open Sans" w:hAnsi="Open Sans" w:cs="Open Sans"/>
        </w:rPr>
        <w:t xml:space="preserve">ble with </w:t>
      </w:r>
      <w:r w:rsidR="00711B97">
        <w:rPr>
          <w:rFonts w:ascii="Open Sans" w:hAnsi="Open Sans" w:cs="Open Sans"/>
        </w:rPr>
        <w:t>meeting the</w:t>
      </w:r>
      <w:r w:rsidR="0031093B">
        <w:rPr>
          <w:rFonts w:ascii="Open Sans" w:hAnsi="Open Sans" w:cs="Open Sans"/>
        </w:rPr>
        <w:t xml:space="preserve"> Government’s aim of </w:t>
      </w:r>
      <w:r w:rsidR="00711B97">
        <w:rPr>
          <w:rFonts w:ascii="Open Sans" w:hAnsi="Open Sans" w:cs="Open Sans"/>
        </w:rPr>
        <w:t>a decarbonised power grid by 2035. The REA therefore broadly welcomes this letter and Ofgem’s commitment to push ahead with reforming grid connections.</w:t>
      </w:r>
    </w:p>
    <w:p w14:paraId="0B7FC31B" w14:textId="77777777" w:rsidR="00A521BF" w:rsidRDefault="0052212C" w:rsidP="0052212C">
      <w:pPr>
        <w:jc w:val="both"/>
        <w:rPr>
          <w:rFonts w:ascii="Open Sans" w:hAnsi="Open Sans" w:cs="Open Sans"/>
        </w:rPr>
      </w:pPr>
      <w:r>
        <w:rPr>
          <w:rFonts w:ascii="Open Sans" w:hAnsi="Open Sans" w:cs="Open Sans"/>
        </w:rPr>
        <w:t>We w</w:t>
      </w:r>
      <w:r w:rsidRPr="0052212C">
        <w:rPr>
          <w:rFonts w:ascii="Open Sans" w:hAnsi="Open Sans" w:cs="Open Sans"/>
        </w:rPr>
        <w:t>elcome the approach</w:t>
      </w:r>
      <w:r>
        <w:rPr>
          <w:rFonts w:ascii="Open Sans" w:hAnsi="Open Sans" w:cs="Open Sans"/>
        </w:rPr>
        <w:t xml:space="preserve"> that Ofgem has decided to</w:t>
      </w:r>
      <w:r w:rsidRPr="0052212C">
        <w:rPr>
          <w:rFonts w:ascii="Open Sans" w:hAnsi="Open Sans" w:cs="Open Sans"/>
        </w:rPr>
        <w:t xml:space="preserve"> take, alongside the action plans recently published by ENA and N</w:t>
      </w:r>
      <w:r>
        <w:rPr>
          <w:rFonts w:ascii="Open Sans" w:hAnsi="Open Sans" w:cs="Open Sans"/>
        </w:rPr>
        <w:t>ational Grid</w:t>
      </w:r>
      <w:r w:rsidRPr="0052212C">
        <w:rPr>
          <w:rFonts w:ascii="Open Sans" w:hAnsi="Open Sans" w:cs="Open Sans"/>
        </w:rPr>
        <w:t xml:space="preserve"> ESO. </w:t>
      </w:r>
      <w:r>
        <w:rPr>
          <w:rFonts w:ascii="Open Sans" w:hAnsi="Open Sans" w:cs="Open Sans"/>
        </w:rPr>
        <w:t>The</w:t>
      </w:r>
      <w:r w:rsidRPr="0052212C">
        <w:rPr>
          <w:rFonts w:ascii="Open Sans" w:hAnsi="Open Sans" w:cs="Open Sans"/>
        </w:rPr>
        <w:t xml:space="preserve"> REA and its members look forward to working with Ofgem on implementation. </w:t>
      </w:r>
    </w:p>
    <w:p w14:paraId="3050AB5F" w14:textId="72B64FE2" w:rsidR="00711B97" w:rsidRPr="00320EDA" w:rsidRDefault="008176C8" w:rsidP="0052212C">
      <w:pPr>
        <w:jc w:val="both"/>
        <w:rPr>
          <w:rFonts w:ascii="Open Sans" w:hAnsi="Open Sans" w:cs="Open Sans"/>
        </w:rPr>
      </w:pPr>
      <w:r>
        <w:rPr>
          <w:rFonts w:ascii="Open Sans" w:hAnsi="Open Sans" w:cs="Open Sans"/>
        </w:rPr>
        <w:t>We</w:t>
      </w:r>
      <w:r w:rsidR="0052212C" w:rsidRPr="0052212C">
        <w:rPr>
          <w:rFonts w:ascii="Open Sans" w:hAnsi="Open Sans" w:cs="Open Sans"/>
        </w:rPr>
        <w:t xml:space="preserve"> wish to highlight a couple of points in relation to the suggested plans below.</w:t>
      </w:r>
    </w:p>
    <w:p w14:paraId="255CDF70" w14:textId="3670F66C" w:rsidR="00320EDA" w:rsidRDefault="008E5DD2" w:rsidP="009B1179">
      <w:pPr>
        <w:jc w:val="both"/>
        <w:rPr>
          <w:rFonts w:ascii="Open Sans" w:hAnsi="Open Sans" w:cs="Open Sans"/>
          <w:b/>
          <w:bCs/>
        </w:rPr>
      </w:pPr>
      <w:r>
        <w:rPr>
          <w:rFonts w:ascii="Open Sans" w:hAnsi="Open Sans" w:cs="Open Sans"/>
          <w:b/>
          <w:bCs/>
        </w:rPr>
        <w:t>Strategic Network Investment</w:t>
      </w:r>
    </w:p>
    <w:p w14:paraId="6FC2F248" w14:textId="5925E9D6" w:rsidR="008E5DD2" w:rsidRDefault="003F56A6" w:rsidP="009B1179">
      <w:pPr>
        <w:jc w:val="both"/>
        <w:rPr>
          <w:rFonts w:ascii="Open Sans" w:hAnsi="Open Sans" w:cs="Open Sans"/>
        </w:rPr>
      </w:pPr>
      <w:r>
        <w:rPr>
          <w:rFonts w:ascii="Open Sans" w:hAnsi="Open Sans" w:cs="Open Sans"/>
        </w:rPr>
        <w:t>The REA w</w:t>
      </w:r>
      <w:r w:rsidRPr="003F56A6">
        <w:rPr>
          <w:rFonts w:ascii="Open Sans" w:hAnsi="Open Sans" w:cs="Open Sans"/>
        </w:rPr>
        <w:t>elcome the moves taken in RIIO 2</w:t>
      </w:r>
      <w:r>
        <w:rPr>
          <w:rFonts w:ascii="Open Sans" w:hAnsi="Open Sans" w:cs="Open Sans"/>
        </w:rPr>
        <w:t>,</w:t>
      </w:r>
      <w:r w:rsidRPr="003F56A6">
        <w:rPr>
          <w:rFonts w:ascii="Open Sans" w:hAnsi="Open Sans" w:cs="Open Sans"/>
        </w:rPr>
        <w:t xml:space="preserve"> but </w:t>
      </w:r>
      <w:r>
        <w:rPr>
          <w:rFonts w:ascii="Open Sans" w:hAnsi="Open Sans" w:cs="Open Sans"/>
        </w:rPr>
        <w:t xml:space="preserve">we would </w:t>
      </w:r>
      <w:r w:rsidRPr="003F56A6">
        <w:rPr>
          <w:rFonts w:ascii="Open Sans" w:hAnsi="Open Sans" w:cs="Open Sans"/>
        </w:rPr>
        <w:t>also</w:t>
      </w:r>
      <w:r>
        <w:rPr>
          <w:rFonts w:ascii="Open Sans" w:hAnsi="Open Sans" w:cs="Open Sans"/>
        </w:rPr>
        <w:t xml:space="preserve"> like to</w:t>
      </w:r>
      <w:r w:rsidRPr="003F56A6">
        <w:rPr>
          <w:rFonts w:ascii="Open Sans" w:hAnsi="Open Sans" w:cs="Open Sans"/>
        </w:rPr>
        <w:t xml:space="preserve"> highlight </w:t>
      </w:r>
      <w:r>
        <w:rPr>
          <w:rFonts w:ascii="Open Sans" w:hAnsi="Open Sans" w:cs="Open Sans"/>
        </w:rPr>
        <w:t xml:space="preserve">the </w:t>
      </w:r>
      <w:r w:rsidRPr="003F56A6">
        <w:rPr>
          <w:rFonts w:ascii="Open Sans" w:hAnsi="Open Sans" w:cs="Open Sans"/>
        </w:rPr>
        <w:t xml:space="preserve">importance </w:t>
      </w:r>
      <w:r>
        <w:rPr>
          <w:rFonts w:ascii="Open Sans" w:hAnsi="Open Sans" w:cs="Open Sans"/>
        </w:rPr>
        <w:t>of</w:t>
      </w:r>
      <w:r w:rsidRPr="003F56A6">
        <w:rPr>
          <w:rFonts w:ascii="Open Sans" w:hAnsi="Open Sans" w:cs="Open Sans"/>
        </w:rPr>
        <w:t xml:space="preserve"> a clear process for DNOs to go beyond RIIO 2 rulings wh</w:t>
      </w:r>
      <w:r w:rsidR="008C7E21">
        <w:rPr>
          <w:rFonts w:ascii="Open Sans" w:hAnsi="Open Sans" w:cs="Open Sans"/>
        </w:rPr>
        <w:t>en</w:t>
      </w:r>
      <w:r w:rsidRPr="003F56A6">
        <w:rPr>
          <w:rFonts w:ascii="Open Sans" w:hAnsi="Open Sans" w:cs="Open Sans"/>
        </w:rPr>
        <w:t xml:space="preserve"> further investment in grid infrastructure can be demonstrated to be </w:t>
      </w:r>
      <w:r w:rsidR="008C7E21">
        <w:rPr>
          <w:rFonts w:ascii="Open Sans" w:hAnsi="Open Sans" w:cs="Open Sans"/>
        </w:rPr>
        <w:t>necessary</w:t>
      </w:r>
      <w:r w:rsidRPr="003F56A6">
        <w:rPr>
          <w:rFonts w:ascii="Open Sans" w:hAnsi="Open Sans" w:cs="Open Sans"/>
        </w:rPr>
        <w:t xml:space="preserve"> to quickly address capacity constraints</w:t>
      </w:r>
      <w:r w:rsidR="008C7E21">
        <w:rPr>
          <w:rFonts w:ascii="Open Sans" w:hAnsi="Open Sans" w:cs="Open Sans"/>
        </w:rPr>
        <w:t>.</w:t>
      </w:r>
      <w:r w:rsidR="001E5F6E">
        <w:rPr>
          <w:rFonts w:ascii="Open Sans" w:hAnsi="Open Sans" w:cs="Open Sans"/>
        </w:rPr>
        <w:t xml:space="preserve"> </w:t>
      </w:r>
      <w:r w:rsidR="00C83568">
        <w:rPr>
          <w:rFonts w:ascii="Open Sans" w:hAnsi="Open Sans" w:cs="Open Sans"/>
        </w:rPr>
        <w:t xml:space="preserve">We note that </w:t>
      </w:r>
      <w:r w:rsidR="009747A3">
        <w:rPr>
          <w:rFonts w:ascii="Open Sans" w:hAnsi="Open Sans" w:cs="Open Sans"/>
        </w:rPr>
        <w:t>several</w:t>
      </w:r>
      <w:r w:rsidR="00C83568">
        <w:rPr>
          <w:rFonts w:ascii="Open Sans" w:hAnsi="Open Sans" w:cs="Open Sans"/>
        </w:rPr>
        <w:t xml:space="preserve"> DNO business plans </w:t>
      </w:r>
      <w:r w:rsidR="00B84CDA">
        <w:rPr>
          <w:rFonts w:ascii="Open Sans" w:hAnsi="Open Sans" w:cs="Open Sans"/>
        </w:rPr>
        <w:t xml:space="preserve">did originally </w:t>
      </w:r>
      <w:r w:rsidR="00C83568">
        <w:rPr>
          <w:rFonts w:ascii="Open Sans" w:hAnsi="Open Sans" w:cs="Open Sans"/>
        </w:rPr>
        <w:t>include investment intentions</w:t>
      </w:r>
      <w:r w:rsidR="00D11817">
        <w:rPr>
          <w:rFonts w:ascii="Open Sans" w:hAnsi="Open Sans" w:cs="Open Sans"/>
        </w:rPr>
        <w:t xml:space="preserve"> regarding grid reinforcement</w:t>
      </w:r>
      <w:r w:rsidR="00684761">
        <w:rPr>
          <w:rFonts w:ascii="Open Sans" w:hAnsi="Open Sans" w:cs="Open Sans"/>
        </w:rPr>
        <w:t xml:space="preserve"> </w:t>
      </w:r>
      <w:r w:rsidR="00BA7869">
        <w:rPr>
          <w:rFonts w:ascii="Open Sans" w:hAnsi="Open Sans" w:cs="Open Sans"/>
        </w:rPr>
        <w:t xml:space="preserve">that </w:t>
      </w:r>
      <w:r w:rsidR="00684761">
        <w:rPr>
          <w:rFonts w:ascii="Open Sans" w:hAnsi="Open Sans" w:cs="Open Sans"/>
        </w:rPr>
        <w:t>where</w:t>
      </w:r>
      <w:r w:rsidR="00C83568">
        <w:rPr>
          <w:rFonts w:ascii="Open Sans" w:hAnsi="Open Sans" w:cs="Open Sans"/>
        </w:rPr>
        <w:t xml:space="preserve"> beyond the final determinations of Ofgem</w:t>
      </w:r>
      <w:r w:rsidR="00080928">
        <w:rPr>
          <w:rFonts w:ascii="Open Sans" w:hAnsi="Open Sans" w:cs="Open Sans"/>
        </w:rPr>
        <w:t xml:space="preserve">. </w:t>
      </w:r>
      <w:r w:rsidR="00397C4D">
        <w:rPr>
          <w:rFonts w:ascii="Open Sans" w:hAnsi="Open Sans" w:cs="Open Sans"/>
        </w:rPr>
        <w:t xml:space="preserve">Such processes could be used to </w:t>
      </w:r>
      <w:r w:rsidR="00341545">
        <w:rPr>
          <w:rFonts w:ascii="Open Sans" w:hAnsi="Open Sans" w:cs="Open Sans"/>
        </w:rPr>
        <w:t>consider where</w:t>
      </w:r>
      <w:r w:rsidR="00397C4D">
        <w:rPr>
          <w:rFonts w:ascii="Open Sans" w:hAnsi="Open Sans" w:cs="Open Sans"/>
        </w:rPr>
        <w:t xml:space="preserve"> further investments and costs</w:t>
      </w:r>
      <w:r w:rsidR="00341545">
        <w:rPr>
          <w:rFonts w:ascii="Open Sans" w:hAnsi="Open Sans" w:cs="Open Sans"/>
        </w:rPr>
        <w:t xml:space="preserve"> could now be justified</w:t>
      </w:r>
      <w:r w:rsidR="00D11817">
        <w:rPr>
          <w:rFonts w:ascii="Open Sans" w:hAnsi="Open Sans" w:cs="Open Sans"/>
        </w:rPr>
        <w:t xml:space="preserve"> </w:t>
      </w:r>
      <w:r w:rsidR="00341545">
        <w:rPr>
          <w:rFonts w:ascii="Open Sans" w:hAnsi="Open Sans" w:cs="Open Sans"/>
        </w:rPr>
        <w:t>in line</w:t>
      </w:r>
      <w:r w:rsidR="00D11817">
        <w:rPr>
          <w:rFonts w:ascii="Open Sans" w:hAnsi="Open Sans" w:cs="Open Sans"/>
        </w:rPr>
        <w:t xml:space="preserve"> with </w:t>
      </w:r>
      <w:r w:rsidR="00684761">
        <w:rPr>
          <w:rFonts w:ascii="Open Sans" w:hAnsi="Open Sans" w:cs="Open Sans"/>
        </w:rPr>
        <w:t>Ofgem’s</w:t>
      </w:r>
      <w:r w:rsidR="00341545">
        <w:rPr>
          <w:rFonts w:ascii="Open Sans" w:hAnsi="Open Sans" w:cs="Open Sans"/>
        </w:rPr>
        <w:t xml:space="preserve"> stated </w:t>
      </w:r>
      <w:r w:rsidR="00BA7869">
        <w:rPr>
          <w:rFonts w:ascii="Open Sans" w:hAnsi="Open Sans" w:cs="Open Sans"/>
        </w:rPr>
        <w:t xml:space="preserve">grid </w:t>
      </w:r>
      <w:r w:rsidR="00D11817">
        <w:rPr>
          <w:rFonts w:ascii="Open Sans" w:hAnsi="Open Sans" w:cs="Open Sans"/>
        </w:rPr>
        <w:t>ambitions</w:t>
      </w:r>
      <w:r w:rsidR="00BA7869">
        <w:rPr>
          <w:rFonts w:ascii="Open Sans" w:hAnsi="Open Sans" w:cs="Open Sans"/>
        </w:rPr>
        <w:t>.</w:t>
      </w:r>
    </w:p>
    <w:p w14:paraId="3866FA11" w14:textId="77777777" w:rsidR="00B54D6E" w:rsidRDefault="00487877" w:rsidP="009B1179">
      <w:pPr>
        <w:jc w:val="both"/>
        <w:rPr>
          <w:rFonts w:ascii="Open Sans" w:hAnsi="Open Sans" w:cs="Open Sans"/>
          <w:b/>
          <w:bCs/>
        </w:rPr>
      </w:pPr>
      <w:r w:rsidRPr="00487877">
        <w:rPr>
          <w:rFonts w:ascii="Open Sans" w:hAnsi="Open Sans" w:cs="Open Sans"/>
          <w:b/>
          <w:bCs/>
        </w:rPr>
        <w:t>Efficient and flexible network management</w:t>
      </w:r>
    </w:p>
    <w:p w14:paraId="349C004C" w14:textId="7A2A9E43" w:rsidR="0051590A" w:rsidRDefault="00C84E75" w:rsidP="009B1179">
      <w:pPr>
        <w:jc w:val="both"/>
        <w:rPr>
          <w:rFonts w:ascii="Open Sans" w:hAnsi="Open Sans" w:cs="Open Sans"/>
        </w:rPr>
      </w:pPr>
      <w:r>
        <w:rPr>
          <w:rFonts w:ascii="Open Sans" w:hAnsi="Open Sans" w:cs="Open Sans"/>
        </w:rPr>
        <w:t xml:space="preserve">We support the fact </w:t>
      </w:r>
      <w:r w:rsidR="00BA7869">
        <w:rPr>
          <w:rFonts w:ascii="Open Sans" w:hAnsi="Open Sans" w:cs="Open Sans"/>
        </w:rPr>
        <w:t>that Ofgem’s</w:t>
      </w:r>
      <w:r w:rsidR="00685FE2">
        <w:rPr>
          <w:rFonts w:ascii="Open Sans" w:hAnsi="Open Sans" w:cs="Open Sans"/>
        </w:rPr>
        <w:t xml:space="preserve"> </w:t>
      </w:r>
      <w:r w:rsidR="00F60628" w:rsidRPr="00F60628">
        <w:rPr>
          <w:rFonts w:ascii="Open Sans" w:hAnsi="Open Sans" w:cs="Open Sans"/>
        </w:rPr>
        <w:t xml:space="preserve">consultation on the future of local governance and institutions </w:t>
      </w:r>
      <w:r w:rsidR="0012217F">
        <w:rPr>
          <w:rFonts w:ascii="Open Sans" w:hAnsi="Open Sans" w:cs="Open Sans"/>
        </w:rPr>
        <w:t xml:space="preserve">sets out </w:t>
      </w:r>
      <w:r w:rsidR="00FF29FE">
        <w:rPr>
          <w:rFonts w:ascii="Open Sans" w:hAnsi="Open Sans" w:cs="Open Sans"/>
        </w:rPr>
        <w:t>roles and responsibilities</w:t>
      </w:r>
      <w:r w:rsidR="005F0D29">
        <w:rPr>
          <w:rFonts w:ascii="Open Sans" w:hAnsi="Open Sans" w:cs="Open Sans"/>
        </w:rPr>
        <w:t xml:space="preserve"> of key distribution system operator function</w:t>
      </w:r>
      <w:r w:rsidR="001F33A4">
        <w:rPr>
          <w:rFonts w:ascii="Open Sans" w:hAnsi="Open Sans" w:cs="Open Sans"/>
        </w:rPr>
        <w:t>s</w:t>
      </w:r>
      <w:r w:rsidR="007511AF">
        <w:rPr>
          <w:rFonts w:ascii="Open Sans" w:hAnsi="Open Sans" w:cs="Open Sans"/>
        </w:rPr>
        <w:t>. We believe these should be closely mapped to</w:t>
      </w:r>
      <w:r w:rsidR="00032F0F">
        <w:rPr>
          <w:rFonts w:ascii="Open Sans" w:hAnsi="Open Sans" w:cs="Open Sans"/>
        </w:rPr>
        <w:t xml:space="preserve"> the</w:t>
      </w:r>
      <w:r w:rsidR="007511AF">
        <w:rPr>
          <w:rFonts w:ascii="Open Sans" w:hAnsi="Open Sans" w:cs="Open Sans"/>
        </w:rPr>
        <w:t xml:space="preserve"> </w:t>
      </w:r>
      <w:r w:rsidR="004C7400">
        <w:rPr>
          <w:rFonts w:ascii="Open Sans" w:hAnsi="Open Sans" w:cs="Open Sans"/>
        </w:rPr>
        <w:t xml:space="preserve">delivery of the Smart System and </w:t>
      </w:r>
      <w:r w:rsidR="006C2B7D">
        <w:rPr>
          <w:rFonts w:ascii="Open Sans" w:hAnsi="Open Sans" w:cs="Open Sans"/>
        </w:rPr>
        <w:t>Flexibility</w:t>
      </w:r>
      <w:r w:rsidR="004C7400">
        <w:rPr>
          <w:rFonts w:ascii="Open Sans" w:hAnsi="Open Sans" w:cs="Open Sans"/>
        </w:rPr>
        <w:t xml:space="preserve"> Plan </w:t>
      </w:r>
      <w:r w:rsidR="00B9703B">
        <w:rPr>
          <w:rFonts w:ascii="Open Sans" w:hAnsi="Open Sans" w:cs="Open Sans"/>
        </w:rPr>
        <w:t>to</w:t>
      </w:r>
      <w:r w:rsidR="004C7400">
        <w:rPr>
          <w:rFonts w:ascii="Open Sans" w:hAnsi="Open Sans" w:cs="Open Sans"/>
        </w:rPr>
        <w:t xml:space="preserve"> expedite delivery</w:t>
      </w:r>
      <w:r w:rsidR="007511AF">
        <w:rPr>
          <w:rFonts w:ascii="Open Sans" w:hAnsi="Open Sans" w:cs="Open Sans"/>
        </w:rPr>
        <w:t xml:space="preserve"> and ensure common </w:t>
      </w:r>
      <w:r w:rsidR="001F33A4">
        <w:rPr>
          <w:rFonts w:ascii="Open Sans" w:hAnsi="Open Sans" w:cs="Open Sans"/>
        </w:rPr>
        <w:t>direction</w:t>
      </w:r>
      <w:r w:rsidR="00B54D6E">
        <w:rPr>
          <w:rFonts w:ascii="Open Sans" w:hAnsi="Open Sans" w:cs="Open Sans"/>
        </w:rPr>
        <w:t xml:space="preserve">. </w:t>
      </w:r>
    </w:p>
    <w:p w14:paraId="0C2862D7" w14:textId="0B7A4860" w:rsidR="008176C8" w:rsidRPr="007D528F" w:rsidRDefault="00B54D6E" w:rsidP="009B1179">
      <w:pPr>
        <w:jc w:val="both"/>
        <w:rPr>
          <w:rFonts w:ascii="Open Sans" w:hAnsi="Open Sans" w:cs="Open Sans"/>
        </w:rPr>
      </w:pPr>
      <w:r>
        <w:rPr>
          <w:rFonts w:ascii="Open Sans" w:hAnsi="Open Sans" w:cs="Open Sans"/>
        </w:rPr>
        <w:t>In addition,</w:t>
      </w:r>
      <w:r w:rsidR="001F33A4">
        <w:rPr>
          <w:rFonts w:ascii="Open Sans" w:hAnsi="Open Sans" w:cs="Open Sans"/>
        </w:rPr>
        <w:t xml:space="preserve"> we </w:t>
      </w:r>
      <w:r w:rsidR="0051590A">
        <w:rPr>
          <w:rFonts w:ascii="Open Sans" w:hAnsi="Open Sans" w:cs="Open Sans"/>
        </w:rPr>
        <w:t>welcome</w:t>
      </w:r>
      <w:r w:rsidR="001F33A4">
        <w:rPr>
          <w:rFonts w:ascii="Open Sans" w:hAnsi="Open Sans" w:cs="Open Sans"/>
        </w:rPr>
        <w:t xml:space="preserve"> the </w:t>
      </w:r>
      <w:r w:rsidR="00032F0F">
        <w:rPr>
          <w:rFonts w:ascii="Open Sans" w:hAnsi="Open Sans" w:cs="Open Sans"/>
        </w:rPr>
        <w:t>proposed market</w:t>
      </w:r>
      <w:r w:rsidR="008E3EDA">
        <w:rPr>
          <w:rFonts w:ascii="Open Sans" w:hAnsi="Open Sans" w:cs="Open Sans"/>
        </w:rPr>
        <w:t xml:space="preserve"> facilitator</w:t>
      </w:r>
      <w:r w:rsidR="0051590A">
        <w:rPr>
          <w:rFonts w:ascii="Open Sans" w:hAnsi="Open Sans" w:cs="Open Sans"/>
        </w:rPr>
        <w:t xml:space="preserve"> for flexible resources and call for their </w:t>
      </w:r>
      <w:r w:rsidR="007D528F">
        <w:rPr>
          <w:rFonts w:ascii="Open Sans" w:hAnsi="Open Sans" w:cs="Open Sans"/>
        </w:rPr>
        <w:t xml:space="preserve">remit </w:t>
      </w:r>
      <w:r w:rsidR="0051590A">
        <w:rPr>
          <w:rFonts w:ascii="Open Sans" w:hAnsi="Open Sans" w:cs="Open Sans"/>
        </w:rPr>
        <w:t xml:space="preserve">to </w:t>
      </w:r>
      <w:r w:rsidR="008E3EDA" w:rsidRPr="008E3EDA">
        <w:rPr>
          <w:rFonts w:ascii="Open Sans" w:hAnsi="Open Sans" w:cs="Open Sans"/>
        </w:rPr>
        <w:t xml:space="preserve">specifically </w:t>
      </w:r>
      <w:r w:rsidR="0051590A">
        <w:rPr>
          <w:rFonts w:ascii="Open Sans" w:hAnsi="Open Sans" w:cs="Open Sans"/>
        </w:rPr>
        <w:t xml:space="preserve">recognise </w:t>
      </w:r>
      <w:r w:rsidR="008E3EDA" w:rsidRPr="008E3EDA">
        <w:rPr>
          <w:rFonts w:ascii="Open Sans" w:hAnsi="Open Sans" w:cs="Open Sans"/>
        </w:rPr>
        <w:t>the role that storage, at all durations and all technologies (not just batteries and including thermal storage)</w:t>
      </w:r>
      <w:r w:rsidR="008E3EDA">
        <w:rPr>
          <w:rFonts w:ascii="Open Sans" w:hAnsi="Open Sans" w:cs="Open Sans"/>
        </w:rPr>
        <w:t>,</w:t>
      </w:r>
      <w:r w:rsidR="008E3EDA" w:rsidRPr="008E3EDA">
        <w:rPr>
          <w:rFonts w:ascii="Open Sans" w:hAnsi="Open Sans" w:cs="Open Sans"/>
        </w:rPr>
        <w:t xml:space="preserve"> pla</w:t>
      </w:r>
      <w:r w:rsidR="008E3EDA">
        <w:rPr>
          <w:rFonts w:ascii="Open Sans" w:hAnsi="Open Sans" w:cs="Open Sans"/>
        </w:rPr>
        <w:t>ys</w:t>
      </w:r>
      <w:r w:rsidR="008E3EDA" w:rsidRPr="008E3EDA">
        <w:rPr>
          <w:rFonts w:ascii="Open Sans" w:hAnsi="Open Sans" w:cs="Open Sans"/>
        </w:rPr>
        <w:t xml:space="preserve"> in helping to maximi</w:t>
      </w:r>
      <w:r w:rsidR="00B565CC">
        <w:rPr>
          <w:rFonts w:ascii="Open Sans" w:hAnsi="Open Sans" w:cs="Open Sans"/>
        </w:rPr>
        <w:t>s</w:t>
      </w:r>
      <w:r w:rsidR="008E3EDA" w:rsidRPr="008E3EDA">
        <w:rPr>
          <w:rFonts w:ascii="Open Sans" w:hAnsi="Open Sans" w:cs="Open Sans"/>
        </w:rPr>
        <w:t>e current grid capacities and reduce the level of reinforce</w:t>
      </w:r>
      <w:r w:rsidR="008E3EDA">
        <w:rPr>
          <w:rFonts w:ascii="Open Sans" w:hAnsi="Open Sans" w:cs="Open Sans"/>
        </w:rPr>
        <w:t>ment</w:t>
      </w:r>
      <w:r w:rsidR="008E3EDA" w:rsidRPr="008E3EDA">
        <w:rPr>
          <w:rFonts w:ascii="Open Sans" w:hAnsi="Open Sans" w:cs="Open Sans"/>
        </w:rPr>
        <w:t xml:space="preserve"> required.</w:t>
      </w:r>
    </w:p>
    <w:p w14:paraId="58902925" w14:textId="278F8AF7" w:rsidR="00E73068" w:rsidRPr="00A34A75" w:rsidRDefault="00E73068" w:rsidP="006C2B7D">
      <w:pPr>
        <w:jc w:val="both"/>
        <w:rPr>
          <w:rFonts w:ascii="Open Sans" w:hAnsi="Open Sans" w:cs="Open Sans"/>
          <w:b/>
          <w:bCs/>
          <w:i/>
          <w:iCs/>
        </w:rPr>
      </w:pPr>
      <w:r w:rsidRPr="00A34A75">
        <w:rPr>
          <w:rFonts w:ascii="Open Sans" w:hAnsi="Open Sans" w:cs="Open Sans"/>
          <w:b/>
          <w:bCs/>
          <w:i/>
          <w:iCs/>
        </w:rPr>
        <w:t>Fit for the Future Connections Process</w:t>
      </w:r>
    </w:p>
    <w:p w14:paraId="6D764AFA" w14:textId="0B07CC01" w:rsidR="006837B4" w:rsidRDefault="0012584C" w:rsidP="006C2B7D">
      <w:pPr>
        <w:jc w:val="both"/>
        <w:rPr>
          <w:rFonts w:ascii="Open Sans" w:hAnsi="Open Sans" w:cs="Open Sans"/>
        </w:rPr>
      </w:pPr>
      <w:r>
        <w:rPr>
          <w:rFonts w:ascii="Open Sans" w:hAnsi="Open Sans" w:cs="Open Sans"/>
        </w:rPr>
        <w:t xml:space="preserve">The REA </w:t>
      </w:r>
      <w:r w:rsidR="00FD7B20">
        <w:rPr>
          <w:rFonts w:ascii="Open Sans" w:hAnsi="Open Sans" w:cs="Open Sans"/>
        </w:rPr>
        <w:t>welcome</w:t>
      </w:r>
      <w:r w:rsidR="00E73068">
        <w:rPr>
          <w:rFonts w:ascii="Open Sans" w:hAnsi="Open Sans" w:cs="Open Sans"/>
        </w:rPr>
        <w:t>s</w:t>
      </w:r>
      <w:r w:rsidR="00485D08">
        <w:rPr>
          <w:rFonts w:ascii="Open Sans" w:hAnsi="Open Sans" w:cs="Open Sans"/>
        </w:rPr>
        <w:t xml:space="preserve"> </w:t>
      </w:r>
      <w:r w:rsidR="009D3831">
        <w:rPr>
          <w:rFonts w:ascii="Open Sans" w:hAnsi="Open Sans" w:cs="Open Sans"/>
        </w:rPr>
        <w:t>Ofgem</w:t>
      </w:r>
      <w:r w:rsidR="00B565CC">
        <w:rPr>
          <w:rFonts w:ascii="Open Sans" w:hAnsi="Open Sans" w:cs="Open Sans"/>
        </w:rPr>
        <w:t>’</w:t>
      </w:r>
      <w:r w:rsidR="009D3831">
        <w:rPr>
          <w:rFonts w:ascii="Open Sans" w:hAnsi="Open Sans" w:cs="Open Sans"/>
        </w:rPr>
        <w:t xml:space="preserve">s </w:t>
      </w:r>
      <w:r w:rsidR="000441F0">
        <w:rPr>
          <w:rFonts w:ascii="Open Sans" w:hAnsi="Open Sans" w:cs="Open Sans"/>
        </w:rPr>
        <w:t>stated intentions for</w:t>
      </w:r>
      <w:r>
        <w:rPr>
          <w:rFonts w:ascii="Open Sans" w:hAnsi="Open Sans" w:cs="Open Sans"/>
        </w:rPr>
        <w:t xml:space="preserve"> </w:t>
      </w:r>
      <w:r w:rsidR="00FD7B20">
        <w:rPr>
          <w:rFonts w:ascii="Open Sans" w:hAnsi="Open Sans" w:cs="Open Sans"/>
        </w:rPr>
        <w:t>m</w:t>
      </w:r>
      <w:r w:rsidR="00FD7B20" w:rsidRPr="00FD7B20">
        <w:rPr>
          <w:rFonts w:ascii="Open Sans" w:hAnsi="Open Sans" w:cs="Open Sans"/>
        </w:rPr>
        <w:t>ore transparent and standardised information across the system</w:t>
      </w:r>
      <w:r w:rsidR="00681DEA">
        <w:rPr>
          <w:rFonts w:ascii="Open Sans" w:hAnsi="Open Sans" w:cs="Open Sans"/>
        </w:rPr>
        <w:t xml:space="preserve">. Although we recognise that DNOs are privately-owned </w:t>
      </w:r>
      <w:r w:rsidR="00681DEA">
        <w:rPr>
          <w:rFonts w:ascii="Open Sans" w:hAnsi="Open Sans" w:cs="Open Sans"/>
        </w:rPr>
        <w:lastRenderedPageBreak/>
        <w:t xml:space="preserve">entities with their own rules, we would like to highlight that </w:t>
      </w:r>
      <w:r w:rsidR="00FD7B20" w:rsidRPr="00FD7B20">
        <w:rPr>
          <w:rFonts w:ascii="Open Sans" w:hAnsi="Open Sans" w:cs="Open Sans"/>
        </w:rPr>
        <w:t>DNOs should be encouraged</w:t>
      </w:r>
      <w:r w:rsidR="00681DEA">
        <w:rPr>
          <w:rFonts w:ascii="Open Sans" w:hAnsi="Open Sans" w:cs="Open Sans"/>
        </w:rPr>
        <w:t>, as far as possible,</w:t>
      </w:r>
      <w:r w:rsidR="00FD7B20" w:rsidRPr="00FD7B20">
        <w:rPr>
          <w:rFonts w:ascii="Open Sans" w:hAnsi="Open Sans" w:cs="Open Sans"/>
        </w:rPr>
        <w:t xml:space="preserve"> to have standardised applications and process for grid connections.</w:t>
      </w:r>
    </w:p>
    <w:p w14:paraId="7B3F2A28" w14:textId="2B0022BE" w:rsidR="004F4FFE" w:rsidRDefault="00117567" w:rsidP="006C2B7D">
      <w:pPr>
        <w:jc w:val="both"/>
        <w:rPr>
          <w:rFonts w:ascii="Open Sans" w:hAnsi="Open Sans" w:cs="Open Sans"/>
        </w:rPr>
      </w:pPr>
      <w:r>
        <w:rPr>
          <w:rFonts w:ascii="Open Sans" w:hAnsi="Open Sans" w:cs="Open Sans"/>
        </w:rPr>
        <w:t>A</w:t>
      </w:r>
      <w:r w:rsidR="0043207F">
        <w:rPr>
          <w:rFonts w:ascii="Open Sans" w:hAnsi="Open Sans" w:cs="Open Sans"/>
        </w:rPr>
        <w:t>s part developing the connections process</w:t>
      </w:r>
      <w:r w:rsidR="00161B33">
        <w:rPr>
          <w:rFonts w:ascii="Open Sans" w:hAnsi="Open Sans" w:cs="Open Sans"/>
        </w:rPr>
        <w:t>, we</w:t>
      </w:r>
      <w:r w:rsidR="00411675">
        <w:rPr>
          <w:rFonts w:ascii="Open Sans" w:hAnsi="Open Sans" w:cs="Open Sans"/>
        </w:rPr>
        <w:t xml:space="preserve"> support the</w:t>
      </w:r>
      <w:r>
        <w:rPr>
          <w:rFonts w:ascii="Open Sans" w:hAnsi="Open Sans" w:cs="Open Sans"/>
        </w:rPr>
        <w:t xml:space="preserve"> c</w:t>
      </w:r>
      <w:r w:rsidRPr="00117567">
        <w:rPr>
          <w:rFonts w:ascii="Open Sans" w:hAnsi="Open Sans" w:cs="Open Sans"/>
        </w:rPr>
        <w:t>all for</w:t>
      </w:r>
      <w:r w:rsidR="00411675">
        <w:rPr>
          <w:rFonts w:ascii="Open Sans" w:hAnsi="Open Sans" w:cs="Open Sans"/>
        </w:rPr>
        <w:t xml:space="preserve"> a</w:t>
      </w:r>
      <w:r w:rsidRPr="00117567">
        <w:rPr>
          <w:rFonts w:ascii="Open Sans" w:hAnsi="Open Sans" w:cs="Open Sans"/>
        </w:rPr>
        <w:t xml:space="preserve"> review of the queue management process</w:t>
      </w:r>
      <w:r w:rsidR="00411675">
        <w:rPr>
          <w:rFonts w:ascii="Open Sans" w:hAnsi="Open Sans" w:cs="Open Sans"/>
        </w:rPr>
        <w:t xml:space="preserve">, </w:t>
      </w:r>
      <w:r w:rsidR="00EF0832">
        <w:rPr>
          <w:rFonts w:ascii="Open Sans" w:hAnsi="Open Sans" w:cs="Open Sans"/>
        </w:rPr>
        <w:t>this</w:t>
      </w:r>
      <w:r>
        <w:rPr>
          <w:rFonts w:ascii="Open Sans" w:hAnsi="Open Sans" w:cs="Open Sans"/>
        </w:rPr>
        <w:t xml:space="preserve"> should</w:t>
      </w:r>
      <w:r w:rsidRPr="00117567">
        <w:rPr>
          <w:rFonts w:ascii="Open Sans" w:hAnsi="Open Sans" w:cs="Open Sans"/>
        </w:rPr>
        <w:t xml:space="preserve"> be central </w:t>
      </w:r>
      <w:r w:rsidR="00BB3602">
        <w:rPr>
          <w:rFonts w:ascii="Open Sans" w:hAnsi="Open Sans" w:cs="Open Sans"/>
        </w:rPr>
        <w:t>when considering options to deprioritise projects that are not making progress</w:t>
      </w:r>
      <w:r w:rsidRPr="00117567">
        <w:rPr>
          <w:rFonts w:ascii="Open Sans" w:hAnsi="Open Sans" w:cs="Open Sans"/>
        </w:rPr>
        <w:t xml:space="preserve">. This </w:t>
      </w:r>
      <w:r w:rsidR="00BB3602">
        <w:rPr>
          <w:rFonts w:ascii="Open Sans" w:hAnsi="Open Sans" w:cs="Open Sans"/>
        </w:rPr>
        <w:t xml:space="preserve">review should </w:t>
      </w:r>
      <w:r w:rsidRPr="00117567">
        <w:rPr>
          <w:rFonts w:ascii="Open Sans" w:hAnsi="Open Sans" w:cs="Open Sans"/>
        </w:rPr>
        <w:t>include reviewing current DNO milestone dates and thresholds, ensuring that they are fit for purpose and</w:t>
      </w:r>
      <w:r w:rsidR="00BB3602">
        <w:rPr>
          <w:rFonts w:ascii="Open Sans" w:hAnsi="Open Sans" w:cs="Open Sans"/>
        </w:rPr>
        <w:t>, unlike current milestones,</w:t>
      </w:r>
      <w:r w:rsidRPr="00117567">
        <w:rPr>
          <w:rFonts w:ascii="Open Sans" w:hAnsi="Open Sans" w:cs="Open Sans"/>
        </w:rPr>
        <w:t xml:space="preserve"> aligned </w:t>
      </w:r>
      <w:r w:rsidR="00BB3602">
        <w:rPr>
          <w:rFonts w:ascii="Open Sans" w:hAnsi="Open Sans" w:cs="Open Sans"/>
        </w:rPr>
        <w:t>with</w:t>
      </w:r>
      <w:r w:rsidRPr="00117567">
        <w:rPr>
          <w:rFonts w:ascii="Open Sans" w:hAnsi="Open Sans" w:cs="Open Sans"/>
        </w:rPr>
        <w:t xml:space="preserve"> realistic expectations</w:t>
      </w:r>
      <w:r w:rsidR="00BB3602">
        <w:rPr>
          <w:rFonts w:ascii="Open Sans" w:hAnsi="Open Sans" w:cs="Open Sans"/>
        </w:rPr>
        <w:t xml:space="preserve">. </w:t>
      </w:r>
      <w:r w:rsidRPr="00117567">
        <w:rPr>
          <w:rFonts w:ascii="Open Sans" w:hAnsi="Open Sans" w:cs="Open Sans"/>
        </w:rPr>
        <w:t>Typically</w:t>
      </w:r>
      <w:r w:rsidR="00BB3602">
        <w:rPr>
          <w:rFonts w:ascii="Open Sans" w:hAnsi="Open Sans" w:cs="Open Sans"/>
        </w:rPr>
        <w:t>,</w:t>
      </w:r>
      <w:r w:rsidRPr="00117567">
        <w:rPr>
          <w:rFonts w:ascii="Open Sans" w:hAnsi="Open Sans" w:cs="Open Sans"/>
        </w:rPr>
        <w:t xml:space="preserve"> </w:t>
      </w:r>
      <w:r w:rsidR="00411675">
        <w:rPr>
          <w:rFonts w:ascii="Open Sans" w:hAnsi="Open Sans" w:cs="Open Sans"/>
        </w:rPr>
        <w:t>due to current milestones not being readily applicable, the connections milestone</w:t>
      </w:r>
      <w:r w:rsidR="00BB3602">
        <w:rPr>
          <w:rFonts w:ascii="Open Sans" w:hAnsi="Open Sans" w:cs="Open Sans"/>
        </w:rPr>
        <w:t xml:space="preserve"> </w:t>
      </w:r>
      <w:r w:rsidR="00D62D96" w:rsidRPr="00117567">
        <w:rPr>
          <w:rFonts w:ascii="Open Sans" w:hAnsi="Open Sans" w:cs="Open Sans"/>
        </w:rPr>
        <w:t>has</w:t>
      </w:r>
      <w:r w:rsidRPr="00117567">
        <w:rPr>
          <w:rFonts w:ascii="Open Sans" w:hAnsi="Open Sans" w:cs="Open Sans"/>
        </w:rPr>
        <w:t xml:space="preserve"> </w:t>
      </w:r>
      <w:r w:rsidR="00411675">
        <w:rPr>
          <w:rFonts w:ascii="Open Sans" w:hAnsi="Open Sans" w:cs="Open Sans"/>
        </w:rPr>
        <w:t>needed to be</w:t>
      </w:r>
      <w:r w:rsidRPr="00117567">
        <w:rPr>
          <w:rFonts w:ascii="Open Sans" w:hAnsi="Open Sans" w:cs="Open Sans"/>
        </w:rPr>
        <w:t xml:space="preserve"> treated on a case</w:t>
      </w:r>
      <w:r w:rsidR="00BB3602">
        <w:rPr>
          <w:rFonts w:ascii="Open Sans" w:hAnsi="Open Sans" w:cs="Open Sans"/>
        </w:rPr>
        <w:t>-</w:t>
      </w:r>
      <w:r w:rsidRPr="00117567">
        <w:rPr>
          <w:rFonts w:ascii="Open Sans" w:hAnsi="Open Sans" w:cs="Open Sans"/>
        </w:rPr>
        <w:t>by</w:t>
      </w:r>
      <w:r w:rsidR="00BB3602">
        <w:rPr>
          <w:rFonts w:ascii="Open Sans" w:hAnsi="Open Sans" w:cs="Open Sans"/>
        </w:rPr>
        <w:t>-</w:t>
      </w:r>
      <w:r w:rsidRPr="00117567">
        <w:rPr>
          <w:rFonts w:ascii="Open Sans" w:hAnsi="Open Sans" w:cs="Open Sans"/>
        </w:rPr>
        <w:t>case basis</w:t>
      </w:r>
      <w:r w:rsidR="00BB3602">
        <w:rPr>
          <w:rFonts w:ascii="Open Sans" w:hAnsi="Open Sans" w:cs="Open Sans"/>
        </w:rPr>
        <w:t xml:space="preserve">. However, </w:t>
      </w:r>
      <w:r w:rsidRPr="00117567">
        <w:rPr>
          <w:rFonts w:ascii="Open Sans" w:hAnsi="Open Sans" w:cs="Open Sans"/>
        </w:rPr>
        <w:t xml:space="preserve">more </w:t>
      </w:r>
      <w:r w:rsidR="00B565CC" w:rsidRPr="00117567">
        <w:rPr>
          <w:rFonts w:ascii="Open Sans" w:hAnsi="Open Sans" w:cs="Open Sans"/>
        </w:rPr>
        <w:t>standardi</w:t>
      </w:r>
      <w:r w:rsidR="00B565CC">
        <w:rPr>
          <w:rFonts w:ascii="Open Sans" w:hAnsi="Open Sans" w:cs="Open Sans"/>
        </w:rPr>
        <w:t>s</w:t>
      </w:r>
      <w:r w:rsidR="00B565CC" w:rsidRPr="00117567">
        <w:rPr>
          <w:rFonts w:ascii="Open Sans" w:hAnsi="Open Sans" w:cs="Open Sans"/>
        </w:rPr>
        <w:t>ations</w:t>
      </w:r>
      <w:r w:rsidR="00693FE9" w:rsidRPr="00117567">
        <w:rPr>
          <w:rFonts w:ascii="Open Sans" w:hAnsi="Open Sans" w:cs="Open Sans"/>
        </w:rPr>
        <w:t xml:space="preserve"> </w:t>
      </w:r>
      <w:r w:rsidRPr="00117567">
        <w:rPr>
          <w:rFonts w:ascii="Open Sans" w:hAnsi="Open Sans" w:cs="Open Sans"/>
        </w:rPr>
        <w:t>could be achieved through more realistic milestones</w:t>
      </w:r>
      <w:r w:rsidR="00411675">
        <w:rPr>
          <w:rFonts w:ascii="Open Sans" w:hAnsi="Open Sans" w:cs="Open Sans"/>
        </w:rPr>
        <w:t xml:space="preserve"> and consistent application.</w:t>
      </w:r>
    </w:p>
    <w:p w14:paraId="48AEEEC5" w14:textId="4CFDBE67" w:rsidR="00290154" w:rsidRDefault="00290154" w:rsidP="006C2B7D">
      <w:pPr>
        <w:jc w:val="both"/>
        <w:rPr>
          <w:rFonts w:ascii="Open Sans" w:hAnsi="Open Sans" w:cs="Open Sans"/>
        </w:rPr>
      </w:pPr>
      <w:r>
        <w:rPr>
          <w:rFonts w:ascii="Open Sans" w:hAnsi="Open Sans" w:cs="Open Sans"/>
        </w:rPr>
        <w:t>As</w:t>
      </w:r>
      <w:r w:rsidRPr="00290154">
        <w:rPr>
          <w:rFonts w:ascii="Open Sans" w:hAnsi="Open Sans" w:cs="Open Sans"/>
        </w:rPr>
        <w:t xml:space="preserve"> part of </w:t>
      </w:r>
      <w:r>
        <w:rPr>
          <w:rFonts w:ascii="Open Sans" w:hAnsi="Open Sans" w:cs="Open Sans"/>
        </w:rPr>
        <w:t xml:space="preserve">the </w:t>
      </w:r>
      <w:r w:rsidRPr="00290154">
        <w:rPr>
          <w:rFonts w:ascii="Open Sans" w:hAnsi="Open Sans" w:cs="Open Sans"/>
        </w:rPr>
        <w:t>connections process</w:t>
      </w:r>
      <w:r>
        <w:rPr>
          <w:rFonts w:ascii="Open Sans" w:hAnsi="Open Sans" w:cs="Open Sans"/>
        </w:rPr>
        <w:t>,</w:t>
      </w:r>
      <w:r w:rsidRPr="00290154">
        <w:rPr>
          <w:rFonts w:ascii="Open Sans" w:hAnsi="Open Sans" w:cs="Open Sans"/>
        </w:rPr>
        <w:t xml:space="preserve"> Ofgem should also consider the communication processes between DNO</w:t>
      </w:r>
      <w:r>
        <w:rPr>
          <w:rFonts w:ascii="Open Sans" w:hAnsi="Open Sans" w:cs="Open Sans"/>
        </w:rPr>
        <w:t>s</w:t>
      </w:r>
      <w:r w:rsidRPr="00290154">
        <w:rPr>
          <w:rFonts w:ascii="Open Sans" w:hAnsi="Open Sans" w:cs="Open Sans"/>
        </w:rPr>
        <w:t xml:space="preserve"> and National Grid ESO</w:t>
      </w:r>
      <w:r w:rsidR="00D62D96">
        <w:rPr>
          <w:rFonts w:ascii="Open Sans" w:hAnsi="Open Sans" w:cs="Open Sans"/>
        </w:rPr>
        <w:t>,</w:t>
      </w:r>
      <w:r w:rsidRPr="00290154">
        <w:rPr>
          <w:rFonts w:ascii="Open Sans" w:hAnsi="Open Sans" w:cs="Open Sans"/>
        </w:rPr>
        <w:t xml:space="preserve"> as the TNO. </w:t>
      </w:r>
      <w:r w:rsidR="003D12E1">
        <w:rPr>
          <w:rFonts w:ascii="Open Sans" w:hAnsi="Open Sans" w:cs="Open Sans"/>
        </w:rPr>
        <w:t>There needs to be an u</w:t>
      </w:r>
      <w:r w:rsidRPr="00290154">
        <w:rPr>
          <w:rFonts w:ascii="Open Sans" w:hAnsi="Open Sans" w:cs="Open Sans"/>
        </w:rPr>
        <w:t>nderstand</w:t>
      </w:r>
      <w:r w:rsidR="003D12E1">
        <w:rPr>
          <w:rFonts w:ascii="Open Sans" w:hAnsi="Open Sans" w:cs="Open Sans"/>
        </w:rPr>
        <w:t xml:space="preserve">ing </w:t>
      </w:r>
      <w:r w:rsidR="00AB7B1A">
        <w:rPr>
          <w:rFonts w:ascii="Open Sans" w:hAnsi="Open Sans" w:cs="Open Sans"/>
        </w:rPr>
        <w:t>of</w:t>
      </w:r>
      <w:r w:rsidR="00AB7B1A" w:rsidRPr="00290154">
        <w:rPr>
          <w:rFonts w:ascii="Open Sans" w:hAnsi="Open Sans" w:cs="Open Sans"/>
        </w:rPr>
        <w:t xml:space="preserve"> </w:t>
      </w:r>
      <w:r w:rsidRPr="00290154">
        <w:rPr>
          <w:rFonts w:ascii="Open Sans" w:hAnsi="Open Sans" w:cs="Open Sans"/>
        </w:rPr>
        <w:t>how constrain</w:t>
      </w:r>
      <w:r w:rsidR="003D12E1">
        <w:rPr>
          <w:rFonts w:ascii="Open Sans" w:hAnsi="Open Sans" w:cs="Open Sans"/>
        </w:rPr>
        <w:t>s</w:t>
      </w:r>
      <w:r w:rsidRPr="00290154">
        <w:rPr>
          <w:rFonts w:ascii="Open Sans" w:hAnsi="Open Sans" w:cs="Open Sans"/>
        </w:rPr>
        <w:t xml:space="preserve"> at </w:t>
      </w:r>
      <w:r w:rsidR="003D12E1">
        <w:rPr>
          <w:rFonts w:ascii="Open Sans" w:hAnsi="Open Sans" w:cs="Open Sans"/>
        </w:rPr>
        <w:t xml:space="preserve">the </w:t>
      </w:r>
      <w:r w:rsidRPr="00290154">
        <w:rPr>
          <w:rFonts w:ascii="Open Sans" w:hAnsi="Open Sans" w:cs="Open Sans"/>
        </w:rPr>
        <w:t xml:space="preserve">TNO level </w:t>
      </w:r>
      <w:r w:rsidR="00B565CC">
        <w:rPr>
          <w:rFonts w:ascii="Open Sans" w:hAnsi="Open Sans" w:cs="Open Sans"/>
        </w:rPr>
        <w:t xml:space="preserve">can </w:t>
      </w:r>
      <w:r w:rsidRPr="00290154">
        <w:rPr>
          <w:rFonts w:ascii="Open Sans" w:hAnsi="Open Sans" w:cs="Open Sans"/>
        </w:rPr>
        <w:t>also lead to constraint</w:t>
      </w:r>
      <w:r w:rsidR="003D12E1">
        <w:rPr>
          <w:rFonts w:ascii="Open Sans" w:hAnsi="Open Sans" w:cs="Open Sans"/>
        </w:rPr>
        <w:t>s</w:t>
      </w:r>
      <w:r w:rsidRPr="00290154">
        <w:rPr>
          <w:rFonts w:ascii="Open Sans" w:hAnsi="Open Sans" w:cs="Open Sans"/>
        </w:rPr>
        <w:t xml:space="preserve"> at the DNO</w:t>
      </w:r>
      <w:r w:rsidR="003D12E1">
        <w:rPr>
          <w:rFonts w:ascii="Open Sans" w:hAnsi="Open Sans" w:cs="Open Sans"/>
        </w:rPr>
        <w:t xml:space="preserve"> level</w:t>
      </w:r>
      <w:r w:rsidR="00ED7BC2">
        <w:rPr>
          <w:rFonts w:ascii="Open Sans" w:hAnsi="Open Sans" w:cs="Open Sans"/>
        </w:rPr>
        <w:t>. In the past</w:t>
      </w:r>
      <w:r w:rsidR="00B565CC">
        <w:rPr>
          <w:rFonts w:ascii="Open Sans" w:hAnsi="Open Sans" w:cs="Open Sans"/>
        </w:rPr>
        <w:t>,</w:t>
      </w:r>
      <w:r w:rsidR="00ED7BC2">
        <w:rPr>
          <w:rFonts w:ascii="Open Sans" w:hAnsi="Open Sans" w:cs="Open Sans"/>
        </w:rPr>
        <w:t xml:space="preserve"> DNO </w:t>
      </w:r>
      <w:r w:rsidR="00DC78CC">
        <w:rPr>
          <w:rFonts w:ascii="Open Sans" w:hAnsi="Open Sans" w:cs="Open Sans"/>
        </w:rPr>
        <w:t>delays</w:t>
      </w:r>
      <w:r w:rsidR="00ED7BC2">
        <w:rPr>
          <w:rFonts w:ascii="Open Sans" w:hAnsi="Open Sans" w:cs="Open Sans"/>
        </w:rPr>
        <w:t xml:space="preserve"> caused by TNO </w:t>
      </w:r>
      <w:r w:rsidR="00DC78CC">
        <w:rPr>
          <w:rFonts w:ascii="Open Sans" w:hAnsi="Open Sans" w:cs="Open Sans"/>
        </w:rPr>
        <w:t xml:space="preserve">constraints have been deprioritised behind reinforcements </w:t>
      </w:r>
      <w:r w:rsidR="005862FE">
        <w:rPr>
          <w:rFonts w:ascii="Open Sans" w:hAnsi="Open Sans" w:cs="Open Sans"/>
        </w:rPr>
        <w:t>required for direct</w:t>
      </w:r>
      <w:r w:rsidR="00DC78CC">
        <w:rPr>
          <w:rFonts w:ascii="Open Sans" w:hAnsi="Open Sans" w:cs="Open Sans"/>
        </w:rPr>
        <w:t xml:space="preserve"> TNO </w:t>
      </w:r>
      <w:r w:rsidR="005862FE">
        <w:rPr>
          <w:rFonts w:ascii="Open Sans" w:hAnsi="Open Sans" w:cs="Open Sans"/>
        </w:rPr>
        <w:t>applications. T</w:t>
      </w:r>
      <w:r w:rsidR="00755B78">
        <w:rPr>
          <w:rFonts w:ascii="Open Sans" w:hAnsi="Open Sans" w:cs="Open Sans"/>
        </w:rPr>
        <w:t>here needs to be assurance</w:t>
      </w:r>
      <w:r w:rsidR="005862FE">
        <w:rPr>
          <w:rFonts w:ascii="Open Sans" w:hAnsi="Open Sans" w:cs="Open Sans"/>
        </w:rPr>
        <w:t xml:space="preserve"> for the DN</w:t>
      </w:r>
      <w:r w:rsidR="00485D08">
        <w:rPr>
          <w:rFonts w:ascii="Open Sans" w:hAnsi="Open Sans" w:cs="Open Sans"/>
        </w:rPr>
        <w:t xml:space="preserve">Os and developers that </w:t>
      </w:r>
      <w:r w:rsidR="00EF0832">
        <w:rPr>
          <w:rFonts w:ascii="Open Sans" w:hAnsi="Open Sans" w:cs="Open Sans"/>
        </w:rPr>
        <w:t>relevant</w:t>
      </w:r>
      <w:r w:rsidR="00485D08">
        <w:rPr>
          <w:rFonts w:ascii="Open Sans" w:hAnsi="Open Sans" w:cs="Open Sans"/>
        </w:rPr>
        <w:t xml:space="preserve"> TNO </w:t>
      </w:r>
      <w:r w:rsidRPr="00290154">
        <w:rPr>
          <w:rFonts w:ascii="Open Sans" w:hAnsi="Open Sans" w:cs="Open Sans"/>
        </w:rPr>
        <w:t>issues</w:t>
      </w:r>
      <w:r w:rsidR="002516A7">
        <w:rPr>
          <w:rFonts w:ascii="Open Sans" w:hAnsi="Open Sans" w:cs="Open Sans"/>
        </w:rPr>
        <w:t xml:space="preserve">, </w:t>
      </w:r>
      <w:r w:rsidR="00EF0832">
        <w:rPr>
          <w:rFonts w:ascii="Open Sans" w:hAnsi="Open Sans" w:cs="Open Sans"/>
        </w:rPr>
        <w:t xml:space="preserve">that have knock on effects for distribution </w:t>
      </w:r>
      <w:r w:rsidR="002516A7">
        <w:rPr>
          <w:rFonts w:ascii="Open Sans" w:hAnsi="Open Sans" w:cs="Open Sans"/>
        </w:rPr>
        <w:t>networks, can</w:t>
      </w:r>
      <w:r w:rsidR="00755B78">
        <w:rPr>
          <w:rFonts w:ascii="Open Sans" w:hAnsi="Open Sans" w:cs="Open Sans"/>
        </w:rPr>
        <w:t xml:space="preserve"> be</w:t>
      </w:r>
      <w:r w:rsidRPr="00290154">
        <w:rPr>
          <w:rFonts w:ascii="Open Sans" w:hAnsi="Open Sans" w:cs="Open Sans"/>
        </w:rPr>
        <w:t xml:space="preserve"> resolved in </w:t>
      </w:r>
      <w:r w:rsidR="002516A7">
        <w:rPr>
          <w:rFonts w:ascii="Open Sans" w:hAnsi="Open Sans" w:cs="Open Sans"/>
        </w:rPr>
        <w:t xml:space="preserve">a </w:t>
      </w:r>
      <w:r w:rsidRPr="00290154">
        <w:rPr>
          <w:rFonts w:ascii="Open Sans" w:hAnsi="Open Sans" w:cs="Open Sans"/>
        </w:rPr>
        <w:t>sensible and time</w:t>
      </w:r>
      <w:r w:rsidR="003D12E1">
        <w:rPr>
          <w:rFonts w:ascii="Open Sans" w:hAnsi="Open Sans" w:cs="Open Sans"/>
        </w:rPr>
        <w:t>l</w:t>
      </w:r>
      <w:r w:rsidRPr="00290154">
        <w:rPr>
          <w:rFonts w:ascii="Open Sans" w:hAnsi="Open Sans" w:cs="Open Sans"/>
        </w:rPr>
        <w:t>y manner</w:t>
      </w:r>
      <w:r w:rsidR="00485D08">
        <w:rPr>
          <w:rFonts w:ascii="Open Sans" w:hAnsi="Open Sans" w:cs="Open Sans"/>
        </w:rPr>
        <w:t xml:space="preserve"> in parallel to direct TNO applications</w:t>
      </w:r>
      <w:r w:rsidRPr="00290154">
        <w:rPr>
          <w:rFonts w:ascii="Open Sans" w:hAnsi="Open Sans" w:cs="Open Sans"/>
        </w:rPr>
        <w:t>.</w:t>
      </w:r>
    </w:p>
    <w:p w14:paraId="734703F8" w14:textId="2211F798" w:rsidR="006B4F4D" w:rsidRDefault="006B4F4D" w:rsidP="006C2B7D">
      <w:pPr>
        <w:jc w:val="both"/>
        <w:rPr>
          <w:rFonts w:ascii="Open Sans" w:hAnsi="Open Sans" w:cs="Open Sans"/>
        </w:rPr>
      </w:pPr>
      <w:r>
        <w:rPr>
          <w:rFonts w:ascii="Open Sans" w:hAnsi="Open Sans" w:cs="Open Sans"/>
        </w:rPr>
        <w:t>Finally,</w:t>
      </w:r>
      <w:r w:rsidR="00B86C7D">
        <w:rPr>
          <w:rFonts w:ascii="Open Sans" w:hAnsi="Open Sans" w:cs="Open Sans"/>
        </w:rPr>
        <w:t xml:space="preserve"> the Government is working with industry to create</w:t>
      </w:r>
      <w:r w:rsidR="009C78F1">
        <w:rPr>
          <w:rFonts w:ascii="Open Sans" w:hAnsi="Open Sans" w:cs="Open Sans"/>
        </w:rPr>
        <w:t xml:space="preserve"> </w:t>
      </w:r>
      <w:r w:rsidR="00B86C7D">
        <w:rPr>
          <w:rFonts w:ascii="Open Sans" w:hAnsi="Open Sans" w:cs="Open Sans"/>
        </w:rPr>
        <w:t xml:space="preserve">road maps for the deployment of renewable technologies, including the solar taskforce. </w:t>
      </w:r>
      <w:r w:rsidR="009C78F1">
        <w:rPr>
          <w:rFonts w:ascii="Open Sans" w:hAnsi="Open Sans" w:cs="Open Sans"/>
        </w:rPr>
        <w:t xml:space="preserve">A timely grid connection is essential for achieving the milestones within these road maps. </w:t>
      </w:r>
      <w:r w:rsidR="00494234">
        <w:rPr>
          <w:rFonts w:ascii="Open Sans" w:hAnsi="Open Sans" w:cs="Open Sans"/>
        </w:rPr>
        <w:t xml:space="preserve">The REA encourages clear communication between this taskforce, Ofgem, and DNOs to ensure that </w:t>
      </w:r>
      <w:r w:rsidR="00AB25B4">
        <w:rPr>
          <w:rFonts w:ascii="Open Sans" w:hAnsi="Open Sans" w:cs="Open Sans"/>
        </w:rPr>
        <w:t>changes implemented by Ofgem are integrated into the road maps.</w:t>
      </w:r>
    </w:p>
    <w:p w14:paraId="063B4934" w14:textId="64B6DCA8" w:rsidR="003D12E1" w:rsidRDefault="00425EC3" w:rsidP="006C2B7D">
      <w:pPr>
        <w:jc w:val="both"/>
        <w:rPr>
          <w:rFonts w:ascii="Open Sans" w:hAnsi="Open Sans" w:cs="Open Sans"/>
          <w:b/>
          <w:bCs/>
        </w:rPr>
      </w:pPr>
      <w:r w:rsidRPr="00425EC3">
        <w:rPr>
          <w:rFonts w:ascii="Open Sans" w:hAnsi="Open Sans" w:cs="Open Sans"/>
          <w:b/>
          <w:bCs/>
        </w:rPr>
        <w:t>Short-term action (2023)</w:t>
      </w:r>
    </w:p>
    <w:p w14:paraId="59995BA5" w14:textId="26FB4BD6" w:rsidR="00CA2AC0" w:rsidRDefault="0096036C" w:rsidP="006C2B7D">
      <w:pPr>
        <w:jc w:val="both"/>
        <w:rPr>
          <w:rFonts w:ascii="Open Sans" w:hAnsi="Open Sans" w:cs="Open Sans"/>
        </w:rPr>
      </w:pPr>
      <w:r>
        <w:rPr>
          <w:rFonts w:ascii="Open Sans" w:hAnsi="Open Sans" w:cs="Open Sans"/>
        </w:rPr>
        <w:t>The REA welcomes the proposed timeline</w:t>
      </w:r>
      <w:r w:rsidR="008330DF">
        <w:rPr>
          <w:rFonts w:ascii="Open Sans" w:hAnsi="Open Sans" w:cs="Open Sans"/>
        </w:rPr>
        <w:t xml:space="preserve">, and we would emphasise that this timeline should remain fixed and not be allowed to slip. </w:t>
      </w:r>
      <w:r w:rsidR="00CA2AC0">
        <w:rPr>
          <w:rFonts w:ascii="Open Sans" w:hAnsi="Open Sans" w:cs="Open Sans"/>
        </w:rPr>
        <w:t xml:space="preserve">As committed to, </w:t>
      </w:r>
      <w:r w:rsidR="00811078">
        <w:rPr>
          <w:rFonts w:ascii="Open Sans" w:hAnsi="Open Sans" w:cs="Open Sans"/>
        </w:rPr>
        <w:t>n</w:t>
      </w:r>
      <w:r w:rsidR="00F60576">
        <w:rPr>
          <w:rFonts w:ascii="Open Sans" w:hAnsi="Open Sans" w:cs="Open Sans"/>
        </w:rPr>
        <w:t xml:space="preserve">ew connection offers must be </w:t>
      </w:r>
      <w:r w:rsidR="00CA2AC0">
        <w:rPr>
          <w:rFonts w:ascii="Open Sans" w:hAnsi="Open Sans" w:cs="Open Sans"/>
        </w:rPr>
        <w:t>available for</w:t>
      </w:r>
      <w:r w:rsidR="00F32D31">
        <w:rPr>
          <w:rFonts w:ascii="Open Sans" w:hAnsi="Open Sans" w:cs="Open Sans"/>
        </w:rPr>
        <w:t xml:space="preserve"> existing</w:t>
      </w:r>
      <w:r w:rsidR="00CA2AC0">
        <w:rPr>
          <w:rFonts w:ascii="Open Sans" w:hAnsi="Open Sans" w:cs="Open Sans"/>
        </w:rPr>
        <w:t xml:space="preserve"> projects by March 2024. </w:t>
      </w:r>
    </w:p>
    <w:p w14:paraId="580BC236" w14:textId="6FE3446D" w:rsidR="00425EC3" w:rsidRDefault="008330DF" w:rsidP="006C2B7D">
      <w:pPr>
        <w:jc w:val="both"/>
        <w:rPr>
          <w:rFonts w:ascii="Open Sans" w:hAnsi="Open Sans" w:cs="Open Sans"/>
        </w:rPr>
      </w:pPr>
      <w:r>
        <w:rPr>
          <w:rFonts w:ascii="Open Sans" w:hAnsi="Open Sans" w:cs="Open Sans"/>
        </w:rPr>
        <w:t xml:space="preserve">As mentioned under the efficient and flexible network management section, </w:t>
      </w:r>
      <w:r w:rsidR="00A80B49">
        <w:rPr>
          <w:rFonts w:ascii="Open Sans" w:hAnsi="Open Sans" w:cs="Open Sans"/>
        </w:rPr>
        <w:t xml:space="preserve">reviewing current DNO milestone dates and thresholds should be </w:t>
      </w:r>
      <w:r w:rsidR="001E7E04">
        <w:rPr>
          <w:rFonts w:ascii="Open Sans" w:hAnsi="Open Sans" w:cs="Open Sans"/>
        </w:rPr>
        <w:t>an</w:t>
      </w:r>
      <w:r w:rsidR="007A562E">
        <w:rPr>
          <w:rFonts w:ascii="Open Sans" w:hAnsi="Open Sans" w:cs="Open Sans"/>
        </w:rPr>
        <w:t xml:space="preserve"> </w:t>
      </w:r>
      <w:r w:rsidR="001E7E04">
        <w:rPr>
          <w:rFonts w:ascii="Open Sans" w:hAnsi="Open Sans" w:cs="Open Sans"/>
        </w:rPr>
        <w:t>immediate</w:t>
      </w:r>
      <w:r w:rsidR="00811078">
        <w:rPr>
          <w:rFonts w:ascii="Open Sans" w:hAnsi="Open Sans" w:cs="Open Sans"/>
        </w:rPr>
        <w:t xml:space="preserve"> </w:t>
      </w:r>
      <w:r w:rsidR="003E6F7B">
        <w:rPr>
          <w:rFonts w:ascii="Open Sans" w:hAnsi="Open Sans" w:cs="Open Sans"/>
        </w:rPr>
        <w:t>action on</w:t>
      </w:r>
      <w:r w:rsidR="007A562E">
        <w:rPr>
          <w:rFonts w:ascii="Open Sans" w:hAnsi="Open Sans" w:cs="Open Sans"/>
        </w:rPr>
        <w:t xml:space="preserve"> queue management.</w:t>
      </w:r>
      <w:r w:rsidR="007A562E" w:rsidRPr="007A562E">
        <w:rPr>
          <w:rFonts w:ascii="Open Sans" w:hAnsi="Open Sans" w:cs="Open Sans"/>
        </w:rPr>
        <w:t xml:space="preserve"> </w:t>
      </w:r>
      <w:r w:rsidR="007A562E">
        <w:rPr>
          <w:rFonts w:ascii="Open Sans" w:hAnsi="Open Sans" w:cs="Open Sans"/>
        </w:rPr>
        <w:t>To tailor these initial proposals to industry and ensure maximum compliance,</w:t>
      </w:r>
      <w:r w:rsidR="007A562E" w:rsidRPr="007A562E">
        <w:rPr>
          <w:rFonts w:ascii="Open Sans" w:hAnsi="Open Sans" w:cs="Open Sans"/>
        </w:rPr>
        <w:t xml:space="preserve"> is also important t</w:t>
      </w:r>
      <w:r w:rsidR="007A562E">
        <w:rPr>
          <w:rFonts w:ascii="Open Sans" w:hAnsi="Open Sans" w:cs="Open Sans"/>
        </w:rPr>
        <w:t>o</w:t>
      </w:r>
      <w:r w:rsidR="007A562E" w:rsidRPr="007A562E">
        <w:rPr>
          <w:rFonts w:ascii="Open Sans" w:hAnsi="Open Sans" w:cs="Open Sans"/>
        </w:rPr>
        <w:t xml:space="preserve"> hear direct</w:t>
      </w:r>
      <w:r w:rsidR="007A562E">
        <w:rPr>
          <w:rFonts w:ascii="Open Sans" w:hAnsi="Open Sans" w:cs="Open Sans"/>
        </w:rPr>
        <w:t>ly</w:t>
      </w:r>
      <w:r w:rsidR="007A562E" w:rsidRPr="007A562E">
        <w:rPr>
          <w:rFonts w:ascii="Open Sans" w:hAnsi="Open Sans" w:cs="Open Sans"/>
        </w:rPr>
        <w:t xml:space="preserve"> from developers on </w:t>
      </w:r>
      <w:r w:rsidR="007A562E">
        <w:rPr>
          <w:rFonts w:ascii="Open Sans" w:hAnsi="Open Sans" w:cs="Open Sans"/>
        </w:rPr>
        <w:t>issues at the distribution level. T</w:t>
      </w:r>
      <w:r w:rsidR="007A562E" w:rsidRPr="007A562E">
        <w:rPr>
          <w:rFonts w:ascii="Open Sans" w:hAnsi="Open Sans" w:cs="Open Sans"/>
        </w:rPr>
        <w:t xml:space="preserve">he REA would </w:t>
      </w:r>
      <w:r w:rsidR="007A562E">
        <w:rPr>
          <w:rFonts w:ascii="Open Sans" w:hAnsi="Open Sans" w:cs="Open Sans"/>
        </w:rPr>
        <w:t xml:space="preserve">be happy to </w:t>
      </w:r>
      <w:r w:rsidR="007A562E" w:rsidRPr="007A562E">
        <w:rPr>
          <w:rFonts w:ascii="Open Sans" w:hAnsi="Open Sans" w:cs="Open Sans"/>
        </w:rPr>
        <w:t>arrang</w:t>
      </w:r>
      <w:r w:rsidR="007A562E">
        <w:rPr>
          <w:rFonts w:ascii="Open Sans" w:hAnsi="Open Sans" w:cs="Open Sans"/>
        </w:rPr>
        <w:t>e</w:t>
      </w:r>
      <w:r w:rsidR="007A562E" w:rsidRPr="007A562E">
        <w:rPr>
          <w:rFonts w:ascii="Open Sans" w:hAnsi="Open Sans" w:cs="Open Sans"/>
        </w:rPr>
        <w:t xml:space="preserve"> relevant </w:t>
      </w:r>
      <w:r w:rsidR="007A562E">
        <w:rPr>
          <w:rFonts w:ascii="Open Sans" w:hAnsi="Open Sans" w:cs="Open Sans"/>
        </w:rPr>
        <w:t>roundtable meetings</w:t>
      </w:r>
      <w:r w:rsidR="007A562E" w:rsidRPr="007A562E">
        <w:rPr>
          <w:rFonts w:ascii="Open Sans" w:hAnsi="Open Sans" w:cs="Open Sans"/>
        </w:rPr>
        <w:t xml:space="preserve"> to facilitate </w:t>
      </w:r>
      <w:r w:rsidR="00542950">
        <w:rPr>
          <w:rFonts w:ascii="Open Sans" w:hAnsi="Open Sans" w:cs="Open Sans"/>
        </w:rPr>
        <w:t xml:space="preserve">such </w:t>
      </w:r>
      <w:r w:rsidR="007A562E" w:rsidRPr="007A562E">
        <w:rPr>
          <w:rFonts w:ascii="Open Sans" w:hAnsi="Open Sans" w:cs="Open Sans"/>
        </w:rPr>
        <w:t>discussions</w:t>
      </w:r>
      <w:r w:rsidR="007A562E">
        <w:rPr>
          <w:rFonts w:ascii="Open Sans" w:hAnsi="Open Sans" w:cs="Open Sans"/>
        </w:rPr>
        <w:t>.</w:t>
      </w:r>
    </w:p>
    <w:p w14:paraId="67144161" w14:textId="480DFABF" w:rsidR="007A562E" w:rsidRDefault="00FA2064" w:rsidP="006C2B7D">
      <w:pPr>
        <w:jc w:val="both"/>
        <w:rPr>
          <w:rFonts w:ascii="Open Sans" w:hAnsi="Open Sans" w:cs="Open Sans"/>
        </w:rPr>
      </w:pPr>
      <w:r>
        <w:rPr>
          <w:rFonts w:ascii="Open Sans" w:hAnsi="Open Sans" w:cs="Open Sans"/>
        </w:rPr>
        <w:t xml:space="preserve">When considering the </w:t>
      </w:r>
      <w:r w:rsidR="00C56F09">
        <w:rPr>
          <w:rFonts w:ascii="Open Sans" w:hAnsi="Open Sans" w:cs="Open Sans"/>
        </w:rPr>
        <w:t xml:space="preserve">monitoring arrangements for these </w:t>
      </w:r>
      <w:r w:rsidR="003E6F7B">
        <w:rPr>
          <w:rFonts w:ascii="Open Sans" w:hAnsi="Open Sans" w:cs="Open Sans"/>
        </w:rPr>
        <w:t>short-term</w:t>
      </w:r>
      <w:r w:rsidR="00C56F09">
        <w:rPr>
          <w:rFonts w:ascii="Open Sans" w:hAnsi="Open Sans" w:cs="Open Sans"/>
        </w:rPr>
        <w:t xml:space="preserve"> actions</w:t>
      </w:r>
      <w:r w:rsidR="00573B99">
        <w:rPr>
          <w:rFonts w:ascii="Open Sans" w:hAnsi="Open Sans" w:cs="Open Sans"/>
        </w:rPr>
        <w:t>, the REA suggests holding regular</w:t>
      </w:r>
      <w:r w:rsidR="00573B99" w:rsidRPr="00573B99">
        <w:rPr>
          <w:rFonts w:ascii="Open Sans" w:hAnsi="Open Sans" w:cs="Open Sans"/>
        </w:rPr>
        <w:t xml:space="preserve"> review points with industry</w:t>
      </w:r>
      <w:r w:rsidR="00573B99">
        <w:rPr>
          <w:rFonts w:ascii="Open Sans" w:hAnsi="Open Sans" w:cs="Open Sans"/>
        </w:rPr>
        <w:t xml:space="preserve"> by </w:t>
      </w:r>
      <w:r w:rsidR="00130858">
        <w:rPr>
          <w:rFonts w:ascii="Open Sans" w:hAnsi="Open Sans" w:cs="Open Sans"/>
        </w:rPr>
        <w:t xml:space="preserve">running </w:t>
      </w:r>
      <w:r w:rsidR="00573B99">
        <w:rPr>
          <w:rFonts w:ascii="Open Sans" w:hAnsi="Open Sans" w:cs="Open Sans"/>
        </w:rPr>
        <w:t xml:space="preserve">an </w:t>
      </w:r>
      <w:r w:rsidR="00130858">
        <w:rPr>
          <w:rFonts w:ascii="Open Sans" w:hAnsi="Open Sans" w:cs="Open Sans"/>
        </w:rPr>
        <w:t xml:space="preserve">annual </w:t>
      </w:r>
      <w:r w:rsidR="00573B99">
        <w:rPr>
          <w:rFonts w:ascii="Open Sans" w:hAnsi="Open Sans" w:cs="Open Sans"/>
        </w:rPr>
        <w:t xml:space="preserve">industry </w:t>
      </w:r>
      <w:r w:rsidR="00130858">
        <w:rPr>
          <w:rFonts w:ascii="Open Sans" w:hAnsi="Open Sans" w:cs="Open Sans"/>
        </w:rPr>
        <w:t xml:space="preserve">survey </w:t>
      </w:r>
      <w:r w:rsidR="00573B99" w:rsidRPr="00573B99">
        <w:rPr>
          <w:rFonts w:ascii="Open Sans" w:hAnsi="Open Sans" w:cs="Open Sans"/>
        </w:rPr>
        <w:t>to</w:t>
      </w:r>
      <w:r w:rsidR="006A0E56">
        <w:rPr>
          <w:rFonts w:ascii="Open Sans" w:hAnsi="Open Sans" w:cs="Open Sans"/>
        </w:rPr>
        <w:t xml:space="preserve"> </w:t>
      </w:r>
      <w:r w:rsidR="00573B99" w:rsidRPr="00573B99">
        <w:rPr>
          <w:rFonts w:ascii="Open Sans" w:hAnsi="Open Sans" w:cs="Open Sans"/>
        </w:rPr>
        <w:t xml:space="preserve">monitor how </w:t>
      </w:r>
      <w:r w:rsidR="006A0E56">
        <w:rPr>
          <w:rFonts w:ascii="Open Sans" w:hAnsi="Open Sans" w:cs="Open Sans"/>
        </w:rPr>
        <w:t xml:space="preserve">the </w:t>
      </w:r>
      <w:r w:rsidR="00573B99" w:rsidRPr="00573B99">
        <w:rPr>
          <w:rFonts w:ascii="Open Sans" w:hAnsi="Open Sans" w:cs="Open Sans"/>
        </w:rPr>
        <w:t>situation improves or where new issues arise</w:t>
      </w:r>
      <w:r w:rsidR="006A0E56">
        <w:rPr>
          <w:rFonts w:ascii="Open Sans" w:hAnsi="Open Sans" w:cs="Open Sans"/>
        </w:rPr>
        <w:t xml:space="preserve"> for developers.</w:t>
      </w:r>
    </w:p>
    <w:p w14:paraId="1708E6FB" w14:textId="12B88F63" w:rsidR="000C2054" w:rsidRDefault="000C2054" w:rsidP="006C2B7D">
      <w:pPr>
        <w:jc w:val="both"/>
        <w:rPr>
          <w:rFonts w:ascii="Open Sans" w:hAnsi="Open Sans" w:cs="Open Sans"/>
        </w:rPr>
      </w:pPr>
      <w:r>
        <w:rPr>
          <w:rFonts w:ascii="Open Sans" w:hAnsi="Open Sans" w:cs="Open Sans"/>
          <w:b/>
          <w:bCs/>
        </w:rPr>
        <w:t>What you can expect from us</w:t>
      </w:r>
    </w:p>
    <w:p w14:paraId="2ED059A8" w14:textId="446D3AE6" w:rsidR="000C2054" w:rsidRDefault="000C2054" w:rsidP="006C2B7D">
      <w:pPr>
        <w:jc w:val="both"/>
        <w:rPr>
          <w:rFonts w:ascii="Open Sans" w:hAnsi="Open Sans" w:cs="Open Sans"/>
        </w:rPr>
      </w:pPr>
      <w:r>
        <w:rPr>
          <w:rFonts w:ascii="Open Sans" w:hAnsi="Open Sans" w:cs="Open Sans"/>
        </w:rPr>
        <w:lastRenderedPageBreak/>
        <w:t>The REA welcomes Ofgem’s</w:t>
      </w:r>
      <w:r w:rsidR="007E7103">
        <w:rPr>
          <w:rFonts w:ascii="Open Sans" w:hAnsi="Open Sans" w:cs="Open Sans"/>
        </w:rPr>
        <w:t xml:space="preserve"> commitment to working with industry and monitoring the progress of industry initiatives. The REA offers its support in helping to convene</w:t>
      </w:r>
      <w:r w:rsidR="006D4776">
        <w:rPr>
          <w:rFonts w:ascii="Open Sans" w:hAnsi="Open Sans" w:cs="Open Sans"/>
        </w:rPr>
        <w:t xml:space="preserve"> industry to drive these actions forward.</w:t>
      </w:r>
    </w:p>
    <w:p w14:paraId="22E182A5" w14:textId="621DE06E" w:rsidR="006D4776" w:rsidRDefault="00F500A9" w:rsidP="006C2B7D">
      <w:pPr>
        <w:jc w:val="both"/>
        <w:rPr>
          <w:rFonts w:ascii="Open Sans" w:hAnsi="Open Sans" w:cs="Open Sans"/>
        </w:rPr>
      </w:pPr>
      <w:r>
        <w:rPr>
          <w:rFonts w:ascii="Open Sans" w:hAnsi="Open Sans" w:cs="Open Sans"/>
        </w:rPr>
        <w:t>In Figure 1, Ofgem outlines their role and responsibilities</w:t>
      </w:r>
      <w:r w:rsidR="00DF0A15">
        <w:rPr>
          <w:rFonts w:ascii="Open Sans" w:hAnsi="Open Sans" w:cs="Open Sans"/>
        </w:rPr>
        <w:t xml:space="preserve"> </w:t>
      </w:r>
      <w:r w:rsidR="00DF0A15" w:rsidRPr="00DF0A15">
        <w:rPr>
          <w:rFonts w:ascii="Open Sans" w:hAnsi="Open Sans" w:cs="Open Sans"/>
        </w:rPr>
        <w:t>within the review of electricity connections arrangements and future reforms</w:t>
      </w:r>
      <w:r w:rsidR="00DF0A15">
        <w:rPr>
          <w:rFonts w:ascii="Open Sans" w:hAnsi="Open Sans" w:cs="Open Sans"/>
        </w:rPr>
        <w:t>. It would be helpful for Ofgem to further outline how they see their responsibilities changing once the Future System Operator (FSO) is in place.</w:t>
      </w:r>
    </w:p>
    <w:p w14:paraId="252CDE97" w14:textId="601D40B1" w:rsidR="00DC52FE" w:rsidRDefault="00BE5926" w:rsidP="006C2B7D">
      <w:pPr>
        <w:jc w:val="both"/>
        <w:rPr>
          <w:rFonts w:ascii="Open Sans" w:hAnsi="Open Sans" w:cs="Open Sans"/>
          <w:b/>
          <w:bCs/>
        </w:rPr>
      </w:pPr>
      <w:r w:rsidRPr="00BE5926">
        <w:rPr>
          <w:rFonts w:ascii="Open Sans" w:hAnsi="Open Sans" w:cs="Open Sans"/>
          <w:b/>
          <w:bCs/>
        </w:rPr>
        <w:t xml:space="preserve">Annex A: Proposed objective, </w:t>
      </w:r>
      <w:proofErr w:type="gramStart"/>
      <w:r w:rsidRPr="00BE5926">
        <w:rPr>
          <w:rFonts w:ascii="Open Sans" w:hAnsi="Open Sans" w:cs="Open Sans"/>
          <w:b/>
          <w:bCs/>
        </w:rPr>
        <w:t>outcomes</w:t>
      </w:r>
      <w:proofErr w:type="gramEnd"/>
      <w:r w:rsidRPr="00BE5926">
        <w:rPr>
          <w:rFonts w:ascii="Open Sans" w:hAnsi="Open Sans" w:cs="Open Sans"/>
          <w:b/>
          <w:bCs/>
        </w:rPr>
        <w:t xml:space="preserve"> and principles for reform</w:t>
      </w:r>
    </w:p>
    <w:p w14:paraId="72980E4F" w14:textId="4723C6A0" w:rsidR="00506348" w:rsidRDefault="00507EA3" w:rsidP="006C2B7D">
      <w:pPr>
        <w:jc w:val="both"/>
        <w:rPr>
          <w:rFonts w:ascii="Open Sans" w:hAnsi="Open Sans" w:cs="Open Sans"/>
        </w:rPr>
      </w:pPr>
      <w:r>
        <w:rPr>
          <w:rFonts w:ascii="Open Sans" w:hAnsi="Open Sans" w:cs="Open Sans"/>
        </w:rPr>
        <w:t>The principle to ensure g</w:t>
      </w:r>
      <w:r w:rsidRPr="00507EA3">
        <w:rPr>
          <w:rFonts w:ascii="Open Sans" w:hAnsi="Open Sans" w:cs="Open Sans"/>
        </w:rPr>
        <w:t>reater coordination and consistency across system boundaries</w:t>
      </w:r>
      <w:r w:rsidR="00506348">
        <w:rPr>
          <w:rFonts w:ascii="Open Sans" w:hAnsi="Open Sans" w:cs="Open Sans"/>
        </w:rPr>
        <w:t xml:space="preserve"> could be further achieved by </w:t>
      </w:r>
      <w:r w:rsidR="00506348" w:rsidRPr="00506348">
        <w:rPr>
          <w:rFonts w:ascii="Open Sans" w:hAnsi="Open Sans" w:cs="Open Sans"/>
        </w:rPr>
        <w:t>improv</w:t>
      </w:r>
      <w:r w:rsidR="00506348">
        <w:rPr>
          <w:rFonts w:ascii="Open Sans" w:hAnsi="Open Sans" w:cs="Open Sans"/>
        </w:rPr>
        <w:t>ing the</w:t>
      </w:r>
      <w:r w:rsidR="00506348" w:rsidRPr="00506348">
        <w:rPr>
          <w:rFonts w:ascii="Open Sans" w:hAnsi="Open Sans" w:cs="Open Sans"/>
        </w:rPr>
        <w:t xml:space="preserve"> publicly ava</w:t>
      </w:r>
      <w:r w:rsidR="00506348">
        <w:rPr>
          <w:rFonts w:ascii="Open Sans" w:hAnsi="Open Sans" w:cs="Open Sans"/>
        </w:rPr>
        <w:t>il</w:t>
      </w:r>
      <w:r w:rsidR="00506348" w:rsidRPr="00506348">
        <w:rPr>
          <w:rFonts w:ascii="Open Sans" w:hAnsi="Open Sans" w:cs="Open Sans"/>
        </w:rPr>
        <w:t xml:space="preserve">able data across the country on where capacity issues exist and where connections have the shortest time frames. </w:t>
      </w:r>
      <w:r w:rsidR="00EE7891">
        <w:rPr>
          <w:rFonts w:ascii="Open Sans" w:hAnsi="Open Sans" w:cs="Open Sans"/>
        </w:rPr>
        <w:t>T</w:t>
      </w:r>
      <w:r w:rsidR="00506348">
        <w:rPr>
          <w:rFonts w:ascii="Open Sans" w:hAnsi="Open Sans" w:cs="Open Sans"/>
        </w:rPr>
        <w:t xml:space="preserve">his could be </w:t>
      </w:r>
      <w:r w:rsidR="00316FD9">
        <w:rPr>
          <w:rFonts w:ascii="Open Sans" w:hAnsi="Open Sans" w:cs="Open Sans"/>
        </w:rPr>
        <w:t>achieved</w:t>
      </w:r>
      <w:r w:rsidR="00BF2FC3">
        <w:rPr>
          <w:rFonts w:ascii="Open Sans" w:hAnsi="Open Sans" w:cs="Open Sans"/>
        </w:rPr>
        <w:t xml:space="preserve"> by developing standardised capacity constraint </w:t>
      </w:r>
      <w:r w:rsidR="00506348">
        <w:rPr>
          <w:rFonts w:ascii="Open Sans" w:hAnsi="Open Sans" w:cs="Open Sans"/>
        </w:rPr>
        <w:t>h</w:t>
      </w:r>
      <w:r w:rsidR="00506348" w:rsidRPr="00506348">
        <w:rPr>
          <w:rFonts w:ascii="Open Sans" w:hAnsi="Open Sans" w:cs="Open Sans"/>
        </w:rPr>
        <w:t xml:space="preserve">eat </w:t>
      </w:r>
      <w:r w:rsidR="00506348">
        <w:rPr>
          <w:rFonts w:ascii="Open Sans" w:hAnsi="Open Sans" w:cs="Open Sans"/>
        </w:rPr>
        <w:t>m</w:t>
      </w:r>
      <w:r w:rsidR="00506348" w:rsidRPr="00506348">
        <w:rPr>
          <w:rFonts w:ascii="Open Sans" w:hAnsi="Open Sans" w:cs="Open Sans"/>
        </w:rPr>
        <w:t xml:space="preserve">aps </w:t>
      </w:r>
      <w:r w:rsidR="00BF2FC3">
        <w:rPr>
          <w:rFonts w:ascii="Open Sans" w:hAnsi="Open Sans" w:cs="Open Sans"/>
        </w:rPr>
        <w:t xml:space="preserve">that </w:t>
      </w:r>
      <w:r w:rsidR="00506348" w:rsidRPr="00506348">
        <w:rPr>
          <w:rFonts w:ascii="Open Sans" w:hAnsi="Open Sans" w:cs="Open Sans"/>
        </w:rPr>
        <w:t xml:space="preserve">are fully up to date and </w:t>
      </w:r>
      <w:r w:rsidR="00BF2FC3">
        <w:rPr>
          <w:rFonts w:ascii="Open Sans" w:hAnsi="Open Sans" w:cs="Open Sans"/>
        </w:rPr>
        <w:t xml:space="preserve">easily </w:t>
      </w:r>
      <w:r w:rsidR="00506348" w:rsidRPr="00506348">
        <w:rPr>
          <w:rFonts w:ascii="Open Sans" w:hAnsi="Open Sans" w:cs="Open Sans"/>
        </w:rPr>
        <w:t xml:space="preserve">accessible. </w:t>
      </w:r>
    </w:p>
    <w:p w14:paraId="2055D110" w14:textId="215F0A1E" w:rsidR="00BE5926" w:rsidRDefault="005B772F" w:rsidP="006C2B7D">
      <w:pPr>
        <w:jc w:val="both"/>
        <w:rPr>
          <w:rFonts w:ascii="Open Sans" w:hAnsi="Open Sans" w:cs="Open Sans"/>
        </w:rPr>
      </w:pPr>
      <w:r>
        <w:rPr>
          <w:rFonts w:ascii="Open Sans" w:hAnsi="Open Sans" w:cs="Open Sans"/>
        </w:rPr>
        <w:t xml:space="preserve">In the fifth </w:t>
      </w:r>
      <w:r w:rsidR="006A340E" w:rsidRPr="006A340E">
        <w:rPr>
          <w:rFonts w:ascii="Open Sans" w:hAnsi="Open Sans" w:cs="Open Sans"/>
        </w:rPr>
        <w:t>principle</w:t>
      </w:r>
      <w:r w:rsidR="00F63DC4">
        <w:rPr>
          <w:rFonts w:ascii="Open Sans" w:hAnsi="Open Sans" w:cs="Open Sans"/>
        </w:rPr>
        <w:t xml:space="preserve"> of Table 1</w:t>
      </w:r>
      <w:r w:rsidR="006A340E">
        <w:rPr>
          <w:rFonts w:ascii="Open Sans" w:hAnsi="Open Sans" w:cs="Open Sans"/>
        </w:rPr>
        <w:t xml:space="preserve"> (‘</w:t>
      </w:r>
      <w:r w:rsidR="006A340E" w:rsidRPr="006A340E">
        <w:rPr>
          <w:rFonts w:ascii="Open Sans" w:hAnsi="Open Sans" w:cs="Open Sans"/>
        </w:rPr>
        <w:t>Connections reforms are resilient to wider reforms</w:t>
      </w:r>
      <w:r w:rsidR="006A340E">
        <w:rPr>
          <w:rFonts w:ascii="Open Sans" w:hAnsi="Open Sans" w:cs="Open Sans"/>
        </w:rPr>
        <w:t>’)</w:t>
      </w:r>
      <w:r w:rsidR="006A340E" w:rsidRPr="006A340E">
        <w:rPr>
          <w:rFonts w:ascii="Open Sans" w:hAnsi="Open Sans" w:cs="Open Sans"/>
        </w:rPr>
        <w:t xml:space="preserve"> that will guide the review of electricity connections arrangements</w:t>
      </w:r>
      <w:r w:rsidR="006A340E">
        <w:rPr>
          <w:rFonts w:ascii="Open Sans" w:hAnsi="Open Sans" w:cs="Open Sans"/>
        </w:rPr>
        <w:t>, a list of</w:t>
      </w:r>
      <w:r w:rsidR="00C96F9B">
        <w:rPr>
          <w:rFonts w:ascii="Open Sans" w:hAnsi="Open Sans" w:cs="Open Sans"/>
        </w:rPr>
        <w:t xml:space="preserve"> wider reforms programmes</w:t>
      </w:r>
      <w:r w:rsidR="002A05CA">
        <w:rPr>
          <w:rFonts w:ascii="Open Sans" w:hAnsi="Open Sans" w:cs="Open Sans"/>
        </w:rPr>
        <w:t>,</w:t>
      </w:r>
      <w:r w:rsidR="00C96F9B">
        <w:rPr>
          <w:rFonts w:ascii="Open Sans" w:hAnsi="Open Sans" w:cs="Open Sans"/>
        </w:rPr>
        <w:t xml:space="preserve"> that connection reforms should be aligned with</w:t>
      </w:r>
      <w:r w:rsidR="002A05CA">
        <w:rPr>
          <w:rFonts w:ascii="Open Sans" w:hAnsi="Open Sans" w:cs="Open Sans"/>
        </w:rPr>
        <w:t>, is provided</w:t>
      </w:r>
      <w:r w:rsidR="00C96F9B">
        <w:rPr>
          <w:rFonts w:ascii="Open Sans" w:hAnsi="Open Sans" w:cs="Open Sans"/>
        </w:rPr>
        <w:t>.</w:t>
      </w:r>
      <w:r w:rsidR="008D6F3A">
        <w:rPr>
          <w:rFonts w:ascii="Open Sans" w:hAnsi="Open Sans" w:cs="Open Sans"/>
        </w:rPr>
        <w:t xml:space="preserve"> E</w:t>
      </w:r>
      <w:r w:rsidR="008D6F3A" w:rsidRPr="008D6F3A">
        <w:rPr>
          <w:rFonts w:ascii="Open Sans" w:hAnsi="Open Sans" w:cs="Open Sans"/>
        </w:rPr>
        <w:t>volution of market support mechan</w:t>
      </w:r>
      <w:r w:rsidR="008D6F3A">
        <w:rPr>
          <w:rFonts w:ascii="Open Sans" w:hAnsi="Open Sans" w:cs="Open Sans"/>
        </w:rPr>
        <w:t>ism</w:t>
      </w:r>
      <w:r w:rsidR="008D6F3A" w:rsidRPr="008D6F3A">
        <w:rPr>
          <w:rFonts w:ascii="Open Sans" w:hAnsi="Open Sans" w:cs="Open Sans"/>
        </w:rPr>
        <w:t xml:space="preserve"> should </w:t>
      </w:r>
      <w:r w:rsidR="008D6F3A">
        <w:rPr>
          <w:rFonts w:ascii="Open Sans" w:hAnsi="Open Sans" w:cs="Open Sans"/>
        </w:rPr>
        <w:t xml:space="preserve">also </w:t>
      </w:r>
      <w:r w:rsidR="008D6F3A" w:rsidRPr="008D6F3A">
        <w:rPr>
          <w:rFonts w:ascii="Open Sans" w:hAnsi="Open Sans" w:cs="Open Sans"/>
        </w:rPr>
        <w:t xml:space="preserve">be included in this list, especially </w:t>
      </w:r>
      <w:r w:rsidR="008D6F3A">
        <w:rPr>
          <w:rFonts w:ascii="Open Sans" w:hAnsi="Open Sans" w:cs="Open Sans"/>
        </w:rPr>
        <w:t xml:space="preserve">reforms to the </w:t>
      </w:r>
      <w:r w:rsidR="008D6F3A" w:rsidRPr="008D6F3A">
        <w:rPr>
          <w:rFonts w:ascii="Open Sans" w:hAnsi="Open Sans" w:cs="Open Sans"/>
        </w:rPr>
        <w:t>CfD and Capacity Market</w:t>
      </w:r>
      <w:r w:rsidR="008D6F3A">
        <w:rPr>
          <w:rFonts w:ascii="Open Sans" w:hAnsi="Open Sans" w:cs="Open Sans"/>
        </w:rPr>
        <w:t>.</w:t>
      </w:r>
    </w:p>
    <w:p w14:paraId="2143546D" w14:textId="2AD476F9" w:rsidR="002A05CA" w:rsidRDefault="00233655" w:rsidP="006C2B7D">
      <w:pPr>
        <w:jc w:val="both"/>
        <w:rPr>
          <w:rFonts w:ascii="Open Sans" w:hAnsi="Open Sans" w:cs="Open Sans"/>
          <w:b/>
          <w:bCs/>
        </w:rPr>
      </w:pPr>
      <w:r w:rsidRPr="00233655">
        <w:rPr>
          <w:rFonts w:ascii="Open Sans" w:hAnsi="Open Sans" w:cs="Open Sans"/>
          <w:b/>
          <w:bCs/>
        </w:rPr>
        <w:t>Annex B: Illustrative reform stages and options for consideration</w:t>
      </w:r>
    </w:p>
    <w:p w14:paraId="2610634D" w14:textId="3CA866D4" w:rsidR="00D41322" w:rsidRDefault="00D41322" w:rsidP="006C2B7D">
      <w:pPr>
        <w:jc w:val="both"/>
        <w:rPr>
          <w:rFonts w:ascii="Open Sans" w:hAnsi="Open Sans" w:cs="Open Sans"/>
        </w:rPr>
      </w:pPr>
      <w:r>
        <w:rPr>
          <w:rFonts w:ascii="Open Sans" w:hAnsi="Open Sans" w:cs="Open Sans"/>
        </w:rPr>
        <w:t xml:space="preserve">The REA welcomes the </w:t>
      </w:r>
      <w:r w:rsidR="00320B2E">
        <w:rPr>
          <w:rFonts w:ascii="Open Sans" w:hAnsi="Open Sans" w:cs="Open Sans"/>
        </w:rPr>
        <w:t>illustrative stages of reform. We s</w:t>
      </w:r>
      <w:r w:rsidR="00320B2E" w:rsidRPr="00320B2E">
        <w:rPr>
          <w:rFonts w:ascii="Open Sans" w:hAnsi="Open Sans" w:cs="Open Sans"/>
        </w:rPr>
        <w:t xml:space="preserve">uggest </w:t>
      </w:r>
      <w:r w:rsidR="00320B2E">
        <w:rPr>
          <w:rFonts w:ascii="Open Sans" w:hAnsi="Open Sans" w:cs="Open Sans"/>
        </w:rPr>
        <w:t xml:space="preserve">that Ofgem conducts </w:t>
      </w:r>
      <w:r w:rsidR="00320B2E" w:rsidRPr="00320B2E">
        <w:rPr>
          <w:rFonts w:ascii="Open Sans" w:hAnsi="Open Sans" w:cs="Open Sans"/>
        </w:rPr>
        <w:t>frequent review</w:t>
      </w:r>
      <w:r w:rsidR="00320B2E">
        <w:rPr>
          <w:rFonts w:ascii="Open Sans" w:hAnsi="Open Sans" w:cs="Open Sans"/>
        </w:rPr>
        <w:t>s</w:t>
      </w:r>
      <w:r w:rsidR="00320B2E" w:rsidRPr="00320B2E">
        <w:rPr>
          <w:rFonts w:ascii="Open Sans" w:hAnsi="Open Sans" w:cs="Open Sans"/>
        </w:rPr>
        <w:t xml:space="preserve"> with industry to determine progress. </w:t>
      </w:r>
      <w:r w:rsidR="00470E0C">
        <w:rPr>
          <w:rFonts w:ascii="Open Sans" w:hAnsi="Open Sans" w:cs="Open Sans"/>
        </w:rPr>
        <w:t xml:space="preserve">While progressing through these </w:t>
      </w:r>
      <w:r w:rsidR="00A64541">
        <w:rPr>
          <w:rFonts w:ascii="Open Sans" w:hAnsi="Open Sans" w:cs="Open Sans"/>
        </w:rPr>
        <w:t xml:space="preserve">stages there should </w:t>
      </w:r>
      <w:r w:rsidR="00320B2E" w:rsidRPr="00320B2E">
        <w:rPr>
          <w:rFonts w:ascii="Open Sans" w:hAnsi="Open Sans" w:cs="Open Sans"/>
        </w:rPr>
        <w:t>b</w:t>
      </w:r>
      <w:r w:rsidR="00320B2E">
        <w:rPr>
          <w:rFonts w:ascii="Open Sans" w:hAnsi="Open Sans" w:cs="Open Sans"/>
        </w:rPr>
        <w:t>e</w:t>
      </w:r>
      <w:r w:rsidR="00320B2E" w:rsidRPr="00320B2E">
        <w:rPr>
          <w:rFonts w:ascii="Open Sans" w:hAnsi="Open Sans" w:cs="Open Sans"/>
        </w:rPr>
        <w:t xml:space="preserve"> </w:t>
      </w:r>
      <w:r w:rsidR="00320B2E">
        <w:rPr>
          <w:rFonts w:ascii="Open Sans" w:hAnsi="Open Sans" w:cs="Open Sans"/>
        </w:rPr>
        <w:t xml:space="preserve">a </w:t>
      </w:r>
      <w:r w:rsidR="00320B2E" w:rsidRPr="00320B2E">
        <w:rPr>
          <w:rFonts w:ascii="Open Sans" w:hAnsi="Open Sans" w:cs="Open Sans"/>
        </w:rPr>
        <w:t xml:space="preserve">focus on data provision to industry </w:t>
      </w:r>
      <w:r w:rsidR="00320B2E">
        <w:rPr>
          <w:rFonts w:ascii="Open Sans" w:hAnsi="Open Sans" w:cs="Open Sans"/>
        </w:rPr>
        <w:t>for them to</w:t>
      </w:r>
      <w:r w:rsidR="00320B2E" w:rsidRPr="00320B2E">
        <w:rPr>
          <w:rFonts w:ascii="Open Sans" w:hAnsi="Open Sans" w:cs="Open Sans"/>
        </w:rPr>
        <w:t xml:space="preserve"> easily identify areas where improvements are made and where connections </w:t>
      </w:r>
      <w:r w:rsidR="00320B2E">
        <w:rPr>
          <w:rFonts w:ascii="Open Sans" w:hAnsi="Open Sans" w:cs="Open Sans"/>
        </w:rPr>
        <w:t>might be</w:t>
      </w:r>
      <w:r w:rsidR="00320B2E" w:rsidRPr="00320B2E">
        <w:rPr>
          <w:rFonts w:ascii="Open Sans" w:hAnsi="Open Sans" w:cs="Open Sans"/>
        </w:rPr>
        <w:t xml:space="preserve"> possible</w:t>
      </w:r>
      <w:r w:rsidR="00320B2E">
        <w:rPr>
          <w:rFonts w:ascii="Open Sans" w:hAnsi="Open Sans" w:cs="Open Sans"/>
        </w:rPr>
        <w:t>.</w:t>
      </w:r>
    </w:p>
    <w:p w14:paraId="2BDD9161" w14:textId="55352523" w:rsidR="00320B2E" w:rsidRDefault="000B2587" w:rsidP="006C2B7D">
      <w:pPr>
        <w:jc w:val="both"/>
        <w:rPr>
          <w:rFonts w:ascii="Open Sans" w:hAnsi="Open Sans" w:cs="Open Sans"/>
          <w:b/>
          <w:bCs/>
        </w:rPr>
      </w:pPr>
      <w:r w:rsidRPr="000B2587">
        <w:rPr>
          <w:rFonts w:ascii="Open Sans" w:hAnsi="Open Sans" w:cs="Open Sans"/>
          <w:b/>
          <w:bCs/>
        </w:rPr>
        <w:t>Annex C: Key dependencies and longer-term outlook</w:t>
      </w:r>
    </w:p>
    <w:p w14:paraId="6063A655" w14:textId="520AB65F" w:rsidR="000B2587" w:rsidRDefault="000B2587" w:rsidP="006C2B7D">
      <w:pPr>
        <w:jc w:val="both"/>
        <w:rPr>
          <w:rFonts w:ascii="Open Sans" w:hAnsi="Open Sans" w:cs="Open Sans"/>
        </w:rPr>
      </w:pPr>
      <w:r>
        <w:rPr>
          <w:rFonts w:ascii="Open Sans" w:hAnsi="Open Sans" w:cs="Open Sans"/>
        </w:rPr>
        <w:t>When considering how f</w:t>
      </w:r>
      <w:r w:rsidRPr="000B2587">
        <w:rPr>
          <w:rFonts w:ascii="Open Sans" w:hAnsi="Open Sans" w:cs="Open Sans"/>
        </w:rPr>
        <w:t xml:space="preserve">uture connection arrangements </w:t>
      </w:r>
      <w:r>
        <w:rPr>
          <w:rFonts w:ascii="Open Sans" w:hAnsi="Open Sans" w:cs="Open Sans"/>
        </w:rPr>
        <w:t xml:space="preserve">will be </w:t>
      </w:r>
      <w:r w:rsidRPr="000B2587">
        <w:rPr>
          <w:rFonts w:ascii="Open Sans" w:hAnsi="Open Sans" w:cs="Open Sans"/>
        </w:rPr>
        <w:t>compatible with the outcomes of wider reform programmes</w:t>
      </w:r>
      <w:r>
        <w:rPr>
          <w:rFonts w:ascii="Open Sans" w:hAnsi="Open Sans" w:cs="Open Sans"/>
        </w:rPr>
        <w:t>,</w:t>
      </w:r>
      <w:r w:rsidR="0070477B">
        <w:rPr>
          <w:rFonts w:ascii="Open Sans" w:hAnsi="Open Sans" w:cs="Open Sans"/>
        </w:rPr>
        <w:t xml:space="preserve"> the</w:t>
      </w:r>
      <w:r w:rsidR="00D94D25">
        <w:rPr>
          <w:rFonts w:ascii="Open Sans" w:hAnsi="Open Sans" w:cs="Open Sans"/>
        </w:rPr>
        <w:t xml:space="preserve"> </w:t>
      </w:r>
      <w:r w:rsidR="0070477B" w:rsidRPr="0070477B">
        <w:rPr>
          <w:rFonts w:ascii="Open Sans" w:hAnsi="Open Sans" w:cs="Open Sans"/>
        </w:rPr>
        <w:t xml:space="preserve">evolution of CfD </w:t>
      </w:r>
      <w:r w:rsidR="005D3668">
        <w:rPr>
          <w:rFonts w:ascii="Open Sans" w:hAnsi="Open Sans" w:cs="Open Sans"/>
        </w:rPr>
        <w:t xml:space="preserve">mechanism </w:t>
      </w:r>
      <w:r w:rsidR="0070477B" w:rsidRPr="0070477B">
        <w:rPr>
          <w:rFonts w:ascii="Open Sans" w:hAnsi="Open Sans" w:cs="Open Sans"/>
        </w:rPr>
        <w:t>and C</w:t>
      </w:r>
      <w:r w:rsidR="005D3668">
        <w:rPr>
          <w:rFonts w:ascii="Open Sans" w:hAnsi="Open Sans" w:cs="Open Sans"/>
        </w:rPr>
        <w:t>apacity Market should be included</w:t>
      </w:r>
      <w:r w:rsidR="00C75A44">
        <w:rPr>
          <w:rFonts w:ascii="Open Sans" w:hAnsi="Open Sans" w:cs="Open Sans"/>
        </w:rPr>
        <w:t>, both of which have recently been consulted on and are also subject to considerations under REMA</w:t>
      </w:r>
      <w:r w:rsidR="0070477B" w:rsidRPr="0070477B">
        <w:rPr>
          <w:rFonts w:ascii="Open Sans" w:hAnsi="Open Sans" w:cs="Open Sans"/>
        </w:rPr>
        <w:t xml:space="preserve">. </w:t>
      </w:r>
      <w:r w:rsidR="005D3668">
        <w:rPr>
          <w:rFonts w:ascii="Open Sans" w:hAnsi="Open Sans" w:cs="Open Sans"/>
        </w:rPr>
        <w:t>In addition, sites</w:t>
      </w:r>
      <w:r w:rsidR="0070477B" w:rsidRPr="0070477B">
        <w:rPr>
          <w:rFonts w:ascii="Open Sans" w:hAnsi="Open Sans" w:cs="Open Sans"/>
        </w:rPr>
        <w:t xml:space="preserve"> coming to end of </w:t>
      </w:r>
      <w:r w:rsidR="001C0144">
        <w:rPr>
          <w:rFonts w:ascii="Open Sans" w:hAnsi="Open Sans" w:cs="Open Sans"/>
        </w:rPr>
        <w:t>Renewable Obligations</w:t>
      </w:r>
      <w:r w:rsidR="00C75A44">
        <w:rPr>
          <w:rFonts w:ascii="Open Sans" w:hAnsi="Open Sans" w:cs="Open Sans"/>
        </w:rPr>
        <w:t xml:space="preserve"> contract </w:t>
      </w:r>
      <w:r w:rsidR="005726AD">
        <w:rPr>
          <w:rFonts w:ascii="Open Sans" w:hAnsi="Open Sans" w:cs="Open Sans"/>
        </w:rPr>
        <w:t>arrangements,</w:t>
      </w:r>
      <w:r w:rsidR="00C75A44">
        <w:rPr>
          <w:rFonts w:ascii="Open Sans" w:hAnsi="Open Sans" w:cs="Open Sans"/>
        </w:rPr>
        <w:t xml:space="preserve"> which will start in</w:t>
      </w:r>
      <w:r w:rsidR="0070477B" w:rsidRPr="0070477B">
        <w:rPr>
          <w:rFonts w:ascii="Open Sans" w:hAnsi="Open Sans" w:cs="Open Sans"/>
        </w:rPr>
        <w:t xml:space="preserve"> 2027</w:t>
      </w:r>
      <w:r w:rsidR="001C0144">
        <w:rPr>
          <w:rFonts w:ascii="Open Sans" w:hAnsi="Open Sans" w:cs="Open Sans"/>
        </w:rPr>
        <w:t>,</w:t>
      </w:r>
      <w:r w:rsidR="0070477B" w:rsidRPr="0070477B">
        <w:rPr>
          <w:rFonts w:ascii="Open Sans" w:hAnsi="Open Sans" w:cs="Open Sans"/>
        </w:rPr>
        <w:t xml:space="preserve"> </w:t>
      </w:r>
      <w:r w:rsidR="005D3668" w:rsidRPr="0070477B">
        <w:rPr>
          <w:rFonts w:ascii="Open Sans" w:hAnsi="Open Sans" w:cs="Open Sans"/>
        </w:rPr>
        <w:t>must</w:t>
      </w:r>
      <w:r w:rsidR="0070477B" w:rsidRPr="0070477B">
        <w:rPr>
          <w:rFonts w:ascii="Open Sans" w:hAnsi="Open Sans" w:cs="Open Sans"/>
        </w:rPr>
        <w:t xml:space="preserve"> also be considered in </w:t>
      </w:r>
      <w:r w:rsidR="001C0144">
        <w:rPr>
          <w:rFonts w:ascii="Open Sans" w:hAnsi="Open Sans" w:cs="Open Sans"/>
        </w:rPr>
        <w:t xml:space="preserve">these </w:t>
      </w:r>
      <w:r w:rsidR="0070477B" w:rsidRPr="0070477B">
        <w:rPr>
          <w:rFonts w:ascii="Open Sans" w:hAnsi="Open Sans" w:cs="Open Sans"/>
        </w:rPr>
        <w:t>plans.</w:t>
      </w:r>
    </w:p>
    <w:p w14:paraId="2172D5AA" w14:textId="433A2D29" w:rsidR="005D3668" w:rsidRDefault="005D3668" w:rsidP="006C2B7D">
      <w:pPr>
        <w:jc w:val="both"/>
        <w:rPr>
          <w:rFonts w:ascii="Open Sans" w:hAnsi="Open Sans" w:cs="Open Sans"/>
          <w:b/>
          <w:bCs/>
        </w:rPr>
      </w:pPr>
      <w:r w:rsidRPr="001C0144">
        <w:rPr>
          <w:rFonts w:ascii="Open Sans" w:hAnsi="Open Sans" w:cs="Open Sans"/>
          <w:b/>
          <w:bCs/>
        </w:rPr>
        <w:t>Annex D: Support for Distribution Queue Optimisation</w:t>
      </w:r>
    </w:p>
    <w:p w14:paraId="1E37C5B0" w14:textId="39245B08" w:rsidR="001C0144" w:rsidRDefault="00AC0B6D" w:rsidP="006C2B7D">
      <w:pPr>
        <w:jc w:val="both"/>
        <w:rPr>
          <w:rFonts w:ascii="Open Sans" w:hAnsi="Open Sans" w:cs="Open Sans"/>
        </w:rPr>
      </w:pPr>
      <w:r w:rsidRPr="00AC0B6D">
        <w:rPr>
          <w:rFonts w:ascii="Open Sans" w:hAnsi="Open Sans" w:cs="Open Sans"/>
        </w:rPr>
        <w:t>The REA also supports the principle of DNOs introducing progression milestones into older connection agreements to facilitate the more active management of distribution connection queues.</w:t>
      </w:r>
      <w:r w:rsidR="00E70C68">
        <w:rPr>
          <w:rFonts w:ascii="Open Sans" w:hAnsi="Open Sans" w:cs="Open Sans"/>
        </w:rPr>
        <w:t xml:space="preserve"> In addition, we also support the principle of DNOs optimising the capacity headroom in distribution</w:t>
      </w:r>
      <w:r w:rsidR="0069031E">
        <w:rPr>
          <w:rFonts w:ascii="Open Sans" w:hAnsi="Open Sans" w:cs="Open Sans"/>
        </w:rPr>
        <w:t xml:space="preserve"> queues. However, we add that this principle </w:t>
      </w:r>
      <w:r w:rsidR="0069031E" w:rsidRPr="0069031E">
        <w:rPr>
          <w:rFonts w:ascii="Open Sans" w:hAnsi="Open Sans" w:cs="Open Sans"/>
        </w:rPr>
        <w:t xml:space="preserve">should make specific reference to the role of storage assets in maximising the existing grid capacity. </w:t>
      </w:r>
      <w:r w:rsidR="0069031E">
        <w:rPr>
          <w:rFonts w:ascii="Open Sans" w:hAnsi="Open Sans" w:cs="Open Sans"/>
        </w:rPr>
        <w:t>In doing so, this principle</w:t>
      </w:r>
      <w:r w:rsidR="0069031E" w:rsidRPr="0069031E">
        <w:rPr>
          <w:rFonts w:ascii="Open Sans" w:hAnsi="Open Sans" w:cs="Open Sans"/>
        </w:rPr>
        <w:t xml:space="preserve"> must recognise all durations of storage, the grid </w:t>
      </w:r>
      <w:r w:rsidR="0069031E" w:rsidRPr="0069031E">
        <w:rPr>
          <w:rFonts w:ascii="Open Sans" w:hAnsi="Open Sans" w:cs="Open Sans"/>
        </w:rPr>
        <w:lastRenderedPageBreak/>
        <w:t>services that can be provided</w:t>
      </w:r>
      <w:r w:rsidR="0069031E">
        <w:rPr>
          <w:rFonts w:ascii="Open Sans" w:hAnsi="Open Sans" w:cs="Open Sans"/>
        </w:rPr>
        <w:t>,</w:t>
      </w:r>
      <w:r w:rsidR="0069031E" w:rsidRPr="0069031E">
        <w:rPr>
          <w:rFonts w:ascii="Open Sans" w:hAnsi="Open Sans" w:cs="Open Sans"/>
        </w:rPr>
        <w:t xml:space="preserve"> and the different technologies involved</w:t>
      </w:r>
      <w:r w:rsidR="0069031E">
        <w:rPr>
          <w:rFonts w:ascii="Open Sans" w:hAnsi="Open Sans" w:cs="Open Sans"/>
        </w:rPr>
        <w:t xml:space="preserve"> </w:t>
      </w:r>
      <w:r w:rsidR="0069031E" w:rsidRPr="0069031E">
        <w:rPr>
          <w:rFonts w:ascii="Open Sans" w:hAnsi="Open Sans" w:cs="Open Sans"/>
        </w:rPr>
        <w:t>(including thermal storage).</w:t>
      </w:r>
    </w:p>
    <w:p w14:paraId="74FC7CF1" w14:textId="77777777" w:rsidR="00FB64FE" w:rsidRDefault="00FB64FE" w:rsidP="004301B9">
      <w:pPr>
        <w:jc w:val="right"/>
        <w:rPr>
          <w:rFonts w:ascii="Open Sans" w:hAnsi="Open Sans" w:cs="Open Sans"/>
          <w:b/>
          <w:bCs/>
        </w:rPr>
      </w:pPr>
    </w:p>
    <w:p w14:paraId="46F50D85" w14:textId="34066925" w:rsidR="004301B9" w:rsidRPr="00FB64FE" w:rsidRDefault="004301B9" w:rsidP="004301B9">
      <w:pPr>
        <w:jc w:val="right"/>
        <w:rPr>
          <w:rFonts w:ascii="Open Sans" w:hAnsi="Open Sans" w:cs="Open Sans"/>
          <w:b/>
          <w:bCs/>
        </w:rPr>
      </w:pPr>
      <w:r w:rsidRPr="00FB64FE">
        <w:rPr>
          <w:rFonts w:ascii="Open Sans" w:hAnsi="Open Sans" w:cs="Open Sans"/>
          <w:b/>
          <w:bCs/>
        </w:rPr>
        <w:t>May 2023</w:t>
      </w:r>
    </w:p>
    <w:p w14:paraId="234E1789" w14:textId="1ACC8B3D" w:rsidR="004301B9" w:rsidRPr="00AC0B6D" w:rsidRDefault="004301B9" w:rsidP="004301B9">
      <w:pPr>
        <w:jc w:val="right"/>
        <w:rPr>
          <w:rFonts w:ascii="Open Sans" w:hAnsi="Open Sans" w:cs="Open Sans"/>
        </w:rPr>
      </w:pPr>
      <w:r w:rsidRPr="004301B9">
        <w:rPr>
          <w:rFonts w:ascii="Open Sans" w:hAnsi="Open Sans" w:cs="Open Sans"/>
        </w:rPr>
        <w:t xml:space="preserve">If you have any questions in relation to the above response, please contact </w:t>
      </w:r>
      <w:r w:rsidR="00FB64FE">
        <w:rPr>
          <w:rFonts w:ascii="Open Sans" w:hAnsi="Open Sans" w:cs="Open Sans"/>
        </w:rPr>
        <w:t>Mark Sommerfeld</w:t>
      </w:r>
      <w:r w:rsidRPr="004301B9">
        <w:rPr>
          <w:rFonts w:ascii="Open Sans" w:hAnsi="Open Sans" w:cs="Open Sans"/>
        </w:rPr>
        <w:t xml:space="preserve">: </w:t>
      </w:r>
      <w:r w:rsidR="00FB64FE">
        <w:rPr>
          <w:rFonts w:ascii="Open Sans" w:hAnsi="Open Sans" w:cs="Open Sans"/>
        </w:rPr>
        <w:t>msommerfeld</w:t>
      </w:r>
      <w:r w:rsidRPr="004301B9">
        <w:rPr>
          <w:rFonts w:ascii="Open Sans" w:hAnsi="Open Sans" w:cs="Open Sans"/>
        </w:rPr>
        <w:t>@r-e-a.net</w:t>
      </w:r>
    </w:p>
    <w:sectPr w:rsidR="004301B9" w:rsidRPr="00AC0B6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CFABC" w14:textId="77777777" w:rsidR="000C2A5E" w:rsidRDefault="000C2A5E" w:rsidP="009B1179">
      <w:pPr>
        <w:spacing w:after="0" w:line="240" w:lineRule="auto"/>
      </w:pPr>
      <w:r>
        <w:separator/>
      </w:r>
    </w:p>
  </w:endnote>
  <w:endnote w:type="continuationSeparator" w:id="0">
    <w:p w14:paraId="65DC3063" w14:textId="77777777" w:rsidR="000C2A5E" w:rsidRDefault="000C2A5E" w:rsidP="009B1179">
      <w:pPr>
        <w:spacing w:after="0" w:line="240" w:lineRule="auto"/>
      </w:pPr>
      <w:r>
        <w:continuationSeparator/>
      </w:r>
    </w:p>
  </w:endnote>
  <w:endnote w:type="continuationNotice" w:id="1">
    <w:p w14:paraId="6C407414" w14:textId="77777777" w:rsidR="000C2A5E" w:rsidRDefault="000C2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F2BFE" w14:textId="77777777" w:rsidR="000C2A5E" w:rsidRDefault="000C2A5E" w:rsidP="009B1179">
      <w:pPr>
        <w:spacing w:after="0" w:line="240" w:lineRule="auto"/>
      </w:pPr>
      <w:r>
        <w:separator/>
      </w:r>
    </w:p>
  </w:footnote>
  <w:footnote w:type="continuationSeparator" w:id="0">
    <w:p w14:paraId="577BC7B9" w14:textId="77777777" w:rsidR="000C2A5E" w:rsidRDefault="000C2A5E" w:rsidP="009B1179">
      <w:pPr>
        <w:spacing w:after="0" w:line="240" w:lineRule="auto"/>
      </w:pPr>
      <w:r>
        <w:continuationSeparator/>
      </w:r>
    </w:p>
  </w:footnote>
  <w:footnote w:type="continuationNotice" w:id="1">
    <w:p w14:paraId="0953A890" w14:textId="77777777" w:rsidR="000C2A5E" w:rsidRDefault="000C2A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7885" w14:textId="4B1CBEB2" w:rsidR="009B1179" w:rsidRDefault="009B1179" w:rsidP="009B1179">
    <w:pPr>
      <w:pStyle w:val="Header"/>
      <w:jc w:val="right"/>
    </w:pPr>
    <w:r>
      <w:rPr>
        <w:noProof/>
      </w:rPr>
      <w:drawing>
        <wp:anchor distT="0" distB="0" distL="114300" distR="114300" simplePos="0" relativeHeight="251658240" behindDoc="0" locked="0" layoutInCell="1" allowOverlap="1" wp14:anchorId="28CC8DDB" wp14:editId="0B44C4A6">
          <wp:simplePos x="0" y="0"/>
          <wp:positionH relativeFrom="column">
            <wp:posOffset>4562475</wp:posOffset>
          </wp:positionH>
          <wp:positionV relativeFrom="paragraph">
            <wp:posOffset>-276860</wp:posOffset>
          </wp:positionV>
          <wp:extent cx="1378585" cy="716915"/>
          <wp:effectExtent l="0" t="0" r="0"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8585" cy="716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E41B0"/>
    <w:multiLevelType w:val="hybridMultilevel"/>
    <w:tmpl w:val="F722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6C4C94"/>
    <w:multiLevelType w:val="hybridMultilevel"/>
    <w:tmpl w:val="247E594C"/>
    <w:lvl w:ilvl="0" w:tplc="4BC6827A">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109DF"/>
    <w:multiLevelType w:val="hybridMultilevel"/>
    <w:tmpl w:val="211A66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8B761AA"/>
    <w:multiLevelType w:val="hybridMultilevel"/>
    <w:tmpl w:val="1D82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003928">
    <w:abstractNumId w:val="3"/>
  </w:num>
  <w:num w:numId="2" w16cid:durableId="324406539">
    <w:abstractNumId w:val="0"/>
  </w:num>
  <w:num w:numId="3" w16cid:durableId="221717003">
    <w:abstractNumId w:val="1"/>
  </w:num>
  <w:num w:numId="4" w16cid:durableId="1791393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79"/>
    <w:rsid w:val="000013CD"/>
    <w:rsid w:val="00003A0A"/>
    <w:rsid w:val="00010AAC"/>
    <w:rsid w:val="0001404A"/>
    <w:rsid w:val="00016C6C"/>
    <w:rsid w:val="00022B63"/>
    <w:rsid w:val="0002568E"/>
    <w:rsid w:val="00030319"/>
    <w:rsid w:val="00032D94"/>
    <w:rsid w:val="00032F0F"/>
    <w:rsid w:val="000331C5"/>
    <w:rsid w:val="00034963"/>
    <w:rsid w:val="000441F0"/>
    <w:rsid w:val="00044BF7"/>
    <w:rsid w:val="0005683E"/>
    <w:rsid w:val="000655FA"/>
    <w:rsid w:val="000802CF"/>
    <w:rsid w:val="00080928"/>
    <w:rsid w:val="00083164"/>
    <w:rsid w:val="00084A4D"/>
    <w:rsid w:val="00090086"/>
    <w:rsid w:val="00091304"/>
    <w:rsid w:val="0009493C"/>
    <w:rsid w:val="000967CE"/>
    <w:rsid w:val="000A4FB9"/>
    <w:rsid w:val="000B1CC5"/>
    <w:rsid w:val="000B2587"/>
    <w:rsid w:val="000C2054"/>
    <w:rsid w:val="000C2A5E"/>
    <w:rsid w:val="000D0B30"/>
    <w:rsid w:val="000D11BB"/>
    <w:rsid w:val="000D201A"/>
    <w:rsid w:val="000D6ACA"/>
    <w:rsid w:val="001003E1"/>
    <w:rsid w:val="00115660"/>
    <w:rsid w:val="00115E84"/>
    <w:rsid w:val="00117567"/>
    <w:rsid w:val="0012217F"/>
    <w:rsid w:val="001243F1"/>
    <w:rsid w:val="0012584C"/>
    <w:rsid w:val="00126F36"/>
    <w:rsid w:val="00130858"/>
    <w:rsid w:val="00130C74"/>
    <w:rsid w:val="00133BED"/>
    <w:rsid w:val="001359A7"/>
    <w:rsid w:val="00135A72"/>
    <w:rsid w:val="00137370"/>
    <w:rsid w:val="00137DAD"/>
    <w:rsid w:val="00147BB0"/>
    <w:rsid w:val="001501B2"/>
    <w:rsid w:val="00157F5E"/>
    <w:rsid w:val="00161390"/>
    <w:rsid w:val="00161B33"/>
    <w:rsid w:val="00165D90"/>
    <w:rsid w:val="00170625"/>
    <w:rsid w:val="00177906"/>
    <w:rsid w:val="001803B8"/>
    <w:rsid w:val="0018090B"/>
    <w:rsid w:val="00181E9B"/>
    <w:rsid w:val="001865B4"/>
    <w:rsid w:val="00186852"/>
    <w:rsid w:val="00186C0F"/>
    <w:rsid w:val="00186FB0"/>
    <w:rsid w:val="00191262"/>
    <w:rsid w:val="00195AC2"/>
    <w:rsid w:val="00197BDF"/>
    <w:rsid w:val="001A0109"/>
    <w:rsid w:val="001A23DB"/>
    <w:rsid w:val="001A2B2C"/>
    <w:rsid w:val="001A3EFE"/>
    <w:rsid w:val="001B3EF8"/>
    <w:rsid w:val="001B5EB3"/>
    <w:rsid w:val="001C0144"/>
    <w:rsid w:val="001C1D20"/>
    <w:rsid w:val="001C36DC"/>
    <w:rsid w:val="001E1308"/>
    <w:rsid w:val="001E4C04"/>
    <w:rsid w:val="001E5F6E"/>
    <w:rsid w:val="001E7E04"/>
    <w:rsid w:val="001F33A4"/>
    <w:rsid w:val="001F3848"/>
    <w:rsid w:val="001F4153"/>
    <w:rsid w:val="0020070B"/>
    <w:rsid w:val="002070DD"/>
    <w:rsid w:val="00215CFB"/>
    <w:rsid w:val="00224D29"/>
    <w:rsid w:val="00233655"/>
    <w:rsid w:val="00242A0F"/>
    <w:rsid w:val="00243DE7"/>
    <w:rsid w:val="002516A7"/>
    <w:rsid w:val="00252FC6"/>
    <w:rsid w:val="00260073"/>
    <w:rsid w:val="002604FD"/>
    <w:rsid w:val="0026571D"/>
    <w:rsid w:val="00283923"/>
    <w:rsid w:val="00290035"/>
    <w:rsid w:val="00290154"/>
    <w:rsid w:val="0029032A"/>
    <w:rsid w:val="00296720"/>
    <w:rsid w:val="002A05CA"/>
    <w:rsid w:val="002B6B2A"/>
    <w:rsid w:val="002C2631"/>
    <w:rsid w:val="002C35EE"/>
    <w:rsid w:val="002C5EC4"/>
    <w:rsid w:val="002D6289"/>
    <w:rsid w:val="002D6536"/>
    <w:rsid w:val="002D7585"/>
    <w:rsid w:val="002E207A"/>
    <w:rsid w:val="002E3D5A"/>
    <w:rsid w:val="002F143C"/>
    <w:rsid w:val="002F7416"/>
    <w:rsid w:val="00303B94"/>
    <w:rsid w:val="00306230"/>
    <w:rsid w:val="00306676"/>
    <w:rsid w:val="0031093B"/>
    <w:rsid w:val="00315AEA"/>
    <w:rsid w:val="00316FD9"/>
    <w:rsid w:val="00317F8E"/>
    <w:rsid w:val="0032077A"/>
    <w:rsid w:val="00320B2E"/>
    <w:rsid w:val="00320EDA"/>
    <w:rsid w:val="00321228"/>
    <w:rsid w:val="00341545"/>
    <w:rsid w:val="00346238"/>
    <w:rsid w:val="0036043F"/>
    <w:rsid w:val="00363A5B"/>
    <w:rsid w:val="00374C96"/>
    <w:rsid w:val="0038186C"/>
    <w:rsid w:val="00392A48"/>
    <w:rsid w:val="00394DB1"/>
    <w:rsid w:val="00396562"/>
    <w:rsid w:val="00396704"/>
    <w:rsid w:val="00397C4D"/>
    <w:rsid w:val="003A1808"/>
    <w:rsid w:val="003B034A"/>
    <w:rsid w:val="003B2DFE"/>
    <w:rsid w:val="003B5C41"/>
    <w:rsid w:val="003C3E1A"/>
    <w:rsid w:val="003D12E1"/>
    <w:rsid w:val="003D7167"/>
    <w:rsid w:val="003D7DAA"/>
    <w:rsid w:val="003E38F1"/>
    <w:rsid w:val="003E6F7B"/>
    <w:rsid w:val="003F0CBA"/>
    <w:rsid w:val="003F12F2"/>
    <w:rsid w:val="003F1E3C"/>
    <w:rsid w:val="003F23E1"/>
    <w:rsid w:val="003F2E94"/>
    <w:rsid w:val="003F3546"/>
    <w:rsid w:val="003F36A6"/>
    <w:rsid w:val="003F56A6"/>
    <w:rsid w:val="003F6DBB"/>
    <w:rsid w:val="003F6EA4"/>
    <w:rsid w:val="00403068"/>
    <w:rsid w:val="00406C62"/>
    <w:rsid w:val="00411675"/>
    <w:rsid w:val="0041397C"/>
    <w:rsid w:val="00425EC3"/>
    <w:rsid w:val="00426062"/>
    <w:rsid w:val="004301B9"/>
    <w:rsid w:val="0043207F"/>
    <w:rsid w:val="00442321"/>
    <w:rsid w:val="00443836"/>
    <w:rsid w:val="0044431D"/>
    <w:rsid w:val="0044505B"/>
    <w:rsid w:val="0045010B"/>
    <w:rsid w:val="00462BEB"/>
    <w:rsid w:val="00462EF0"/>
    <w:rsid w:val="00464DF5"/>
    <w:rsid w:val="00465EDA"/>
    <w:rsid w:val="004667FF"/>
    <w:rsid w:val="00470B79"/>
    <w:rsid w:val="00470E0C"/>
    <w:rsid w:val="00473E87"/>
    <w:rsid w:val="0047560A"/>
    <w:rsid w:val="00485D08"/>
    <w:rsid w:val="004866CC"/>
    <w:rsid w:val="00486CE8"/>
    <w:rsid w:val="00487877"/>
    <w:rsid w:val="00490BE2"/>
    <w:rsid w:val="004912D6"/>
    <w:rsid w:val="00491399"/>
    <w:rsid w:val="00494234"/>
    <w:rsid w:val="004A4C3C"/>
    <w:rsid w:val="004A566E"/>
    <w:rsid w:val="004A5EED"/>
    <w:rsid w:val="004B2344"/>
    <w:rsid w:val="004B39E2"/>
    <w:rsid w:val="004B4B71"/>
    <w:rsid w:val="004C2D21"/>
    <w:rsid w:val="004C7400"/>
    <w:rsid w:val="004C7E6B"/>
    <w:rsid w:val="004D1B95"/>
    <w:rsid w:val="004E76AB"/>
    <w:rsid w:val="004F4FFE"/>
    <w:rsid w:val="0050229F"/>
    <w:rsid w:val="00503072"/>
    <w:rsid w:val="00505792"/>
    <w:rsid w:val="00506348"/>
    <w:rsid w:val="00507EA3"/>
    <w:rsid w:val="005121D4"/>
    <w:rsid w:val="00513000"/>
    <w:rsid w:val="0051590A"/>
    <w:rsid w:val="00516E4A"/>
    <w:rsid w:val="00517B14"/>
    <w:rsid w:val="0052212C"/>
    <w:rsid w:val="005276FC"/>
    <w:rsid w:val="00534084"/>
    <w:rsid w:val="00536E06"/>
    <w:rsid w:val="00542950"/>
    <w:rsid w:val="0054426D"/>
    <w:rsid w:val="0055525E"/>
    <w:rsid w:val="0055651F"/>
    <w:rsid w:val="005718F1"/>
    <w:rsid w:val="005726AD"/>
    <w:rsid w:val="005733A0"/>
    <w:rsid w:val="00573B99"/>
    <w:rsid w:val="00573E31"/>
    <w:rsid w:val="005862FE"/>
    <w:rsid w:val="0059320D"/>
    <w:rsid w:val="005935E2"/>
    <w:rsid w:val="005A4C92"/>
    <w:rsid w:val="005A79CA"/>
    <w:rsid w:val="005B35A9"/>
    <w:rsid w:val="005B4E5E"/>
    <w:rsid w:val="005B772F"/>
    <w:rsid w:val="005C6A27"/>
    <w:rsid w:val="005D35EB"/>
    <w:rsid w:val="005D3668"/>
    <w:rsid w:val="005E1673"/>
    <w:rsid w:val="005F0D29"/>
    <w:rsid w:val="005F2CCB"/>
    <w:rsid w:val="005F4547"/>
    <w:rsid w:val="00604A19"/>
    <w:rsid w:val="00611755"/>
    <w:rsid w:val="00611AB5"/>
    <w:rsid w:val="006161F5"/>
    <w:rsid w:val="006168C3"/>
    <w:rsid w:val="00624808"/>
    <w:rsid w:val="00626021"/>
    <w:rsid w:val="00626671"/>
    <w:rsid w:val="006478DB"/>
    <w:rsid w:val="00670AC1"/>
    <w:rsid w:val="00671ECD"/>
    <w:rsid w:val="00674363"/>
    <w:rsid w:val="00676890"/>
    <w:rsid w:val="006814C4"/>
    <w:rsid w:val="00681DEA"/>
    <w:rsid w:val="006837B4"/>
    <w:rsid w:val="00684761"/>
    <w:rsid w:val="00685FE2"/>
    <w:rsid w:val="00687E13"/>
    <w:rsid w:val="0069031E"/>
    <w:rsid w:val="00693FE9"/>
    <w:rsid w:val="006A0E56"/>
    <w:rsid w:val="006A0EF8"/>
    <w:rsid w:val="006A340E"/>
    <w:rsid w:val="006A5738"/>
    <w:rsid w:val="006A6BC8"/>
    <w:rsid w:val="006A6CE1"/>
    <w:rsid w:val="006B09D6"/>
    <w:rsid w:val="006B0D04"/>
    <w:rsid w:val="006B1019"/>
    <w:rsid w:val="006B4F4D"/>
    <w:rsid w:val="006B768F"/>
    <w:rsid w:val="006C2B7D"/>
    <w:rsid w:val="006C38A9"/>
    <w:rsid w:val="006D4776"/>
    <w:rsid w:val="006D6779"/>
    <w:rsid w:val="006D7D71"/>
    <w:rsid w:val="006F0DCE"/>
    <w:rsid w:val="006F4804"/>
    <w:rsid w:val="006F5308"/>
    <w:rsid w:val="00700AC1"/>
    <w:rsid w:val="00701077"/>
    <w:rsid w:val="00703C47"/>
    <w:rsid w:val="0070477B"/>
    <w:rsid w:val="007051B3"/>
    <w:rsid w:val="00705792"/>
    <w:rsid w:val="00711B97"/>
    <w:rsid w:val="00714EF5"/>
    <w:rsid w:val="00715235"/>
    <w:rsid w:val="007171D7"/>
    <w:rsid w:val="007207A7"/>
    <w:rsid w:val="00720C79"/>
    <w:rsid w:val="00727155"/>
    <w:rsid w:val="00727D4E"/>
    <w:rsid w:val="007307CF"/>
    <w:rsid w:val="00730AA3"/>
    <w:rsid w:val="00733269"/>
    <w:rsid w:val="00733B19"/>
    <w:rsid w:val="00742780"/>
    <w:rsid w:val="00750956"/>
    <w:rsid w:val="007511AF"/>
    <w:rsid w:val="00755B78"/>
    <w:rsid w:val="00761149"/>
    <w:rsid w:val="007714DB"/>
    <w:rsid w:val="007775DC"/>
    <w:rsid w:val="00777C71"/>
    <w:rsid w:val="00780D57"/>
    <w:rsid w:val="007835AF"/>
    <w:rsid w:val="0079151C"/>
    <w:rsid w:val="00793D37"/>
    <w:rsid w:val="00797BB9"/>
    <w:rsid w:val="00797C82"/>
    <w:rsid w:val="007A562E"/>
    <w:rsid w:val="007C3CD6"/>
    <w:rsid w:val="007C669C"/>
    <w:rsid w:val="007D38E5"/>
    <w:rsid w:val="007D524A"/>
    <w:rsid w:val="007D528F"/>
    <w:rsid w:val="007E1134"/>
    <w:rsid w:val="007E144D"/>
    <w:rsid w:val="007E3D59"/>
    <w:rsid w:val="007E7103"/>
    <w:rsid w:val="007F29A6"/>
    <w:rsid w:val="007F4062"/>
    <w:rsid w:val="007F671C"/>
    <w:rsid w:val="007F6F4C"/>
    <w:rsid w:val="00800742"/>
    <w:rsid w:val="00800BB2"/>
    <w:rsid w:val="0080199E"/>
    <w:rsid w:val="00802865"/>
    <w:rsid w:val="0080320D"/>
    <w:rsid w:val="00811078"/>
    <w:rsid w:val="0081411C"/>
    <w:rsid w:val="00815F2E"/>
    <w:rsid w:val="008176C8"/>
    <w:rsid w:val="00820DA1"/>
    <w:rsid w:val="00822B51"/>
    <w:rsid w:val="008240CC"/>
    <w:rsid w:val="0083081A"/>
    <w:rsid w:val="008330DF"/>
    <w:rsid w:val="00836E85"/>
    <w:rsid w:val="0083739F"/>
    <w:rsid w:val="00840564"/>
    <w:rsid w:val="00842987"/>
    <w:rsid w:val="0085368B"/>
    <w:rsid w:val="0085747D"/>
    <w:rsid w:val="00863647"/>
    <w:rsid w:val="00863D7E"/>
    <w:rsid w:val="008778C2"/>
    <w:rsid w:val="00883523"/>
    <w:rsid w:val="00891144"/>
    <w:rsid w:val="0089189E"/>
    <w:rsid w:val="00892780"/>
    <w:rsid w:val="008931C2"/>
    <w:rsid w:val="00893547"/>
    <w:rsid w:val="008A7483"/>
    <w:rsid w:val="008B0EFB"/>
    <w:rsid w:val="008B22FB"/>
    <w:rsid w:val="008B3FE0"/>
    <w:rsid w:val="008B67FC"/>
    <w:rsid w:val="008C018C"/>
    <w:rsid w:val="008C2638"/>
    <w:rsid w:val="008C7E21"/>
    <w:rsid w:val="008D04EF"/>
    <w:rsid w:val="008D2119"/>
    <w:rsid w:val="008D6F3A"/>
    <w:rsid w:val="008E3EDA"/>
    <w:rsid w:val="008E5212"/>
    <w:rsid w:val="008E5DD2"/>
    <w:rsid w:val="008E7A84"/>
    <w:rsid w:val="008E7C45"/>
    <w:rsid w:val="008F0531"/>
    <w:rsid w:val="008F3471"/>
    <w:rsid w:val="00902284"/>
    <w:rsid w:val="00923F6B"/>
    <w:rsid w:val="00924776"/>
    <w:rsid w:val="00926D86"/>
    <w:rsid w:val="00927CD9"/>
    <w:rsid w:val="00936287"/>
    <w:rsid w:val="00940906"/>
    <w:rsid w:val="00946ADC"/>
    <w:rsid w:val="00951E8E"/>
    <w:rsid w:val="00952563"/>
    <w:rsid w:val="00954F0F"/>
    <w:rsid w:val="0096036C"/>
    <w:rsid w:val="00960F00"/>
    <w:rsid w:val="00967DDD"/>
    <w:rsid w:val="009747A3"/>
    <w:rsid w:val="00982635"/>
    <w:rsid w:val="009974F5"/>
    <w:rsid w:val="009A23F0"/>
    <w:rsid w:val="009A57DE"/>
    <w:rsid w:val="009A6ABB"/>
    <w:rsid w:val="009A7E99"/>
    <w:rsid w:val="009B1179"/>
    <w:rsid w:val="009B1B44"/>
    <w:rsid w:val="009B43CF"/>
    <w:rsid w:val="009C259A"/>
    <w:rsid w:val="009C680C"/>
    <w:rsid w:val="009C78F1"/>
    <w:rsid w:val="009C7AC4"/>
    <w:rsid w:val="009D2B6C"/>
    <w:rsid w:val="009D3632"/>
    <w:rsid w:val="009D3831"/>
    <w:rsid w:val="009E59C6"/>
    <w:rsid w:val="00A153AF"/>
    <w:rsid w:val="00A1691E"/>
    <w:rsid w:val="00A175B4"/>
    <w:rsid w:val="00A201F5"/>
    <w:rsid w:val="00A24FD1"/>
    <w:rsid w:val="00A26767"/>
    <w:rsid w:val="00A3179D"/>
    <w:rsid w:val="00A32202"/>
    <w:rsid w:val="00A34A75"/>
    <w:rsid w:val="00A37B1E"/>
    <w:rsid w:val="00A40F48"/>
    <w:rsid w:val="00A42FD2"/>
    <w:rsid w:val="00A521BF"/>
    <w:rsid w:val="00A61342"/>
    <w:rsid w:val="00A643B0"/>
    <w:rsid w:val="00A64541"/>
    <w:rsid w:val="00A67228"/>
    <w:rsid w:val="00A774DB"/>
    <w:rsid w:val="00A80B49"/>
    <w:rsid w:val="00A825FD"/>
    <w:rsid w:val="00A85A9C"/>
    <w:rsid w:val="00A9451C"/>
    <w:rsid w:val="00A96AE3"/>
    <w:rsid w:val="00AA7040"/>
    <w:rsid w:val="00AB25B4"/>
    <w:rsid w:val="00AB5963"/>
    <w:rsid w:val="00AB7B1A"/>
    <w:rsid w:val="00AC0B6D"/>
    <w:rsid w:val="00AC4784"/>
    <w:rsid w:val="00AC5CBD"/>
    <w:rsid w:val="00AD7295"/>
    <w:rsid w:val="00AE07E7"/>
    <w:rsid w:val="00AE080B"/>
    <w:rsid w:val="00AF4BEC"/>
    <w:rsid w:val="00B01736"/>
    <w:rsid w:val="00B0798A"/>
    <w:rsid w:val="00B11A66"/>
    <w:rsid w:val="00B20353"/>
    <w:rsid w:val="00B261AA"/>
    <w:rsid w:val="00B2787D"/>
    <w:rsid w:val="00B27B63"/>
    <w:rsid w:val="00B32A68"/>
    <w:rsid w:val="00B36053"/>
    <w:rsid w:val="00B4025F"/>
    <w:rsid w:val="00B44038"/>
    <w:rsid w:val="00B54D6E"/>
    <w:rsid w:val="00B565CC"/>
    <w:rsid w:val="00B56675"/>
    <w:rsid w:val="00B56F13"/>
    <w:rsid w:val="00B66018"/>
    <w:rsid w:val="00B679A5"/>
    <w:rsid w:val="00B67A0A"/>
    <w:rsid w:val="00B7699B"/>
    <w:rsid w:val="00B804C4"/>
    <w:rsid w:val="00B80621"/>
    <w:rsid w:val="00B82DC5"/>
    <w:rsid w:val="00B84CDA"/>
    <w:rsid w:val="00B85374"/>
    <w:rsid w:val="00B86C7D"/>
    <w:rsid w:val="00B9533B"/>
    <w:rsid w:val="00B95F73"/>
    <w:rsid w:val="00B9703B"/>
    <w:rsid w:val="00B97E86"/>
    <w:rsid w:val="00BA52FA"/>
    <w:rsid w:val="00BA5C68"/>
    <w:rsid w:val="00BA660A"/>
    <w:rsid w:val="00BA6DF1"/>
    <w:rsid w:val="00BA7494"/>
    <w:rsid w:val="00BA74AD"/>
    <w:rsid w:val="00BA7869"/>
    <w:rsid w:val="00BB2FD3"/>
    <w:rsid w:val="00BB3602"/>
    <w:rsid w:val="00BB6615"/>
    <w:rsid w:val="00BC100D"/>
    <w:rsid w:val="00BC4BFB"/>
    <w:rsid w:val="00BD1BB0"/>
    <w:rsid w:val="00BD4B77"/>
    <w:rsid w:val="00BD5D71"/>
    <w:rsid w:val="00BE217F"/>
    <w:rsid w:val="00BE5926"/>
    <w:rsid w:val="00BF062D"/>
    <w:rsid w:val="00BF2FC3"/>
    <w:rsid w:val="00BF4312"/>
    <w:rsid w:val="00BF4C0A"/>
    <w:rsid w:val="00C0030E"/>
    <w:rsid w:val="00C03E94"/>
    <w:rsid w:val="00C0419A"/>
    <w:rsid w:val="00C14EAB"/>
    <w:rsid w:val="00C2107E"/>
    <w:rsid w:val="00C275FC"/>
    <w:rsid w:val="00C341C5"/>
    <w:rsid w:val="00C3455E"/>
    <w:rsid w:val="00C3511D"/>
    <w:rsid w:val="00C55920"/>
    <w:rsid w:val="00C56575"/>
    <w:rsid w:val="00C56879"/>
    <w:rsid w:val="00C56F09"/>
    <w:rsid w:val="00C75A44"/>
    <w:rsid w:val="00C76779"/>
    <w:rsid w:val="00C83568"/>
    <w:rsid w:val="00C84606"/>
    <w:rsid w:val="00C84E75"/>
    <w:rsid w:val="00C8604D"/>
    <w:rsid w:val="00C96F9B"/>
    <w:rsid w:val="00CA2AC0"/>
    <w:rsid w:val="00CA5595"/>
    <w:rsid w:val="00CA5C14"/>
    <w:rsid w:val="00CB19BC"/>
    <w:rsid w:val="00CC618F"/>
    <w:rsid w:val="00CD435C"/>
    <w:rsid w:val="00CF3C1F"/>
    <w:rsid w:val="00CF3CCC"/>
    <w:rsid w:val="00CF5BFD"/>
    <w:rsid w:val="00CF5F61"/>
    <w:rsid w:val="00CF7242"/>
    <w:rsid w:val="00D030E1"/>
    <w:rsid w:val="00D06AA1"/>
    <w:rsid w:val="00D11024"/>
    <w:rsid w:val="00D11817"/>
    <w:rsid w:val="00D21A51"/>
    <w:rsid w:val="00D24178"/>
    <w:rsid w:val="00D32CC6"/>
    <w:rsid w:val="00D37DE5"/>
    <w:rsid w:val="00D41032"/>
    <w:rsid w:val="00D41322"/>
    <w:rsid w:val="00D42432"/>
    <w:rsid w:val="00D5476D"/>
    <w:rsid w:val="00D5492D"/>
    <w:rsid w:val="00D55AE8"/>
    <w:rsid w:val="00D61098"/>
    <w:rsid w:val="00D625DC"/>
    <w:rsid w:val="00D62D96"/>
    <w:rsid w:val="00D63487"/>
    <w:rsid w:val="00D802B4"/>
    <w:rsid w:val="00D847A0"/>
    <w:rsid w:val="00D925D3"/>
    <w:rsid w:val="00D93AE9"/>
    <w:rsid w:val="00D9476F"/>
    <w:rsid w:val="00D94D25"/>
    <w:rsid w:val="00DA004F"/>
    <w:rsid w:val="00DA6431"/>
    <w:rsid w:val="00DB2D04"/>
    <w:rsid w:val="00DC2E64"/>
    <w:rsid w:val="00DC52FE"/>
    <w:rsid w:val="00DC59F8"/>
    <w:rsid w:val="00DC717C"/>
    <w:rsid w:val="00DC78CC"/>
    <w:rsid w:val="00DD1648"/>
    <w:rsid w:val="00DD5536"/>
    <w:rsid w:val="00DD6DD8"/>
    <w:rsid w:val="00DE6834"/>
    <w:rsid w:val="00DF0A15"/>
    <w:rsid w:val="00DF3690"/>
    <w:rsid w:val="00DF37FF"/>
    <w:rsid w:val="00DF3E0C"/>
    <w:rsid w:val="00DF779A"/>
    <w:rsid w:val="00E13E0C"/>
    <w:rsid w:val="00E160EA"/>
    <w:rsid w:val="00E2311F"/>
    <w:rsid w:val="00E35095"/>
    <w:rsid w:val="00E353C8"/>
    <w:rsid w:val="00E3551E"/>
    <w:rsid w:val="00E42201"/>
    <w:rsid w:val="00E42295"/>
    <w:rsid w:val="00E51848"/>
    <w:rsid w:val="00E544D4"/>
    <w:rsid w:val="00E559BF"/>
    <w:rsid w:val="00E56CB0"/>
    <w:rsid w:val="00E6623D"/>
    <w:rsid w:val="00E676D6"/>
    <w:rsid w:val="00E70997"/>
    <w:rsid w:val="00E70C68"/>
    <w:rsid w:val="00E7284B"/>
    <w:rsid w:val="00E73068"/>
    <w:rsid w:val="00E747E7"/>
    <w:rsid w:val="00E94174"/>
    <w:rsid w:val="00E96B2C"/>
    <w:rsid w:val="00EA4DCA"/>
    <w:rsid w:val="00EB16CA"/>
    <w:rsid w:val="00EB2D1D"/>
    <w:rsid w:val="00EB3866"/>
    <w:rsid w:val="00EC0302"/>
    <w:rsid w:val="00EC2679"/>
    <w:rsid w:val="00EC6771"/>
    <w:rsid w:val="00ED3D67"/>
    <w:rsid w:val="00ED7BC2"/>
    <w:rsid w:val="00EE14E1"/>
    <w:rsid w:val="00EE18BD"/>
    <w:rsid w:val="00EE6C7B"/>
    <w:rsid w:val="00EE7891"/>
    <w:rsid w:val="00EF0832"/>
    <w:rsid w:val="00EF23D6"/>
    <w:rsid w:val="00EF38C5"/>
    <w:rsid w:val="00EF56A6"/>
    <w:rsid w:val="00EF64CE"/>
    <w:rsid w:val="00F100BF"/>
    <w:rsid w:val="00F10E28"/>
    <w:rsid w:val="00F20633"/>
    <w:rsid w:val="00F221F2"/>
    <w:rsid w:val="00F307B7"/>
    <w:rsid w:val="00F32D31"/>
    <w:rsid w:val="00F33EF6"/>
    <w:rsid w:val="00F34BF8"/>
    <w:rsid w:val="00F37B0A"/>
    <w:rsid w:val="00F400A8"/>
    <w:rsid w:val="00F40301"/>
    <w:rsid w:val="00F41C66"/>
    <w:rsid w:val="00F4295F"/>
    <w:rsid w:val="00F45F35"/>
    <w:rsid w:val="00F500A9"/>
    <w:rsid w:val="00F57AD1"/>
    <w:rsid w:val="00F60576"/>
    <w:rsid w:val="00F60628"/>
    <w:rsid w:val="00F60865"/>
    <w:rsid w:val="00F60F13"/>
    <w:rsid w:val="00F61098"/>
    <w:rsid w:val="00F63DC4"/>
    <w:rsid w:val="00F64FF9"/>
    <w:rsid w:val="00F869AE"/>
    <w:rsid w:val="00F91384"/>
    <w:rsid w:val="00F92F55"/>
    <w:rsid w:val="00FA2064"/>
    <w:rsid w:val="00FA23D2"/>
    <w:rsid w:val="00FA380E"/>
    <w:rsid w:val="00FA7C67"/>
    <w:rsid w:val="00FB0251"/>
    <w:rsid w:val="00FB64FE"/>
    <w:rsid w:val="00FC0E2F"/>
    <w:rsid w:val="00FC505F"/>
    <w:rsid w:val="00FC6C06"/>
    <w:rsid w:val="00FD3F38"/>
    <w:rsid w:val="00FD7B20"/>
    <w:rsid w:val="00FE2900"/>
    <w:rsid w:val="00FE4731"/>
    <w:rsid w:val="00FE5F5E"/>
    <w:rsid w:val="00FF29FE"/>
    <w:rsid w:val="00FF6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3DF5B"/>
  <w15:chartTrackingRefBased/>
  <w15:docId w15:val="{8BAB0660-5A3C-4299-947C-FB47E830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17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179"/>
    <w:rPr>
      <w:kern w:val="0"/>
      <w14:ligatures w14:val="none"/>
    </w:rPr>
  </w:style>
  <w:style w:type="paragraph" w:styleId="Footer">
    <w:name w:val="footer"/>
    <w:basedOn w:val="Normal"/>
    <w:link w:val="FooterChar"/>
    <w:uiPriority w:val="99"/>
    <w:unhideWhenUsed/>
    <w:rsid w:val="009B1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179"/>
    <w:rPr>
      <w:kern w:val="0"/>
      <w14:ligatures w14:val="none"/>
    </w:rPr>
  </w:style>
  <w:style w:type="paragraph" w:styleId="ListParagraph">
    <w:name w:val="List Paragraph"/>
    <w:basedOn w:val="Normal"/>
    <w:uiPriority w:val="34"/>
    <w:qFormat/>
    <w:rsid w:val="002D6536"/>
    <w:pPr>
      <w:ind w:left="720"/>
      <w:contextualSpacing/>
    </w:pPr>
  </w:style>
  <w:style w:type="character" w:styleId="CommentReference">
    <w:name w:val="annotation reference"/>
    <w:basedOn w:val="DefaultParagraphFont"/>
    <w:uiPriority w:val="99"/>
    <w:semiHidden/>
    <w:unhideWhenUsed/>
    <w:rsid w:val="00800BB2"/>
    <w:rPr>
      <w:sz w:val="16"/>
      <w:szCs w:val="16"/>
    </w:rPr>
  </w:style>
  <w:style w:type="paragraph" w:styleId="CommentText">
    <w:name w:val="annotation text"/>
    <w:basedOn w:val="Normal"/>
    <w:link w:val="CommentTextChar"/>
    <w:uiPriority w:val="99"/>
    <w:unhideWhenUsed/>
    <w:rsid w:val="00800BB2"/>
    <w:pPr>
      <w:spacing w:line="240" w:lineRule="auto"/>
    </w:pPr>
    <w:rPr>
      <w:sz w:val="20"/>
      <w:szCs w:val="20"/>
    </w:rPr>
  </w:style>
  <w:style w:type="character" w:customStyle="1" w:styleId="CommentTextChar">
    <w:name w:val="Comment Text Char"/>
    <w:basedOn w:val="DefaultParagraphFont"/>
    <w:link w:val="CommentText"/>
    <w:uiPriority w:val="99"/>
    <w:rsid w:val="00800BB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0BB2"/>
    <w:rPr>
      <w:b/>
      <w:bCs/>
    </w:rPr>
  </w:style>
  <w:style w:type="character" w:customStyle="1" w:styleId="CommentSubjectChar">
    <w:name w:val="Comment Subject Char"/>
    <w:basedOn w:val="CommentTextChar"/>
    <w:link w:val="CommentSubject"/>
    <w:uiPriority w:val="99"/>
    <w:semiHidden/>
    <w:rsid w:val="00800BB2"/>
    <w:rPr>
      <w:b/>
      <w:bCs/>
      <w:kern w:val="0"/>
      <w:sz w:val="20"/>
      <w:szCs w:val="20"/>
      <w14:ligatures w14:val="none"/>
    </w:rPr>
  </w:style>
  <w:style w:type="paragraph" w:styleId="Revision">
    <w:name w:val="Revision"/>
    <w:hidden/>
    <w:uiPriority w:val="99"/>
    <w:semiHidden/>
    <w:rsid w:val="00B67A0A"/>
    <w:pPr>
      <w:spacing w:after="0" w:line="240" w:lineRule="auto"/>
    </w:pPr>
    <w:rPr>
      <w:kern w:val="0"/>
      <w14:ligatures w14:val="none"/>
    </w:rPr>
  </w:style>
  <w:style w:type="paragraph" w:styleId="FootnoteText">
    <w:name w:val="footnote text"/>
    <w:basedOn w:val="Normal"/>
    <w:link w:val="FootnoteTextChar"/>
    <w:uiPriority w:val="99"/>
    <w:semiHidden/>
    <w:unhideWhenUsed/>
    <w:rsid w:val="00573E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3E31"/>
    <w:rPr>
      <w:kern w:val="0"/>
      <w:sz w:val="20"/>
      <w:szCs w:val="20"/>
      <w14:ligatures w14:val="none"/>
    </w:rPr>
  </w:style>
  <w:style w:type="character" w:styleId="FootnoteReference">
    <w:name w:val="footnote reference"/>
    <w:basedOn w:val="DefaultParagraphFont"/>
    <w:uiPriority w:val="99"/>
    <w:semiHidden/>
    <w:unhideWhenUsed/>
    <w:rsid w:val="00573E31"/>
    <w:rPr>
      <w:vertAlign w:val="superscript"/>
    </w:rPr>
  </w:style>
  <w:style w:type="character" w:styleId="Hyperlink">
    <w:name w:val="Hyperlink"/>
    <w:basedOn w:val="DefaultParagraphFont"/>
    <w:uiPriority w:val="99"/>
    <w:unhideWhenUsed/>
    <w:rsid w:val="00D847A0"/>
    <w:rPr>
      <w:color w:val="0563C1" w:themeColor="hyperlink"/>
      <w:u w:val="single"/>
    </w:rPr>
  </w:style>
  <w:style w:type="character" w:styleId="UnresolvedMention">
    <w:name w:val="Unresolved Mention"/>
    <w:basedOn w:val="DefaultParagraphFont"/>
    <w:uiPriority w:val="99"/>
    <w:semiHidden/>
    <w:unhideWhenUsed/>
    <w:rsid w:val="00D847A0"/>
    <w:rPr>
      <w:color w:val="605E5C"/>
      <w:shd w:val="clear" w:color="auto" w:fill="E1DFDD"/>
    </w:rPr>
  </w:style>
  <w:style w:type="character" w:styleId="FollowedHyperlink">
    <w:name w:val="FollowedHyperlink"/>
    <w:basedOn w:val="DefaultParagraphFont"/>
    <w:uiPriority w:val="99"/>
    <w:semiHidden/>
    <w:unhideWhenUsed/>
    <w:rsid w:val="00D847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267711">
      <w:bodyDiv w:val="1"/>
      <w:marLeft w:val="0"/>
      <w:marRight w:val="0"/>
      <w:marTop w:val="0"/>
      <w:marBottom w:val="0"/>
      <w:divBdr>
        <w:top w:val="none" w:sz="0" w:space="0" w:color="auto"/>
        <w:left w:val="none" w:sz="0" w:space="0" w:color="auto"/>
        <w:bottom w:val="none" w:sz="0" w:space="0" w:color="auto"/>
        <w:right w:val="none" w:sz="0" w:space="0" w:color="auto"/>
      </w:divBdr>
      <w:divsChild>
        <w:div w:id="407963942">
          <w:marLeft w:val="0"/>
          <w:marRight w:val="0"/>
          <w:marTop w:val="480"/>
          <w:marBottom w:val="480"/>
          <w:divBdr>
            <w:top w:val="none" w:sz="0" w:space="0" w:color="auto"/>
            <w:left w:val="none" w:sz="0" w:space="0" w:color="auto"/>
            <w:bottom w:val="none" w:sz="0" w:space="0" w:color="auto"/>
            <w:right w:val="none" w:sz="0" w:space="0" w:color="auto"/>
          </w:divBdr>
        </w:div>
        <w:div w:id="1853183458">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SharedWithUsers xmlns="3bbbe167-487c-408d-acef-8d2427bd1be5">
      <UserInfo>
        <DisplayName>Mark Sommerfeld</DisplayName>
        <AccountId>64</AccountId>
        <AccountType/>
      </UserInfo>
      <UserInfo>
        <DisplayName>Frank Gordon</DisplayName>
        <AccountId>68</AccountId>
        <AccountType/>
      </UserInfo>
      <UserInfo>
        <DisplayName>Jordan Dilworth</DisplayName>
        <AccountId>72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3" ma:contentTypeDescription="Create a new document." ma:contentTypeScope="" ma:versionID="407d3d3166e893cd225182f2a7f4f3d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850e0e32418067496a98477ba2e15f25"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E91E1-2A54-41FC-A85F-5F416FAB251C}">
  <ds:schemaRefs>
    <ds:schemaRef ds:uri="http://schemas.openxmlformats.org/officeDocument/2006/bibliography"/>
  </ds:schemaRefs>
</ds:datastoreItem>
</file>

<file path=customXml/itemProps2.xml><?xml version="1.0" encoding="utf-8"?>
<ds:datastoreItem xmlns:ds="http://schemas.openxmlformats.org/officeDocument/2006/customXml" ds:itemID="{AF2D8593-BC21-4928-B529-DAE2AB44864C}">
  <ds:schemaRefs>
    <ds:schemaRef ds:uri="http://schemas.microsoft.com/sharepoint/v3/contenttype/forms"/>
  </ds:schemaRefs>
</ds:datastoreItem>
</file>

<file path=customXml/itemProps3.xml><?xml version="1.0" encoding="utf-8"?>
<ds:datastoreItem xmlns:ds="http://schemas.openxmlformats.org/officeDocument/2006/customXml" ds:itemID="{178F5435-85E7-4EAC-A764-1DF256340504}">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customXml/itemProps4.xml><?xml version="1.0" encoding="utf-8"?>
<ds:datastoreItem xmlns:ds="http://schemas.openxmlformats.org/officeDocument/2006/customXml" ds:itemID="{04631607-6195-4A42-BF0A-7C9CC8749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Links>
    <vt:vector size="30" baseType="variant">
      <vt:variant>
        <vt:i4>720990</vt:i4>
      </vt:variant>
      <vt:variant>
        <vt:i4>12</vt:i4>
      </vt:variant>
      <vt:variant>
        <vt:i4>0</vt:i4>
      </vt:variant>
      <vt:variant>
        <vt:i4>5</vt:i4>
      </vt:variant>
      <vt:variant>
        <vt:lpwstr>https://www.drive-electric.co.uk/guides/charging/how-much-does-it-cost-to-get-an-electric-charger-installed-at-home/</vt:lpwstr>
      </vt:variant>
      <vt:variant>
        <vt:lpwstr/>
      </vt:variant>
      <vt:variant>
        <vt:i4>1572866</vt:i4>
      </vt:variant>
      <vt:variant>
        <vt:i4>9</vt:i4>
      </vt:variant>
      <vt:variant>
        <vt:i4>0</vt:i4>
      </vt:variant>
      <vt:variant>
        <vt:i4>5</vt:i4>
      </vt:variant>
      <vt:variant>
        <vt:lpwstr>https://www.clientearth.org/latest/documents/clientearth-s-climate-snapshot-2019/</vt:lpwstr>
      </vt:variant>
      <vt:variant>
        <vt:lpwstr/>
      </vt:variant>
      <vt:variant>
        <vt:i4>4784184</vt:i4>
      </vt:variant>
      <vt:variant>
        <vt:i4>6</vt:i4>
      </vt:variant>
      <vt:variant>
        <vt:i4>0</vt:i4>
      </vt:variant>
      <vt:variant>
        <vt:i4>5</vt:i4>
      </vt:variant>
      <vt:variant>
        <vt:lpwstr>https://assets.publishing.service.gov.uk/government/uploads/system/uploads/attachment_data/file/1082719/BEIS_PAT_Spring_2022_Energy_Infrastructure_and_Energy_Sources.pdf</vt:lpwstr>
      </vt:variant>
      <vt:variant>
        <vt:lpwstr/>
      </vt:variant>
      <vt:variant>
        <vt:i4>2359331</vt:i4>
      </vt:variant>
      <vt:variant>
        <vt:i4>3</vt:i4>
      </vt:variant>
      <vt:variant>
        <vt:i4>0</vt:i4>
      </vt:variant>
      <vt:variant>
        <vt:i4>5</vt:i4>
      </vt:variant>
      <vt:variant>
        <vt:lpwstr>https://www.theccc.org.uk/publication/delivering-a-reliable-decarbonised-power-system/</vt:lpwstr>
      </vt:variant>
      <vt:variant>
        <vt:lpwstr/>
      </vt:variant>
      <vt:variant>
        <vt:i4>720924</vt:i4>
      </vt:variant>
      <vt:variant>
        <vt:i4>0</vt:i4>
      </vt:variant>
      <vt:variant>
        <vt:i4>0</vt:i4>
      </vt:variant>
      <vt:variant>
        <vt:i4>5</vt:i4>
      </vt:variant>
      <vt:variant>
        <vt:lpwstr>https://www.gov.uk/government/publications/transitioning-to-a-net-zero-energy-system-smart-systems-and-flexibility-plan-2021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Dilworth</dc:creator>
  <cp:keywords/>
  <dc:description/>
  <cp:lastModifiedBy>Jordan Dilworth</cp:lastModifiedBy>
  <cp:revision>3</cp:revision>
  <dcterms:created xsi:type="dcterms:W3CDTF">2023-06-13T08:59:00Z</dcterms:created>
  <dcterms:modified xsi:type="dcterms:W3CDTF">2023-06-13T09:02:00Z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