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B4A54" w14:textId="361F2F37" w:rsidR="00D569A3" w:rsidRDefault="00D569A3" w:rsidP="00D569A3">
      <w:pPr>
        <w:jc w:val="center"/>
        <w:rPr>
          <w:rFonts w:ascii="Open Sans" w:hAnsi="Open Sans" w:cs="Open Sans"/>
          <w:b/>
          <w:bCs/>
          <w:color w:val="06926B"/>
          <w:sz w:val="28"/>
          <w:szCs w:val="28"/>
        </w:rPr>
      </w:pPr>
      <w:r>
        <w:rPr>
          <w:rFonts w:ascii="Open Sans" w:hAnsi="Open Sans" w:cs="Open Sans"/>
          <w:b/>
          <w:bCs/>
          <w:color w:val="06926B"/>
          <w:sz w:val="28"/>
          <w:szCs w:val="28"/>
        </w:rPr>
        <w:t>REA response to DESNZ on</w:t>
      </w:r>
      <w:r w:rsidR="008F541D">
        <w:rPr>
          <w:rFonts w:ascii="Open Sans" w:hAnsi="Open Sans" w:cs="Open Sans"/>
          <w:b/>
          <w:bCs/>
          <w:color w:val="06926B"/>
          <w:sz w:val="28"/>
          <w:szCs w:val="28"/>
        </w:rPr>
        <w:t xml:space="preserve"> </w:t>
      </w:r>
      <w:r w:rsidR="00136A67">
        <w:rPr>
          <w:rFonts w:ascii="Open Sans" w:hAnsi="Open Sans" w:cs="Open Sans"/>
          <w:b/>
          <w:bCs/>
          <w:color w:val="06926B"/>
          <w:sz w:val="28"/>
          <w:szCs w:val="28"/>
        </w:rPr>
        <w:t>Market engagement for the second Hydrogen Allocation Round</w:t>
      </w:r>
      <w:r w:rsidR="00EB0334">
        <w:rPr>
          <w:rFonts w:ascii="Open Sans" w:hAnsi="Open Sans" w:cs="Open Sans"/>
          <w:b/>
          <w:bCs/>
          <w:color w:val="06926B"/>
          <w:sz w:val="28"/>
          <w:szCs w:val="28"/>
        </w:rPr>
        <w:t>.</w:t>
      </w:r>
    </w:p>
    <w:p w14:paraId="639C9505" w14:textId="3C48975B" w:rsidR="004B1FF3" w:rsidRPr="008439A2" w:rsidRDefault="00EB0334" w:rsidP="00D569A3">
      <w:pPr>
        <w:jc w:val="center"/>
        <w:rPr>
          <w:rFonts w:ascii="Open Sans" w:hAnsi="Open Sans" w:cs="Open Sans"/>
          <w:b/>
          <w:bCs/>
          <w:color w:val="06926B"/>
          <w:sz w:val="28"/>
          <w:szCs w:val="28"/>
        </w:rPr>
      </w:pPr>
      <w:r w:rsidRPr="00EB0334">
        <w:rPr>
          <w:rFonts w:ascii="Open Sans" w:hAnsi="Open Sans" w:cs="Open Sans"/>
          <w:b/>
          <w:bCs/>
          <w:color w:val="06926B"/>
          <w:sz w:val="28"/>
          <w:szCs w:val="28"/>
          <w:highlight w:val="yellow"/>
        </w:rPr>
        <w:t>Draft</w:t>
      </w:r>
      <w:r w:rsidR="00534235">
        <w:rPr>
          <w:rFonts w:ascii="Open Sans" w:hAnsi="Open Sans" w:cs="Open Sans"/>
          <w:b/>
          <w:bCs/>
          <w:color w:val="06926B"/>
          <w:sz w:val="28"/>
          <w:szCs w:val="28"/>
        </w:rPr>
        <w:t xml:space="preserve"> </w:t>
      </w:r>
      <w:r w:rsidR="00534235" w:rsidRPr="00534235">
        <w:rPr>
          <w:rFonts w:ascii="Open Sans" w:hAnsi="Open Sans" w:cs="Open Sans"/>
          <w:b/>
          <w:bCs/>
          <w:color w:val="06926B"/>
          <w:sz w:val="28"/>
          <w:szCs w:val="28"/>
          <w:highlight w:val="yellow"/>
        </w:rPr>
        <w:t xml:space="preserve">sent to members </w:t>
      </w:r>
      <w:r w:rsidR="000946D7">
        <w:rPr>
          <w:rFonts w:ascii="Open Sans" w:hAnsi="Open Sans" w:cs="Open Sans"/>
          <w:b/>
          <w:bCs/>
          <w:color w:val="06926B"/>
          <w:sz w:val="28"/>
          <w:szCs w:val="28"/>
          <w:highlight w:val="yellow"/>
        </w:rPr>
        <w:t>2</w:t>
      </w:r>
      <w:r w:rsidR="00993247">
        <w:rPr>
          <w:rFonts w:ascii="Open Sans" w:hAnsi="Open Sans" w:cs="Open Sans"/>
          <w:b/>
          <w:bCs/>
          <w:color w:val="06926B"/>
          <w:sz w:val="28"/>
          <w:szCs w:val="28"/>
          <w:highlight w:val="yellow"/>
        </w:rPr>
        <w:t>3</w:t>
      </w:r>
      <w:r w:rsidR="00534235" w:rsidRPr="00534235">
        <w:rPr>
          <w:rFonts w:ascii="Open Sans" w:hAnsi="Open Sans" w:cs="Open Sans"/>
          <w:b/>
          <w:bCs/>
          <w:color w:val="06926B"/>
          <w:sz w:val="28"/>
          <w:szCs w:val="28"/>
          <w:highlight w:val="yellow"/>
        </w:rPr>
        <w:t xml:space="preserve"> June 2023</w:t>
      </w:r>
    </w:p>
    <w:p w14:paraId="27B0ED88" w14:textId="5D38FAE5" w:rsidR="00C44AFB" w:rsidRDefault="00C44AFB" w:rsidP="00C44AFB">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 xml:space="preserve">The Association for Renewable Energy &amp; Clean Technologies (REA) is pleased to submit this response. The REA represents industry stakeholders from across the sector and includes dedicated member forums focused on green gas &amp; hydrogen, biomass heat, biomass power, renewable transport fuels, thermal storage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 </w:t>
      </w:r>
    </w:p>
    <w:p w14:paraId="665E9EA4" w14:textId="77777777" w:rsidR="00C44AFB" w:rsidRDefault="00C44AFB" w:rsidP="00C44AFB">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We have engaged with the energy department on a wide range of hydrogen policy. These include:</w:t>
      </w:r>
    </w:p>
    <w:p w14:paraId="55278A0B" w14:textId="77777777" w:rsidR="00C44AFB" w:rsidRPr="00C44AFB" w:rsidRDefault="00C44AFB" w:rsidP="00C44AFB">
      <w:pPr>
        <w:pStyle w:val="ListParagraph"/>
        <w:numPr>
          <w:ilvl w:val="0"/>
          <w:numId w:val="17"/>
        </w:numPr>
        <w:spacing w:before="120" w:after="120" w:line="240" w:lineRule="auto"/>
        <w:rPr>
          <w:rFonts w:ascii="Open Sans" w:eastAsia="Open Sans" w:hAnsi="Open Sans" w:cs="Open Sans"/>
          <w:color w:val="434343"/>
          <w:sz w:val="20"/>
          <w:szCs w:val="20"/>
        </w:rPr>
      </w:pPr>
      <w:r w:rsidRPr="00C44AFB">
        <w:rPr>
          <w:rFonts w:ascii="Open Sans" w:eastAsia="Open Sans" w:hAnsi="Open Sans" w:cs="Open Sans"/>
          <w:color w:val="434343"/>
          <w:sz w:val="20"/>
          <w:szCs w:val="20"/>
        </w:rPr>
        <w:t>the Low Carbon Hydrogen Standard</w:t>
      </w:r>
    </w:p>
    <w:p w14:paraId="7FB6FFC3" w14:textId="77777777" w:rsidR="00C44AFB" w:rsidRPr="00C44AFB" w:rsidRDefault="00C44AFB" w:rsidP="00C44AFB">
      <w:pPr>
        <w:pStyle w:val="ListParagraph"/>
        <w:numPr>
          <w:ilvl w:val="0"/>
          <w:numId w:val="17"/>
        </w:numPr>
        <w:spacing w:before="120" w:after="120" w:line="240" w:lineRule="auto"/>
        <w:rPr>
          <w:rFonts w:ascii="Open Sans" w:eastAsia="Open Sans" w:hAnsi="Open Sans" w:cs="Open Sans"/>
          <w:color w:val="434343"/>
          <w:sz w:val="20"/>
          <w:szCs w:val="20"/>
        </w:rPr>
      </w:pPr>
      <w:r w:rsidRPr="00C44AFB">
        <w:rPr>
          <w:rFonts w:ascii="Open Sans" w:eastAsia="Open Sans" w:hAnsi="Open Sans" w:cs="Open Sans"/>
          <w:color w:val="434343"/>
          <w:sz w:val="20"/>
          <w:szCs w:val="20"/>
        </w:rPr>
        <w:t>development of a hydrogen certification scheme</w:t>
      </w:r>
    </w:p>
    <w:p w14:paraId="60C9585C" w14:textId="77777777" w:rsidR="00C44AFB" w:rsidRPr="00C44AFB" w:rsidRDefault="00C44AFB" w:rsidP="00C44AFB">
      <w:pPr>
        <w:pStyle w:val="ListParagraph"/>
        <w:numPr>
          <w:ilvl w:val="0"/>
          <w:numId w:val="17"/>
        </w:numPr>
        <w:spacing w:before="120" w:after="120" w:line="240" w:lineRule="auto"/>
        <w:rPr>
          <w:rFonts w:ascii="Open Sans" w:eastAsia="Open Sans" w:hAnsi="Open Sans" w:cs="Open Sans"/>
          <w:color w:val="434343"/>
          <w:sz w:val="20"/>
          <w:szCs w:val="20"/>
        </w:rPr>
      </w:pPr>
      <w:r w:rsidRPr="00C44AFB">
        <w:rPr>
          <w:rFonts w:ascii="Open Sans" w:eastAsia="Open Sans" w:hAnsi="Open Sans" w:cs="Open Sans"/>
          <w:color w:val="434343"/>
          <w:sz w:val="20"/>
          <w:szCs w:val="20"/>
        </w:rPr>
        <w:t>Low Carbon Hydrogen Agreements and the policy decisions behind them</w:t>
      </w:r>
    </w:p>
    <w:p w14:paraId="38231B8D" w14:textId="3D640BC9" w:rsidR="00C44AFB" w:rsidRPr="00C44AFB" w:rsidRDefault="00C44AFB" w:rsidP="00C44AFB">
      <w:pPr>
        <w:pStyle w:val="ListParagraph"/>
        <w:numPr>
          <w:ilvl w:val="0"/>
          <w:numId w:val="17"/>
        </w:numPr>
        <w:spacing w:before="120" w:after="120" w:line="240" w:lineRule="auto"/>
        <w:rPr>
          <w:rFonts w:ascii="Open Sans" w:eastAsia="Open Sans" w:hAnsi="Open Sans" w:cs="Open Sans"/>
          <w:color w:val="434343"/>
          <w:sz w:val="20"/>
          <w:szCs w:val="20"/>
        </w:rPr>
      </w:pPr>
      <w:r w:rsidRPr="00C44AFB">
        <w:rPr>
          <w:rFonts w:ascii="Open Sans" w:eastAsia="Open Sans" w:hAnsi="Open Sans" w:cs="Open Sans"/>
          <w:color w:val="434343"/>
          <w:sz w:val="20"/>
          <w:szCs w:val="20"/>
        </w:rPr>
        <w:t>Forthcoming decision on blending into the gas grid</w:t>
      </w:r>
    </w:p>
    <w:p w14:paraId="7C96FC8C" w14:textId="164C997D" w:rsidR="00C44AFB" w:rsidRDefault="00C44AFB" w:rsidP="0028059A">
      <w:pPr>
        <w:rPr>
          <w:rFonts w:ascii="Open Sans" w:hAnsi="Open Sans" w:cs="Open Sans"/>
          <w:sz w:val="20"/>
          <w:szCs w:val="20"/>
        </w:rPr>
      </w:pPr>
      <w:r>
        <w:rPr>
          <w:rFonts w:ascii="Open Sans" w:hAnsi="Open Sans" w:cs="Open Sans"/>
          <w:sz w:val="20"/>
          <w:szCs w:val="20"/>
        </w:rPr>
        <w:t xml:space="preserve">A number of our members are particularly interested in production pathways other than electrolysis or methane reformation and we have engaged in detail on these ‘alternative’ pathways. </w:t>
      </w:r>
    </w:p>
    <w:p w14:paraId="4CCF94B2" w14:textId="4E8FCDB1" w:rsidR="00C44AFB" w:rsidRDefault="00C44AFB" w:rsidP="0028059A">
      <w:pPr>
        <w:rPr>
          <w:rFonts w:ascii="Open Sans" w:hAnsi="Open Sans" w:cs="Open Sans"/>
          <w:sz w:val="20"/>
          <w:szCs w:val="20"/>
        </w:rPr>
      </w:pPr>
      <w:r>
        <w:rPr>
          <w:rFonts w:ascii="Open Sans" w:hAnsi="Open Sans" w:cs="Open Sans"/>
          <w:sz w:val="20"/>
          <w:szCs w:val="20"/>
        </w:rPr>
        <w:t>We look forward to continuing to engage with the department on these and related policies, including the move towards competitive allocation.</w:t>
      </w:r>
    </w:p>
    <w:p w14:paraId="6611031C" w14:textId="77777777" w:rsidR="00C44AFB" w:rsidRDefault="00C44AFB" w:rsidP="0028059A">
      <w:pPr>
        <w:rPr>
          <w:rFonts w:ascii="Open Sans" w:hAnsi="Open Sans" w:cs="Open Sans"/>
          <w:sz w:val="20"/>
          <w:szCs w:val="20"/>
        </w:rPr>
      </w:pPr>
      <w:r>
        <w:rPr>
          <w:rFonts w:ascii="Open Sans" w:hAnsi="Open Sans" w:cs="Open Sans"/>
          <w:sz w:val="20"/>
          <w:szCs w:val="20"/>
        </w:rPr>
        <w:t xml:space="preserve">Although not within scope of this market engagement, we would like to highlight that the political uncertainty around funding for hydrogen support is a serious concern for our members. We appreciate the concerns around the proposed levy, but there is a significant risk that the primary powers for the levy will not be included within the current Energy Bill but that no ongoing alternative long term funding arrangements will be put in place. </w:t>
      </w:r>
    </w:p>
    <w:p w14:paraId="1F9B8C53" w14:textId="0C7E5860" w:rsidR="00C44AFB" w:rsidRDefault="00C44AFB" w:rsidP="0028059A">
      <w:pPr>
        <w:rPr>
          <w:rFonts w:ascii="Open Sans" w:hAnsi="Open Sans" w:cs="Open Sans"/>
          <w:sz w:val="20"/>
          <w:szCs w:val="20"/>
        </w:rPr>
      </w:pPr>
      <w:r>
        <w:rPr>
          <w:rFonts w:ascii="Open Sans" w:hAnsi="Open Sans" w:cs="Open Sans"/>
          <w:sz w:val="20"/>
          <w:szCs w:val="20"/>
        </w:rPr>
        <w:t>It is essential that this uncertainty is resolved as soon as possible to avoid having a chilling effect on plans to develop hydrogen projects in the UK.</w:t>
      </w:r>
    </w:p>
    <w:p w14:paraId="50F8EEBD" w14:textId="17CCBDBD" w:rsidR="00D569A3" w:rsidRPr="002D296A" w:rsidRDefault="002D296A" w:rsidP="003131AD">
      <w:pPr>
        <w:rPr>
          <w:rFonts w:ascii="Open Sans" w:hAnsi="Open Sans" w:cs="Open Sans"/>
          <w:b/>
          <w:bCs/>
          <w:color w:val="06926B"/>
          <w:sz w:val="28"/>
          <w:szCs w:val="28"/>
        </w:rPr>
      </w:pPr>
      <w:r>
        <w:rPr>
          <w:rFonts w:ascii="Open Sans" w:hAnsi="Open Sans" w:cs="Open Sans"/>
          <w:b/>
          <w:bCs/>
          <w:color w:val="06926B"/>
          <w:sz w:val="28"/>
          <w:szCs w:val="28"/>
        </w:rPr>
        <w:t xml:space="preserve">Project requirements </w:t>
      </w:r>
    </w:p>
    <w:p w14:paraId="6BAD5DAB" w14:textId="126187AC" w:rsidR="007020A2" w:rsidRPr="00812B76" w:rsidRDefault="00D569A3" w:rsidP="007020A2">
      <w:pPr>
        <w:pStyle w:val="ListParagraph"/>
        <w:numPr>
          <w:ilvl w:val="0"/>
          <w:numId w:val="2"/>
        </w:numPr>
        <w:rPr>
          <w:rFonts w:ascii="Open Sans" w:hAnsi="Open Sans" w:cs="Open Sans"/>
          <w:i/>
          <w:iCs/>
          <w:sz w:val="20"/>
          <w:szCs w:val="20"/>
        </w:rPr>
      </w:pPr>
      <w:r>
        <w:rPr>
          <w:rFonts w:ascii="Open Sans" w:hAnsi="Open Sans" w:cs="Open Sans"/>
          <w:b/>
          <w:bCs/>
          <w:sz w:val="20"/>
          <w:szCs w:val="20"/>
        </w:rPr>
        <w:t xml:space="preserve">Should it be available, would you look to seek CAPEX co-funding in HAR2? </w:t>
      </w:r>
    </w:p>
    <w:p w14:paraId="68C1EB64" w14:textId="0549D416" w:rsidR="00EB0334" w:rsidRPr="00812B76" w:rsidRDefault="00D569A3" w:rsidP="00EB0334">
      <w:pPr>
        <w:pStyle w:val="ListParagraph"/>
        <w:numPr>
          <w:ilvl w:val="0"/>
          <w:numId w:val="2"/>
        </w:numPr>
        <w:rPr>
          <w:rFonts w:ascii="Open Sans" w:hAnsi="Open Sans" w:cs="Open Sans"/>
          <w:b/>
          <w:bCs/>
          <w:sz w:val="20"/>
          <w:szCs w:val="20"/>
          <w:u w:val="single"/>
        </w:rPr>
      </w:pPr>
      <w:r>
        <w:rPr>
          <w:rFonts w:ascii="Open Sans" w:hAnsi="Open Sans" w:cs="Open Sans"/>
          <w:b/>
          <w:bCs/>
          <w:sz w:val="20"/>
          <w:szCs w:val="20"/>
        </w:rPr>
        <w:t>In HAR1, NZHF support was made available for up to 20% of eligible CAPEX costs. If your organisation is likely to apply for NZHF CAPEX co-funding support in HAR2, if possible, please provide the estimated size of bid required to support deployment of your project. Please present this bid as a percentage of your overall costs</w:t>
      </w:r>
      <w:r w:rsidR="00EB0334">
        <w:rPr>
          <w:rFonts w:ascii="Open Sans" w:hAnsi="Open Sans" w:cs="Open Sans"/>
          <w:b/>
          <w:bCs/>
          <w:sz w:val="20"/>
          <w:szCs w:val="20"/>
        </w:rPr>
        <w:t>?</w:t>
      </w:r>
    </w:p>
    <w:p w14:paraId="5503D2B0" w14:textId="1BBBF30A" w:rsidR="00812B76" w:rsidRDefault="00812B76" w:rsidP="00812B76">
      <w:pPr>
        <w:rPr>
          <w:rFonts w:ascii="Open Sans" w:hAnsi="Open Sans" w:cs="Open Sans"/>
          <w:sz w:val="20"/>
          <w:szCs w:val="20"/>
        </w:rPr>
      </w:pPr>
      <w:r w:rsidRPr="00812B76">
        <w:rPr>
          <w:rFonts w:ascii="Open Sans" w:hAnsi="Open Sans" w:cs="Open Sans"/>
          <w:sz w:val="20"/>
          <w:szCs w:val="20"/>
          <w:highlight w:val="yellow"/>
        </w:rPr>
        <w:t>As a trade association we would not be applying directly for funding. Member input welcome if there are general points we should make about usefulness of having option to apply for both capex and ongoing production support.</w:t>
      </w:r>
    </w:p>
    <w:p w14:paraId="34FA5544" w14:textId="77777777" w:rsidR="00447911" w:rsidRPr="00812B76" w:rsidRDefault="00447911" w:rsidP="00812B76">
      <w:pPr>
        <w:rPr>
          <w:rFonts w:ascii="Open Sans" w:hAnsi="Open Sans" w:cs="Open Sans"/>
          <w:sz w:val="20"/>
          <w:szCs w:val="20"/>
        </w:rPr>
      </w:pPr>
    </w:p>
    <w:p w14:paraId="008CEF9E" w14:textId="0BE63AC0" w:rsidR="002D296A" w:rsidRPr="00336D88" w:rsidRDefault="002D296A" w:rsidP="007020A2">
      <w:pPr>
        <w:rPr>
          <w:rFonts w:ascii="Open Sans" w:hAnsi="Open Sans" w:cs="Open Sans"/>
          <w:sz w:val="20"/>
          <w:szCs w:val="20"/>
        </w:rPr>
      </w:pPr>
      <w:bookmarkStart w:id="0" w:name="_Hlk138234595"/>
      <w:r>
        <w:rPr>
          <w:rFonts w:ascii="Open Sans" w:hAnsi="Open Sans" w:cs="Open Sans"/>
          <w:b/>
          <w:bCs/>
          <w:color w:val="06926B"/>
          <w:sz w:val="28"/>
          <w:szCs w:val="28"/>
        </w:rPr>
        <w:t>Proposed eligibility criteria</w:t>
      </w:r>
    </w:p>
    <w:bookmarkEnd w:id="0"/>
    <w:p w14:paraId="7C2F9209" w14:textId="433A566B" w:rsidR="00472DC0" w:rsidRDefault="00EB0334" w:rsidP="00472DC0">
      <w:pPr>
        <w:pStyle w:val="ListParagraph"/>
        <w:numPr>
          <w:ilvl w:val="0"/>
          <w:numId w:val="2"/>
        </w:numPr>
        <w:rPr>
          <w:rFonts w:ascii="Open Sans" w:hAnsi="Open Sans" w:cs="Open Sans"/>
          <w:sz w:val="20"/>
          <w:szCs w:val="20"/>
        </w:rPr>
      </w:pPr>
      <w:r w:rsidRPr="00EB0334">
        <w:rPr>
          <w:rFonts w:ascii="Open Sans" w:hAnsi="Open Sans" w:cs="Open Sans"/>
          <w:b/>
          <w:bCs/>
          <w:sz w:val="20"/>
          <w:szCs w:val="20"/>
        </w:rPr>
        <w:t xml:space="preserve">Do you </w:t>
      </w:r>
      <w:r w:rsidR="002D296A">
        <w:rPr>
          <w:rFonts w:ascii="Open Sans" w:hAnsi="Open Sans" w:cs="Open Sans"/>
          <w:b/>
          <w:bCs/>
          <w:sz w:val="20"/>
          <w:szCs w:val="20"/>
        </w:rPr>
        <w:t>agree with the proposed eligibility criteria for HAR2</w:t>
      </w:r>
      <w:r w:rsidRPr="00EB0334">
        <w:rPr>
          <w:rFonts w:ascii="Open Sans" w:hAnsi="Open Sans" w:cs="Open Sans"/>
          <w:b/>
          <w:bCs/>
          <w:sz w:val="20"/>
          <w:szCs w:val="20"/>
        </w:rPr>
        <w:t>?</w:t>
      </w:r>
      <w:r>
        <w:rPr>
          <w:rFonts w:ascii="Open Sans" w:hAnsi="Open Sans" w:cs="Open Sans"/>
          <w:sz w:val="20"/>
          <w:szCs w:val="20"/>
        </w:rPr>
        <w:t xml:space="preserve"> </w:t>
      </w:r>
    </w:p>
    <w:p w14:paraId="26A42D04" w14:textId="48837D92" w:rsidR="00812B76" w:rsidRDefault="00812B76" w:rsidP="00812B76">
      <w:pPr>
        <w:rPr>
          <w:rFonts w:ascii="Open Sans" w:hAnsi="Open Sans" w:cs="Open Sans"/>
          <w:sz w:val="20"/>
          <w:szCs w:val="20"/>
        </w:rPr>
      </w:pPr>
      <w:r>
        <w:rPr>
          <w:rFonts w:ascii="Open Sans" w:hAnsi="Open Sans" w:cs="Open Sans"/>
          <w:sz w:val="20"/>
          <w:szCs w:val="20"/>
        </w:rPr>
        <w:t>We agree, subject to the following comments</w:t>
      </w:r>
      <w:r w:rsidR="002A2552">
        <w:rPr>
          <w:rFonts w:ascii="Open Sans" w:hAnsi="Open Sans" w:cs="Open Sans"/>
          <w:sz w:val="20"/>
          <w:szCs w:val="20"/>
        </w:rPr>
        <w:t>.</w:t>
      </w:r>
    </w:p>
    <w:p w14:paraId="13506D48" w14:textId="34826C4B" w:rsidR="00812B76" w:rsidRDefault="00812B76" w:rsidP="00812B76">
      <w:pPr>
        <w:rPr>
          <w:rFonts w:ascii="Open Sans" w:hAnsi="Open Sans" w:cs="Open Sans"/>
          <w:sz w:val="20"/>
          <w:szCs w:val="20"/>
        </w:rPr>
      </w:pPr>
      <w:r>
        <w:rPr>
          <w:rFonts w:ascii="Open Sans" w:hAnsi="Open Sans" w:cs="Open Sans"/>
          <w:sz w:val="20"/>
          <w:szCs w:val="20"/>
        </w:rPr>
        <w:t xml:space="preserve">We agree that a project should be expected to meet the </w:t>
      </w:r>
      <w:r w:rsidRPr="00812B76">
        <w:rPr>
          <w:rFonts w:ascii="Open Sans" w:hAnsi="Open Sans" w:cs="Open Sans"/>
          <w:b/>
          <w:bCs/>
          <w:sz w:val="20"/>
          <w:szCs w:val="20"/>
        </w:rPr>
        <w:t>Low Carbon Hydrogen Standard</w:t>
      </w:r>
      <w:r>
        <w:rPr>
          <w:rFonts w:ascii="Open Sans" w:hAnsi="Open Sans" w:cs="Open Sans"/>
          <w:b/>
          <w:bCs/>
          <w:sz w:val="20"/>
          <w:szCs w:val="20"/>
        </w:rPr>
        <w:t>.</w:t>
      </w:r>
      <w:r>
        <w:rPr>
          <w:rFonts w:ascii="Open Sans" w:hAnsi="Open Sans" w:cs="Open Sans"/>
          <w:sz w:val="20"/>
          <w:szCs w:val="20"/>
        </w:rPr>
        <w:t xml:space="preserve"> We think this is implicit in the market engagement, but it is essential that the LCHS version that is relevant must not change from the point at which the HAR2 application guidance is published – or at least, not changed to the detriment of a potential hydrogen producer. Where the published documents making up the LCHS have not themselves changed but the interpretation of them has changed such that the effect on the producer is detrimental this must be carefully considered and avoided if at all possible.</w:t>
      </w:r>
    </w:p>
    <w:p w14:paraId="1D1E3306" w14:textId="5DA37E9A" w:rsidR="00812B76" w:rsidRDefault="00812B76" w:rsidP="00812B76">
      <w:pPr>
        <w:rPr>
          <w:rFonts w:ascii="Open Sans" w:hAnsi="Open Sans" w:cs="Open Sans"/>
          <w:sz w:val="20"/>
          <w:szCs w:val="20"/>
        </w:rPr>
      </w:pPr>
      <w:r>
        <w:rPr>
          <w:rFonts w:ascii="Open Sans" w:hAnsi="Open Sans" w:cs="Open Sans"/>
          <w:sz w:val="20"/>
          <w:szCs w:val="20"/>
        </w:rPr>
        <w:t xml:space="preserve">We </w:t>
      </w:r>
      <w:r w:rsidR="001C108B">
        <w:rPr>
          <w:rFonts w:ascii="Open Sans" w:hAnsi="Open Sans" w:cs="Open Sans"/>
          <w:sz w:val="20"/>
          <w:szCs w:val="20"/>
        </w:rPr>
        <w:t xml:space="preserve">look forward to the strategic decision on whether to allow </w:t>
      </w:r>
      <w:r w:rsidR="001C108B" w:rsidRPr="001C108B">
        <w:rPr>
          <w:rFonts w:ascii="Open Sans" w:hAnsi="Open Sans" w:cs="Open Sans"/>
          <w:b/>
          <w:bCs/>
          <w:sz w:val="20"/>
          <w:szCs w:val="20"/>
        </w:rPr>
        <w:t>blending into the gas grid</w:t>
      </w:r>
      <w:r w:rsidR="001C108B">
        <w:rPr>
          <w:rFonts w:ascii="Open Sans" w:hAnsi="Open Sans" w:cs="Open Sans"/>
          <w:sz w:val="20"/>
          <w:szCs w:val="20"/>
        </w:rPr>
        <w:t xml:space="preserve">. On the anticipation that this is allowed, we believe there is a strong value for money case for allowing at least some blending to be supported within the HPBM. Alongside Hydrogen UK, we submitted a paper to the energy department on the value for money case and will continue to engage on this </w:t>
      </w:r>
      <w:r w:rsidR="00447911">
        <w:rPr>
          <w:rFonts w:ascii="Open Sans" w:hAnsi="Open Sans" w:cs="Open Sans"/>
          <w:sz w:val="20"/>
          <w:szCs w:val="20"/>
        </w:rPr>
        <w:t>issue.</w:t>
      </w:r>
    </w:p>
    <w:p w14:paraId="2AFB835B" w14:textId="59F85ABA" w:rsidR="001C108B" w:rsidRDefault="001C108B" w:rsidP="00812B76">
      <w:pPr>
        <w:rPr>
          <w:rFonts w:ascii="Open Sans" w:hAnsi="Open Sans" w:cs="Open Sans"/>
          <w:sz w:val="20"/>
          <w:szCs w:val="20"/>
        </w:rPr>
      </w:pPr>
      <w:r>
        <w:rPr>
          <w:rFonts w:ascii="Open Sans" w:hAnsi="Open Sans" w:cs="Open Sans"/>
          <w:sz w:val="20"/>
          <w:szCs w:val="20"/>
        </w:rPr>
        <w:t xml:space="preserve">We disagree with the current position that </w:t>
      </w:r>
      <w:r w:rsidRPr="00890902">
        <w:rPr>
          <w:rFonts w:ascii="Open Sans" w:hAnsi="Open Sans" w:cs="Open Sans"/>
          <w:b/>
          <w:bCs/>
          <w:sz w:val="20"/>
          <w:szCs w:val="20"/>
        </w:rPr>
        <w:t>risk taking intermediaries</w:t>
      </w:r>
      <w:r>
        <w:rPr>
          <w:rFonts w:ascii="Open Sans" w:hAnsi="Open Sans" w:cs="Open Sans"/>
          <w:sz w:val="20"/>
          <w:szCs w:val="20"/>
        </w:rPr>
        <w:t xml:space="preserve"> are ineligible offtakers. Having these intermediaries would be an essential part of a genuinely liquid market as producers and users of hydrogen are no longer required to match supply and demand themselves (and to see increased costs from the fact that the risk of a mis-match must</w:t>
      </w:r>
      <w:r w:rsidR="00890902">
        <w:rPr>
          <w:rFonts w:ascii="Open Sans" w:hAnsi="Open Sans" w:cs="Open Sans"/>
          <w:sz w:val="20"/>
          <w:szCs w:val="20"/>
        </w:rPr>
        <w:t xml:space="preserve"> be covered by either or both parties). Similarly, allowing such intermediaries will help accelerate the development of a market and continued exclusion is likely to hold it back.</w:t>
      </w:r>
    </w:p>
    <w:p w14:paraId="3FC0179C" w14:textId="77751976" w:rsidR="00812B76" w:rsidRDefault="00890902" w:rsidP="00812B76">
      <w:pPr>
        <w:rPr>
          <w:rFonts w:ascii="Open Sans" w:hAnsi="Open Sans" w:cs="Open Sans"/>
          <w:sz w:val="20"/>
          <w:szCs w:val="20"/>
        </w:rPr>
      </w:pPr>
      <w:r>
        <w:rPr>
          <w:rFonts w:ascii="Open Sans" w:hAnsi="Open Sans" w:cs="Open Sans"/>
          <w:sz w:val="20"/>
          <w:szCs w:val="20"/>
        </w:rPr>
        <w:t xml:space="preserve">We presented a paper to the energy department on this late in 2022 and will continue to engage. We are not aware of any in principle reasons why they should be excluded, and the additional policy considerations that would need to be resolved are no more complex than issues that have already been addressed. In particular, inclusion of intermediaries is a key enabler of developing a genuine ‘market price’ for hydrogen, which </w:t>
      </w:r>
      <w:r w:rsidR="002A2552">
        <w:rPr>
          <w:rFonts w:ascii="Open Sans" w:hAnsi="Open Sans" w:cs="Open Sans"/>
          <w:sz w:val="20"/>
          <w:szCs w:val="20"/>
        </w:rPr>
        <w:t>would enable the LCHAs to refer to a market benchmark for their reference price rather than the ‘achieved sales price’. This in turn would enable one of the more complex parts of the LCHAs to be greatly simplified.</w:t>
      </w:r>
    </w:p>
    <w:p w14:paraId="65EE56CE" w14:textId="46F849D6" w:rsidR="002A2552" w:rsidRDefault="002A2552" w:rsidP="00812B76">
      <w:pPr>
        <w:rPr>
          <w:rFonts w:ascii="Open Sans" w:hAnsi="Open Sans" w:cs="Open Sans"/>
          <w:sz w:val="20"/>
          <w:szCs w:val="20"/>
        </w:rPr>
      </w:pPr>
      <w:r>
        <w:rPr>
          <w:rFonts w:ascii="Open Sans" w:hAnsi="Open Sans" w:cs="Open Sans"/>
          <w:sz w:val="20"/>
          <w:szCs w:val="20"/>
        </w:rPr>
        <w:t xml:space="preserve">We welcome the willingness to include support for </w:t>
      </w:r>
      <w:r w:rsidRPr="002A2552">
        <w:rPr>
          <w:rFonts w:ascii="Open Sans" w:hAnsi="Open Sans" w:cs="Open Sans"/>
          <w:b/>
          <w:bCs/>
          <w:sz w:val="20"/>
          <w:szCs w:val="20"/>
        </w:rPr>
        <w:t>non-electrolytic production technologies</w:t>
      </w:r>
      <w:r>
        <w:rPr>
          <w:rFonts w:ascii="Open Sans" w:hAnsi="Open Sans" w:cs="Open Sans"/>
          <w:sz w:val="20"/>
          <w:szCs w:val="20"/>
        </w:rPr>
        <w:t xml:space="preserve"> and will look to build further on our engagement to date. With regard to whether there should be a requirement to have CCUS we do not see that it is essential at this stage given the uncertainties around development of CCUS infrastructure. We note that even without CCUS, hydrogen from fossil residual waste can deliver meaningful GHG reductions, following the inclusion in the LCHS of a ‘counterfactual’ approach</w:t>
      </w:r>
      <w:r w:rsidR="00D743F8">
        <w:rPr>
          <w:rFonts w:ascii="Open Sans" w:hAnsi="Open Sans" w:cs="Open Sans"/>
          <w:sz w:val="20"/>
          <w:szCs w:val="20"/>
        </w:rPr>
        <w:t xml:space="preserve">. The longer proposed installation timelines are a critical enabler for these projects as well, which will generally take longer to build and commission. </w:t>
      </w:r>
      <w:r w:rsidR="00D743F8" w:rsidRPr="00D743F8">
        <w:rPr>
          <w:rFonts w:ascii="Open Sans" w:hAnsi="Open Sans" w:cs="Open Sans"/>
          <w:sz w:val="20"/>
          <w:szCs w:val="20"/>
          <w:highlight w:val="yellow"/>
        </w:rPr>
        <w:t>– member comment invited – is the proposed timescale long enough?</w:t>
      </w:r>
    </w:p>
    <w:p w14:paraId="50FFA5B5" w14:textId="0E9CFA85" w:rsidR="002A2552" w:rsidRDefault="002A2552" w:rsidP="00812B76">
      <w:pPr>
        <w:rPr>
          <w:rFonts w:ascii="Open Sans" w:hAnsi="Open Sans" w:cs="Open Sans"/>
          <w:sz w:val="20"/>
          <w:szCs w:val="20"/>
        </w:rPr>
      </w:pPr>
      <w:r>
        <w:rPr>
          <w:rFonts w:ascii="Open Sans" w:hAnsi="Open Sans" w:cs="Open Sans"/>
          <w:sz w:val="20"/>
          <w:szCs w:val="20"/>
        </w:rPr>
        <w:t>We agree it would make sense to introduce an equivalent for ‘identifying an electrolyser supplier’ eligibility criterion. Non-electrolytic production technologies are critically dependent on a production process and the technology provider so it</w:t>
      </w:r>
      <w:r w:rsidR="0084772B">
        <w:rPr>
          <w:rFonts w:ascii="Open Sans" w:hAnsi="Open Sans" w:cs="Open Sans"/>
          <w:sz w:val="20"/>
          <w:szCs w:val="20"/>
        </w:rPr>
        <w:t>s</w:t>
      </w:r>
      <w:r>
        <w:rPr>
          <w:rFonts w:ascii="Open Sans" w:hAnsi="Open Sans" w:cs="Open Sans"/>
          <w:sz w:val="20"/>
          <w:szCs w:val="20"/>
        </w:rPr>
        <w:t xml:space="preserve"> clearly reasonable to require high level information on this. We will work with our members on how this should be expressed so as to give necessary assurance to government but also allow suitable flexibility for tendering and commercial considerations as the project nears financial close.</w:t>
      </w:r>
    </w:p>
    <w:p w14:paraId="2F896C38" w14:textId="1EA3C5F4" w:rsidR="002A2552" w:rsidRPr="00812B76" w:rsidRDefault="002A2552" w:rsidP="00812B76">
      <w:pPr>
        <w:rPr>
          <w:rFonts w:ascii="Open Sans" w:hAnsi="Open Sans" w:cs="Open Sans"/>
          <w:sz w:val="20"/>
          <w:szCs w:val="20"/>
        </w:rPr>
      </w:pPr>
      <w:r>
        <w:rPr>
          <w:rFonts w:ascii="Open Sans" w:hAnsi="Open Sans" w:cs="Open Sans"/>
          <w:sz w:val="20"/>
          <w:szCs w:val="20"/>
        </w:rPr>
        <w:t xml:space="preserve">In our paper on non-electrolytic production </w:t>
      </w:r>
      <w:r w:rsidR="0084772B">
        <w:rPr>
          <w:rFonts w:ascii="Open Sans" w:hAnsi="Open Sans" w:cs="Open Sans"/>
          <w:sz w:val="20"/>
          <w:szCs w:val="20"/>
        </w:rPr>
        <w:t>technologies,</w:t>
      </w:r>
      <w:r>
        <w:rPr>
          <w:rFonts w:ascii="Open Sans" w:hAnsi="Open Sans" w:cs="Open Sans"/>
          <w:sz w:val="20"/>
          <w:szCs w:val="20"/>
        </w:rPr>
        <w:t xml:space="preserve"> we proposed that having </w:t>
      </w:r>
      <w:r w:rsidRPr="00D743F8">
        <w:rPr>
          <w:rFonts w:ascii="Open Sans" w:hAnsi="Open Sans" w:cs="Open Sans"/>
          <w:b/>
          <w:bCs/>
          <w:sz w:val="20"/>
          <w:szCs w:val="20"/>
        </w:rPr>
        <w:t>planning permission</w:t>
      </w:r>
      <w:r>
        <w:rPr>
          <w:rFonts w:ascii="Open Sans" w:hAnsi="Open Sans" w:cs="Open Sans"/>
          <w:sz w:val="20"/>
          <w:szCs w:val="20"/>
        </w:rPr>
        <w:t xml:space="preserve"> should be a criterion for those projects. We would encourage DESNZ to consider whether it should also be a requirement for other technologies, building on their experience from HAR1</w:t>
      </w:r>
      <w:r w:rsidR="00D743F8">
        <w:rPr>
          <w:rFonts w:ascii="Open Sans" w:hAnsi="Open Sans" w:cs="Open Sans"/>
          <w:sz w:val="20"/>
          <w:szCs w:val="20"/>
        </w:rPr>
        <w:t xml:space="preserve">. </w:t>
      </w:r>
      <w:r w:rsidR="00D743F8" w:rsidRPr="00D743F8">
        <w:rPr>
          <w:rFonts w:ascii="Open Sans" w:hAnsi="Open Sans" w:cs="Open Sans"/>
          <w:sz w:val="20"/>
          <w:szCs w:val="20"/>
          <w:highlight w:val="yellow"/>
        </w:rPr>
        <w:t>MEMBER COMMENT INVITED – we have had some feedback that not requiring planning permission has not helped with credibility of some projects, and this is a commonplace requirement for other schemes (ie power CfD and RHI/Green Gas Support Scheme tariff guarantees)</w:t>
      </w:r>
    </w:p>
    <w:p w14:paraId="7DA630DA" w14:textId="28A8D275" w:rsidR="001D5C04" w:rsidRPr="002D296A" w:rsidRDefault="002D296A" w:rsidP="00472DC0">
      <w:pPr>
        <w:pStyle w:val="ListParagraph"/>
        <w:numPr>
          <w:ilvl w:val="0"/>
          <w:numId w:val="2"/>
        </w:numPr>
        <w:rPr>
          <w:rFonts w:ascii="Open Sans" w:hAnsi="Open Sans" w:cs="Open Sans"/>
          <w:sz w:val="20"/>
          <w:szCs w:val="20"/>
        </w:rPr>
      </w:pPr>
      <w:r>
        <w:rPr>
          <w:rFonts w:ascii="Open Sans" w:hAnsi="Open Sans" w:cs="Open Sans"/>
          <w:b/>
          <w:bCs/>
          <w:sz w:val="20"/>
          <w:szCs w:val="20"/>
        </w:rPr>
        <w:t>We are seeking information from the biomass or waste to gasification and pyrolysis to hydrogen and solid carbon production projects interested in HAR2 funding, should it be available. We are asking these projects to provide information on the following:</w:t>
      </w:r>
    </w:p>
    <w:p w14:paraId="34B3E43D" w14:textId="50E9B11F" w:rsidR="002D296A" w:rsidRPr="002D296A" w:rsidRDefault="002D296A" w:rsidP="002D296A">
      <w:pPr>
        <w:pStyle w:val="ListParagraph"/>
        <w:numPr>
          <w:ilvl w:val="1"/>
          <w:numId w:val="2"/>
        </w:numPr>
        <w:rPr>
          <w:rFonts w:ascii="Open Sans" w:hAnsi="Open Sans" w:cs="Open Sans"/>
          <w:sz w:val="20"/>
          <w:szCs w:val="20"/>
        </w:rPr>
      </w:pPr>
      <w:r>
        <w:rPr>
          <w:rFonts w:ascii="Open Sans" w:hAnsi="Open Sans" w:cs="Open Sans"/>
          <w:b/>
          <w:bCs/>
          <w:sz w:val="20"/>
          <w:szCs w:val="20"/>
        </w:rPr>
        <w:t>Projected hydrogen production capacity of individual projects (MW H2 HHV) and estimated date of commercial operation.</w:t>
      </w:r>
    </w:p>
    <w:p w14:paraId="7A7FABCE" w14:textId="52043414" w:rsidR="002D296A" w:rsidRPr="00B8535D" w:rsidRDefault="002D296A" w:rsidP="002D296A">
      <w:pPr>
        <w:pStyle w:val="ListParagraph"/>
        <w:numPr>
          <w:ilvl w:val="1"/>
          <w:numId w:val="2"/>
        </w:numPr>
        <w:rPr>
          <w:rFonts w:ascii="Open Sans" w:hAnsi="Open Sans" w:cs="Open Sans"/>
          <w:sz w:val="20"/>
          <w:szCs w:val="20"/>
        </w:rPr>
      </w:pPr>
      <w:r>
        <w:rPr>
          <w:rFonts w:ascii="Open Sans" w:hAnsi="Open Sans" w:cs="Open Sans"/>
          <w:b/>
          <w:bCs/>
          <w:sz w:val="20"/>
          <w:szCs w:val="20"/>
        </w:rPr>
        <w:t>Expected load factors for production facilities of these technologies</w:t>
      </w:r>
      <w:r w:rsidR="00B8535D">
        <w:rPr>
          <w:rFonts w:ascii="Open Sans" w:hAnsi="Open Sans" w:cs="Open Sans"/>
          <w:b/>
          <w:bCs/>
          <w:sz w:val="20"/>
          <w:szCs w:val="20"/>
        </w:rPr>
        <w:t>.</w:t>
      </w:r>
    </w:p>
    <w:p w14:paraId="16A25C02" w14:textId="6020B2B9" w:rsidR="00B8535D" w:rsidRPr="00B8535D" w:rsidRDefault="00B8535D" w:rsidP="002D296A">
      <w:pPr>
        <w:pStyle w:val="ListParagraph"/>
        <w:numPr>
          <w:ilvl w:val="1"/>
          <w:numId w:val="2"/>
        </w:numPr>
        <w:rPr>
          <w:rFonts w:ascii="Open Sans" w:hAnsi="Open Sans" w:cs="Open Sans"/>
          <w:sz w:val="20"/>
          <w:szCs w:val="20"/>
        </w:rPr>
      </w:pPr>
      <w:r>
        <w:rPr>
          <w:rFonts w:ascii="Open Sans" w:hAnsi="Open Sans" w:cs="Open Sans"/>
          <w:b/>
          <w:bCs/>
          <w:sz w:val="20"/>
          <w:szCs w:val="20"/>
        </w:rPr>
        <w:t>Fuel input requirements (energy input required to produce a unit of hydrogen output) and proposed source of feedstock.</w:t>
      </w:r>
    </w:p>
    <w:p w14:paraId="69CAC5FF" w14:textId="23C2156A" w:rsidR="00B8535D" w:rsidRPr="00B8535D" w:rsidRDefault="00B8535D" w:rsidP="002D296A">
      <w:pPr>
        <w:pStyle w:val="ListParagraph"/>
        <w:numPr>
          <w:ilvl w:val="1"/>
          <w:numId w:val="2"/>
        </w:numPr>
        <w:rPr>
          <w:rFonts w:ascii="Open Sans" w:hAnsi="Open Sans" w:cs="Open Sans"/>
          <w:sz w:val="20"/>
          <w:szCs w:val="20"/>
        </w:rPr>
      </w:pPr>
      <w:r>
        <w:rPr>
          <w:rFonts w:ascii="Open Sans" w:hAnsi="Open Sans" w:cs="Open Sans"/>
          <w:b/>
          <w:bCs/>
          <w:sz w:val="20"/>
          <w:szCs w:val="20"/>
        </w:rPr>
        <w:t>Cost (expected capital and operational costs of producing hydrogen using these technologies)</w:t>
      </w:r>
    </w:p>
    <w:p w14:paraId="3CC999DF" w14:textId="546B01B4" w:rsidR="00B8535D" w:rsidRPr="00B8535D" w:rsidRDefault="00B8535D" w:rsidP="002D296A">
      <w:pPr>
        <w:pStyle w:val="ListParagraph"/>
        <w:numPr>
          <w:ilvl w:val="1"/>
          <w:numId w:val="2"/>
        </w:numPr>
        <w:rPr>
          <w:rFonts w:ascii="Open Sans" w:hAnsi="Open Sans" w:cs="Open Sans"/>
          <w:sz w:val="20"/>
          <w:szCs w:val="20"/>
        </w:rPr>
      </w:pPr>
      <w:r>
        <w:rPr>
          <w:rFonts w:ascii="Open Sans" w:hAnsi="Open Sans" w:cs="Open Sans"/>
          <w:b/>
          <w:bCs/>
          <w:sz w:val="20"/>
          <w:szCs w:val="20"/>
        </w:rPr>
        <w:t>Evidence that these technologies meet TRL 7 or more.</w:t>
      </w:r>
    </w:p>
    <w:p w14:paraId="68B9F7F0" w14:textId="50B7CE7A" w:rsidR="00B8535D" w:rsidRPr="00B8535D" w:rsidRDefault="00B8535D" w:rsidP="002D296A">
      <w:pPr>
        <w:pStyle w:val="ListParagraph"/>
        <w:numPr>
          <w:ilvl w:val="1"/>
          <w:numId w:val="2"/>
        </w:numPr>
        <w:rPr>
          <w:rFonts w:ascii="Open Sans" w:hAnsi="Open Sans" w:cs="Open Sans"/>
          <w:sz w:val="20"/>
          <w:szCs w:val="20"/>
        </w:rPr>
      </w:pPr>
      <w:r>
        <w:rPr>
          <w:rFonts w:ascii="Open Sans" w:hAnsi="Open Sans" w:cs="Open Sans"/>
          <w:b/>
          <w:bCs/>
          <w:sz w:val="20"/>
          <w:szCs w:val="20"/>
        </w:rPr>
        <w:t>Potential for wider environmental impacts from these routes, including consideration of air quality impacts and water requirements.</w:t>
      </w:r>
    </w:p>
    <w:p w14:paraId="579E0D05" w14:textId="596AB35A" w:rsidR="00B8535D" w:rsidRPr="00B8535D" w:rsidRDefault="00B8535D" w:rsidP="002D296A">
      <w:pPr>
        <w:pStyle w:val="ListParagraph"/>
        <w:numPr>
          <w:ilvl w:val="1"/>
          <w:numId w:val="2"/>
        </w:numPr>
        <w:rPr>
          <w:rFonts w:ascii="Open Sans" w:hAnsi="Open Sans" w:cs="Open Sans"/>
          <w:sz w:val="20"/>
          <w:szCs w:val="20"/>
        </w:rPr>
      </w:pPr>
      <w:r>
        <w:rPr>
          <w:rFonts w:ascii="Open Sans" w:hAnsi="Open Sans" w:cs="Open Sans"/>
          <w:b/>
          <w:bCs/>
          <w:sz w:val="20"/>
          <w:szCs w:val="20"/>
        </w:rPr>
        <w:t>Details of any residues produced by these processes and how these will be managed.</w:t>
      </w:r>
    </w:p>
    <w:p w14:paraId="2CDCD574" w14:textId="04D8386E" w:rsidR="00B8535D" w:rsidRPr="00D743F8" w:rsidRDefault="00B8535D" w:rsidP="002D296A">
      <w:pPr>
        <w:pStyle w:val="ListParagraph"/>
        <w:numPr>
          <w:ilvl w:val="1"/>
          <w:numId w:val="2"/>
        </w:numPr>
        <w:rPr>
          <w:rFonts w:ascii="Open Sans" w:hAnsi="Open Sans" w:cs="Open Sans"/>
          <w:sz w:val="20"/>
          <w:szCs w:val="20"/>
        </w:rPr>
      </w:pPr>
      <w:r>
        <w:rPr>
          <w:rFonts w:ascii="Open Sans" w:hAnsi="Open Sans" w:cs="Open Sans"/>
          <w:b/>
          <w:bCs/>
          <w:sz w:val="20"/>
          <w:szCs w:val="20"/>
        </w:rPr>
        <w:t xml:space="preserve">For pyrolysis to hydrogen and solid carbon production technologies only, plans for carbon black usage or disposal, and evidence of the environmental impacts associated with this. </w:t>
      </w:r>
    </w:p>
    <w:p w14:paraId="5E1AA408" w14:textId="3E3953F6" w:rsidR="00D743F8" w:rsidRPr="00D743F8" w:rsidRDefault="00D743F8" w:rsidP="00D743F8">
      <w:pPr>
        <w:rPr>
          <w:rFonts w:ascii="Open Sans" w:hAnsi="Open Sans" w:cs="Open Sans"/>
          <w:sz w:val="20"/>
          <w:szCs w:val="20"/>
        </w:rPr>
      </w:pPr>
      <w:r>
        <w:rPr>
          <w:rFonts w:ascii="Open Sans" w:hAnsi="Open Sans" w:cs="Open Sans"/>
          <w:sz w:val="20"/>
          <w:szCs w:val="20"/>
        </w:rPr>
        <w:t>We will continue to engage with our members and the department on these points.</w:t>
      </w:r>
    </w:p>
    <w:p w14:paraId="056BB602" w14:textId="4D2D18D4" w:rsidR="00B8535D" w:rsidRPr="00B8535D" w:rsidRDefault="00B8535D" w:rsidP="00B8535D">
      <w:pPr>
        <w:pStyle w:val="ListParagraph"/>
        <w:numPr>
          <w:ilvl w:val="0"/>
          <w:numId w:val="2"/>
        </w:numPr>
        <w:rPr>
          <w:rFonts w:ascii="Open Sans" w:hAnsi="Open Sans" w:cs="Open Sans"/>
          <w:sz w:val="20"/>
          <w:szCs w:val="20"/>
        </w:rPr>
      </w:pPr>
      <w:r>
        <w:rPr>
          <w:rFonts w:ascii="Open Sans" w:hAnsi="Open Sans" w:cs="Open Sans"/>
          <w:b/>
          <w:bCs/>
          <w:sz w:val="20"/>
          <w:szCs w:val="20"/>
        </w:rPr>
        <w:t xml:space="preserve">Are there any other non-electrolytic hydrogen production technologies that we should be considering funding in this round? If </w:t>
      </w:r>
      <w:r w:rsidR="0084772B">
        <w:rPr>
          <w:rFonts w:ascii="Open Sans" w:hAnsi="Open Sans" w:cs="Open Sans"/>
          <w:b/>
          <w:bCs/>
          <w:sz w:val="20"/>
          <w:szCs w:val="20"/>
        </w:rPr>
        <w:t>so,</w:t>
      </w:r>
      <w:r>
        <w:rPr>
          <w:rFonts w:ascii="Open Sans" w:hAnsi="Open Sans" w:cs="Open Sans"/>
          <w:b/>
          <w:bCs/>
          <w:sz w:val="20"/>
          <w:szCs w:val="20"/>
        </w:rPr>
        <w:t xml:space="preserve"> please provide information on the technology and how they meet the eligibility criteria and strategic aims for the round and any information on relevant points listed in Q4.</w:t>
      </w:r>
    </w:p>
    <w:p w14:paraId="757DE11B" w14:textId="00777F59" w:rsidR="00D743F8" w:rsidRDefault="00D743F8" w:rsidP="00B8535D">
      <w:pPr>
        <w:rPr>
          <w:rFonts w:ascii="Open Sans" w:hAnsi="Open Sans" w:cs="Open Sans"/>
          <w:sz w:val="20"/>
          <w:szCs w:val="20"/>
        </w:rPr>
      </w:pPr>
      <w:r w:rsidRPr="00D743F8">
        <w:rPr>
          <w:rFonts w:ascii="Open Sans" w:hAnsi="Open Sans" w:cs="Open Sans"/>
          <w:sz w:val="20"/>
          <w:szCs w:val="20"/>
          <w:highlight w:val="yellow"/>
        </w:rPr>
        <w:t>Member input requested.</w:t>
      </w:r>
    </w:p>
    <w:p w14:paraId="61C4BABC" w14:textId="3856D032" w:rsidR="00B8535D" w:rsidRPr="002D296A" w:rsidRDefault="00B8535D" w:rsidP="00B8535D">
      <w:pPr>
        <w:rPr>
          <w:rFonts w:ascii="Open Sans" w:hAnsi="Open Sans" w:cs="Open Sans"/>
          <w:sz w:val="20"/>
          <w:szCs w:val="20"/>
        </w:rPr>
      </w:pPr>
      <w:r>
        <w:rPr>
          <w:rFonts w:ascii="Open Sans" w:hAnsi="Open Sans" w:cs="Open Sans"/>
          <w:b/>
          <w:bCs/>
          <w:color w:val="06926B"/>
          <w:sz w:val="28"/>
          <w:szCs w:val="28"/>
        </w:rPr>
        <w:t>Proposed evaluation criteria</w:t>
      </w:r>
    </w:p>
    <w:p w14:paraId="3D4037CB" w14:textId="2952BC33" w:rsidR="00472DC0" w:rsidRPr="00BE0F98" w:rsidRDefault="00D569A3" w:rsidP="00472DC0">
      <w:pPr>
        <w:pStyle w:val="ListParagraph"/>
        <w:numPr>
          <w:ilvl w:val="0"/>
          <w:numId w:val="2"/>
        </w:numPr>
        <w:rPr>
          <w:rFonts w:ascii="Open Sans" w:hAnsi="Open Sans" w:cs="Open Sans"/>
          <w:sz w:val="20"/>
          <w:szCs w:val="20"/>
        </w:rPr>
      </w:pPr>
      <w:r>
        <w:rPr>
          <w:rFonts w:ascii="Open Sans" w:hAnsi="Open Sans" w:cs="Open Sans"/>
          <w:b/>
          <w:bCs/>
          <w:sz w:val="20"/>
          <w:szCs w:val="20"/>
        </w:rPr>
        <w:t>Do you agree with the proposed evaluation criteria for HAR2</w:t>
      </w:r>
      <w:r w:rsidR="00472DC0">
        <w:rPr>
          <w:rFonts w:ascii="Open Sans" w:hAnsi="Open Sans" w:cs="Open Sans"/>
          <w:b/>
          <w:bCs/>
          <w:sz w:val="20"/>
          <w:szCs w:val="20"/>
        </w:rPr>
        <w:t>?</w:t>
      </w:r>
    </w:p>
    <w:p w14:paraId="13078BAE" w14:textId="0BA0E296" w:rsidR="00B8535D" w:rsidRPr="00857177" w:rsidRDefault="002D296A" w:rsidP="00B8535D">
      <w:pPr>
        <w:pStyle w:val="ListParagraph"/>
        <w:numPr>
          <w:ilvl w:val="0"/>
          <w:numId w:val="2"/>
        </w:numPr>
        <w:rPr>
          <w:rFonts w:ascii="Open Sans" w:hAnsi="Open Sans" w:cs="Open Sans"/>
          <w:sz w:val="20"/>
          <w:szCs w:val="20"/>
          <w:highlight w:val="yellow"/>
        </w:rPr>
      </w:pPr>
      <w:r>
        <w:rPr>
          <w:rFonts w:ascii="Open Sans" w:hAnsi="Open Sans" w:cs="Open Sans"/>
          <w:b/>
          <w:bCs/>
          <w:sz w:val="20"/>
          <w:szCs w:val="20"/>
        </w:rPr>
        <w:t xml:space="preserve">Do you agree that we should reward project locations that provide wider electricity system benefits, as set out in Section 5 of the Market engagement </w:t>
      </w:r>
      <w:r w:rsidRPr="00857177">
        <w:rPr>
          <w:rFonts w:ascii="Open Sans" w:hAnsi="Open Sans" w:cs="Open Sans"/>
          <w:b/>
          <w:bCs/>
          <w:sz w:val="20"/>
          <w:szCs w:val="20"/>
          <w:highlight w:val="yellow"/>
        </w:rPr>
        <w:t>document, as well as additionality</w:t>
      </w:r>
      <w:r w:rsidR="00472DC0" w:rsidRPr="00857177">
        <w:rPr>
          <w:rFonts w:ascii="Open Sans" w:hAnsi="Open Sans" w:cs="Open Sans"/>
          <w:b/>
          <w:bCs/>
          <w:sz w:val="20"/>
          <w:szCs w:val="20"/>
          <w:highlight w:val="yellow"/>
        </w:rPr>
        <w:t>?</w:t>
      </w:r>
    </w:p>
    <w:p w14:paraId="34DC49E0" w14:textId="42BEBDC9" w:rsidR="00D743F8" w:rsidRDefault="00D743F8" w:rsidP="00D743F8">
      <w:pPr>
        <w:rPr>
          <w:rFonts w:ascii="Open Sans" w:hAnsi="Open Sans" w:cs="Open Sans"/>
          <w:sz w:val="20"/>
          <w:szCs w:val="20"/>
        </w:rPr>
      </w:pPr>
      <w:r w:rsidRPr="00857177">
        <w:rPr>
          <w:rFonts w:ascii="Open Sans" w:hAnsi="Open Sans" w:cs="Open Sans"/>
          <w:sz w:val="20"/>
          <w:szCs w:val="20"/>
          <w:highlight w:val="yellow"/>
        </w:rPr>
        <w:t xml:space="preserve">Member input requested. Note in particular the changes to additionality, where this is combined with electricity network management impacts and the overall criterion scores more heavily (10%). Initial thoughts are that locational scoring along these lines might be a better and more flexible way of maximising benefits from electrolysers and interaction with electricity grid management </w:t>
      </w:r>
      <w:r w:rsidR="00857177" w:rsidRPr="00857177">
        <w:rPr>
          <w:rFonts w:ascii="Open Sans" w:hAnsi="Open Sans" w:cs="Open Sans"/>
          <w:sz w:val="20"/>
          <w:szCs w:val="20"/>
          <w:highlight w:val="yellow"/>
        </w:rPr>
        <w:t>compared to the additionality definition itself. We could also make points around the EU position on additionality and relative attractiveness of EU vs UK on this issue.</w:t>
      </w:r>
    </w:p>
    <w:p w14:paraId="6CCE44DB" w14:textId="77777777" w:rsidR="00447911" w:rsidRPr="00D743F8" w:rsidRDefault="00447911" w:rsidP="00D743F8">
      <w:pPr>
        <w:rPr>
          <w:rFonts w:ascii="Open Sans" w:hAnsi="Open Sans" w:cs="Open Sans"/>
          <w:sz w:val="20"/>
          <w:szCs w:val="20"/>
        </w:rPr>
      </w:pPr>
    </w:p>
    <w:p w14:paraId="01F40447" w14:textId="69F6F83B" w:rsidR="00B8535D" w:rsidRPr="00B8535D" w:rsidRDefault="00B8535D" w:rsidP="00B8535D">
      <w:pPr>
        <w:rPr>
          <w:rFonts w:ascii="Open Sans" w:hAnsi="Open Sans" w:cs="Open Sans"/>
          <w:sz w:val="20"/>
          <w:szCs w:val="20"/>
        </w:rPr>
      </w:pPr>
      <w:bookmarkStart w:id="1" w:name="_Hlk138234689"/>
      <w:r>
        <w:rPr>
          <w:rFonts w:ascii="Open Sans" w:hAnsi="Open Sans" w:cs="Open Sans"/>
          <w:b/>
          <w:bCs/>
          <w:color w:val="06926B"/>
          <w:sz w:val="28"/>
          <w:szCs w:val="28"/>
        </w:rPr>
        <w:t>Delivery, Agreeing an offer and Portfolio Factors</w:t>
      </w:r>
    </w:p>
    <w:bookmarkEnd w:id="1"/>
    <w:p w14:paraId="0402A99E" w14:textId="66F9992C" w:rsidR="00472DC0" w:rsidRPr="00B8535D" w:rsidRDefault="00472DC0" w:rsidP="00472DC0">
      <w:pPr>
        <w:pStyle w:val="ListParagraph"/>
        <w:numPr>
          <w:ilvl w:val="0"/>
          <w:numId w:val="2"/>
        </w:numPr>
        <w:rPr>
          <w:rFonts w:ascii="Open Sans" w:hAnsi="Open Sans" w:cs="Open Sans"/>
          <w:sz w:val="20"/>
          <w:szCs w:val="20"/>
        </w:rPr>
      </w:pPr>
      <w:r>
        <w:rPr>
          <w:rFonts w:ascii="Open Sans" w:hAnsi="Open Sans" w:cs="Open Sans"/>
          <w:b/>
          <w:bCs/>
          <w:sz w:val="20"/>
          <w:szCs w:val="20"/>
        </w:rPr>
        <w:t xml:space="preserve">Do you agree </w:t>
      </w:r>
      <w:r w:rsidR="00B8535D">
        <w:rPr>
          <w:rFonts w:ascii="Open Sans" w:hAnsi="Open Sans" w:cs="Open Sans"/>
          <w:b/>
          <w:bCs/>
          <w:sz w:val="20"/>
          <w:szCs w:val="20"/>
        </w:rPr>
        <w:t>with our proposed delivery approach?</w:t>
      </w:r>
    </w:p>
    <w:p w14:paraId="22651899" w14:textId="10FD24C8" w:rsidR="00B554E8" w:rsidRDefault="00857177" w:rsidP="00B8535D">
      <w:pPr>
        <w:rPr>
          <w:rFonts w:ascii="Open Sans" w:hAnsi="Open Sans" w:cs="Open Sans"/>
          <w:sz w:val="20"/>
          <w:szCs w:val="20"/>
        </w:rPr>
      </w:pPr>
      <w:r w:rsidRPr="00857177">
        <w:rPr>
          <w:rFonts w:ascii="Open Sans" w:hAnsi="Open Sans" w:cs="Open Sans"/>
          <w:sz w:val="20"/>
          <w:szCs w:val="20"/>
          <w:highlight w:val="yellow"/>
        </w:rPr>
        <w:t>Member input sought. Would want to stress the need for prompt decision making as HAR1 has taken a very long time. Do we agree with the attempts to spread contract awards across the country and technologies, or is this actually detrimental to a strategic approach if it prevents concentration of projects in particular areas that have been identified as key hubs/clusters.</w:t>
      </w:r>
    </w:p>
    <w:p w14:paraId="5190517C" w14:textId="306CF4C9" w:rsidR="00B554E8" w:rsidRPr="00B8535D" w:rsidRDefault="00B554E8" w:rsidP="00B8535D">
      <w:pPr>
        <w:rPr>
          <w:rFonts w:ascii="Open Sans" w:hAnsi="Open Sans" w:cs="Open Sans"/>
          <w:sz w:val="20"/>
          <w:szCs w:val="20"/>
        </w:rPr>
      </w:pPr>
      <w:r>
        <w:rPr>
          <w:rFonts w:ascii="Open Sans" w:hAnsi="Open Sans" w:cs="Open Sans"/>
          <w:b/>
          <w:bCs/>
          <w:color w:val="06926B"/>
          <w:sz w:val="28"/>
          <w:szCs w:val="28"/>
        </w:rPr>
        <w:t>Co-locating with a Government-subsidised renewable electricity source</w:t>
      </w:r>
    </w:p>
    <w:p w14:paraId="6CD9AFF7" w14:textId="6EA1992F" w:rsidR="00C70629" w:rsidRPr="00857177" w:rsidRDefault="00B554E8" w:rsidP="00C70629">
      <w:pPr>
        <w:pStyle w:val="ListParagraph"/>
        <w:numPr>
          <w:ilvl w:val="0"/>
          <w:numId w:val="2"/>
        </w:numPr>
        <w:rPr>
          <w:rFonts w:ascii="Open Sans" w:hAnsi="Open Sans" w:cs="Open Sans"/>
          <w:sz w:val="20"/>
          <w:szCs w:val="20"/>
        </w:rPr>
      </w:pPr>
      <w:r>
        <w:rPr>
          <w:rFonts w:ascii="Open Sans" w:hAnsi="Open Sans" w:cs="Open Sans"/>
          <w:b/>
          <w:bCs/>
          <w:sz w:val="20"/>
          <w:szCs w:val="20"/>
        </w:rPr>
        <w:t>If you are a project looking to apply for funding for this allocation round, are you planning on sourcing electricity from a CfD or RO-subsidised generator</w:t>
      </w:r>
      <w:r w:rsidR="00472DC0">
        <w:rPr>
          <w:rFonts w:ascii="Open Sans" w:hAnsi="Open Sans" w:cs="Open Sans"/>
          <w:b/>
          <w:bCs/>
          <w:sz w:val="20"/>
          <w:szCs w:val="20"/>
        </w:rPr>
        <w:t>?</w:t>
      </w:r>
    </w:p>
    <w:p w14:paraId="677FE4F7" w14:textId="6DA4F757" w:rsidR="00472DC0" w:rsidRPr="00857177" w:rsidRDefault="00B554E8" w:rsidP="00472DC0">
      <w:pPr>
        <w:pStyle w:val="ListParagraph"/>
        <w:numPr>
          <w:ilvl w:val="0"/>
          <w:numId w:val="2"/>
        </w:numPr>
        <w:rPr>
          <w:rFonts w:ascii="Open Sans" w:hAnsi="Open Sans" w:cs="Open Sans"/>
          <w:sz w:val="20"/>
          <w:szCs w:val="20"/>
        </w:rPr>
      </w:pPr>
      <w:r>
        <w:rPr>
          <w:rFonts w:ascii="Open Sans" w:hAnsi="Open Sans" w:cs="Open Sans"/>
          <w:b/>
          <w:bCs/>
          <w:sz w:val="20"/>
          <w:szCs w:val="20"/>
        </w:rPr>
        <w:t>If yes, are you planning to co-locate your hydrogen production facility with a CfD or RO subsided generator, what do you consider the main benefits and risks of co-location, and what os your project archetype e.g. co-location via private wire connection</w:t>
      </w:r>
      <w:r w:rsidR="00472DC0">
        <w:rPr>
          <w:rFonts w:ascii="Open Sans" w:hAnsi="Open Sans" w:cs="Open Sans"/>
          <w:b/>
          <w:bCs/>
          <w:sz w:val="20"/>
          <w:szCs w:val="20"/>
        </w:rPr>
        <w:t>?</w:t>
      </w:r>
    </w:p>
    <w:p w14:paraId="3BC681C0" w14:textId="63765887" w:rsidR="00857177" w:rsidRPr="00857177" w:rsidRDefault="00857177" w:rsidP="00857177">
      <w:pPr>
        <w:rPr>
          <w:rFonts w:ascii="Open Sans" w:hAnsi="Open Sans" w:cs="Open Sans"/>
          <w:sz w:val="20"/>
          <w:szCs w:val="20"/>
        </w:rPr>
      </w:pPr>
      <w:r w:rsidRPr="00857177">
        <w:rPr>
          <w:rFonts w:ascii="Open Sans" w:hAnsi="Open Sans" w:cs="Open Sans"/>
          <w:sz w:val="20"/>
          <w:szCs w:val="20"/>
          <w:highlight w:val="yellow"/>
        </w:rPr>
        <w:t>Member input sought. Are there any challenges with co-location along these lines, or particular points we want to make on why this is a good thing. Are there elements of the revised CfD/RO guidance that are problematic – either because of an unhelpful policy decision or because their application is unclear?</w:t>
      </w:r>
    </w:p>
    <w:p w14:paraId="3AC4E463" w14:textId="548DE951" w:rsidR="00D30101" w:rsidRPr="00572DFD" w:rsidRDefault="00D30101" w:rsidP="002E15D0">
      <w:pPr>
        <w:rPr>
          <w:rFonts w:ascii="Open Sans" w:hAnsi="Open Sans" w:cs="Open Sans"/>
          <w:sz w:val="20"/>
          <w:szCs w:val="20"/>
        </w:rPr>
      </w:pPr>
    </w:p>
    <w:sectPr w:rsidR="00D30101" w:rsidRPr="00572DFD" w:rsidSect="008F79B2">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96936" w14:textId="77777777" w:rsidR="00937774" w:rsidRDefault="00937774" w:rsidP="007777AC">
      <w:pPr>
        <w:spacing w:after="0" w:line="240" w:lineRule="auto"/>
      </w:pPr>
      <w:r>
        <w:separator/>
      </w:r>
    </w:p>
  </w:endnote>
  <w:endnote w:type="continuationSeparator" w:id="0">
    <w:p w14:paraId="46A82CAA" w14:textId="77777777" w:rsidR="00937774" w:rsidRDefault="00937774" w:rsidP="007777AC">
      <w:pPr>
        <w:spacing w:after="0" w:line="240" w:lineRule="auto"/>
      </w:pPr>
      <w:r>
        <w:continuationSeparator/>
      </w:r>
    </w:p>
  </w:endnote>
  <w:endnote w:type="continuationNotice" w:id="1">
    <w:p w14:paraId="41C9C62D" w14:textId="77777777" w:rsidR="00845DA8" w:rsidRDefault="00845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148826"/>
      <w:docPartObj>
        <w:docPartGallery w:val="Page Numbers (Bottom of Page)"/>
        <w:docPartUnique/>
      </w:docPartObj>
    </w:sdtPr>
    <w:sdtEndPr>
      <w:rPr>
        <w:noProof/>
      </w:rPr>
    </w:sdtEndPr>
    <w:sdtContent>
      <w:p w14:paraId="5F7E8D22" w14:textId="3A1C98E2" w:rsidR="00A52EEC" w:rsidRDefault="00A52E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3552B" w14:textId="77777777" w:rsidR="00D77BDC" w:rsidRDefault="00D77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97BE" w14:textId="7BF69B43" w:rsidR="00D61797" w:rsidRDefault="00D61797">
    <w:pPr>
      <w:pStyle w:val="Footer"/>
    </w:pPr>
  </w:p>
  <w:p w14:paraId="4B8C3503" w14:textId="77777777" w:rsidR="00D61797" w:rsidRDefault="00D61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75B96" w14:textId="77777777" w:rsidR="00937774" w:rsidRDefault="00937774" w:rsidP="007777AC">
      <w:pPr>
        <w:spacing w:after="0" w:line="240" w:lineRule="auto"/>
      </w:pPr>
      <w:r>
        <w:separator/>
      </w:r>
    </w:p>
  </w:footnote>
  <w:footnote w:type="continuationSeparator" w:id="0">
    <w:p w14:paraId="2AFA4158" w14:textId="77777777" w:rsidR="00937774" w:rsidRDefault="00937774" w:rsidP="007777AC">
      <w:pPr>
        <w:spacing w:after="0" w:line="240" w:lineRule="auto"/>
      </w:pPr>
      <w:r>
        <w:continuationSeparator/>
      </w:r>
    </w:p>
  </w:footnote>
  <w:footnote w:type="continuationNotice" w:id="1">
    <w:p w14:paraId="20B77559" w14:textId="77777777" w:rsidR="00845DA8" w:rsidRDefault="00845D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7D03" w14:textId="44D5B3C2" w:rsidR="008F79B2" w:rsidRDefault="002B6F10" w:rsidP="008F79B2">
    <w:pPr>
      <w:pStyle w:val="Header"/>
    </w:pPr>
    <w:r>
      <w:rPr>
        <w:sz w:val="18"/>
        <w:szCs w:val="18"/>
      </w:rPr>
      <w:tab/>
    </w:r>
  </w:p>
  <w:p w14:paraId="2A0CB0DE" w14:textId="28F9B0F7" w:rsidR="008F79B2" w:rsidRPr="00B554E8" w:rsidRDefault="00B554E8" w:rsidP="00B554E8">
    <w:pPr>
      <w:jc w:val="center"/>
      <w:rPr>
        <w:rFonts w:ascii="Open Sans" w:hAnsi="Open Sans" w:cs="Open Sans"/>
        <w:b/>
        <w:bCs/>
        <w:color w:val="06926B"/>
        <w:sz w:val="16"/>
        <w:szCs w:val="16"/>
      </w:rPr>
    </w:pPr>
    <w:r w:rsidRPr="00B554E8">
      <w:rPr>
        <w:rFonts w:ascii="Open Sans" w:hAnsi="Open Sans" w:cs="Open Sans"/>
        <w:b/>
        <w:bCs/>
        <w:color w:val="06926B"/>
        <w:sz w:val="16"/>
        <w:szCs w:val="16"/>
      </w:rPr>
      <w:t>REA response to DESNZ on Market engagement for the second Hydrogen Allocation Round.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6806" w14:textId="7DE671B9" w:rsidR="008F79B2" w:rsidRPr="00B153D9" w:rsidRDefault="008F79B2" w:rsidP="008F79B2">
    <w:pPr>
      <w:pStyle w:val="Header"/>
      <w:rPr>
        <w:sz w:val="18"/>
        <w:szCs w:val="18"/>
      </w:rPr>
    </w:pPr>
    <w:r>
      <w:rPr>
        <w:noProof/>
      </w:rPr>
      <w:drawing>
        <wp:anchor distT="0" distB="0" distL="114300" distR="114300" simplePos="0" relativeHeight="251658240" behindDoc="0" locked="0" layoutInCell="1" allowOverlap="1" wp14:anchorId="26C78AF1" wp14:editId="502A1472">
          <wp:simplePos x="0" y="0"/>
          <wp:positionH relativeFrom="column">
            <wp:posOffset>4786630</wp:posOffset>
          </wp:positionH>
          <wp:positionV relativeFrom="paragraph">
            <wp:posOffset>-311150</wp:posOffset>
          </wp:positionV>
          <wp:extent cx="1378585" cy="716915"/>
          <wp:effectExtent l="0" t="0" r="0"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8585" cy="716915"/>
                  </a:xfrm>
                  <a:prstGeom prst="rect">
                    <a:avLst/>
                  </a:prstGeom>
                </pic:spPr>
              </pic:pic>
            </a:graphicData>
          </a:graphic>
          <wp14:sizeRelH relativeFrom="page">
            <wp14:pctWidth>0</wp14:pctWidth>
          </wp14:sizeRelH>
          <wp14:sizeRelV relativeFrom="page">
            <wp14:pctHeight>0</wp14:pctHeight>
          </wp14:sizeRelV>
        </wp:anchor>
      </w:drawing>
    </w:r>
  </w:p>
  <w:p w14:paraId="01C1EBB9" w14:textId="77777777" w:rsidR="008F79B2" w:rsidRDefault="008F7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D59"/>
    <w:multiLevelType w:val="hybridMultilevel"/>
    <w:tmpl w:val="2A9E74AA"/>
    <w:lvl w:ilvl="0" w:tplc="14902CDA">
      <w:start w:val="1"/>
      <w:numFmt w:val="decimal"/>
      <w:lvlText w:val="%1."/>
      <w:lvlJc w:val="right"/>
      <w:pPr>
        <w:ind w:left="720" w:hanging="360"/>
      </w:pPr>
      <w:rPr>
        <w:rFonts w:ascii="Open Sans" w:eastAsiaTheme="minorHAnsi" w:hAnsi="Open Sans" w:cs="Open Sans"/>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F21122"/>
    <w:multiLevelType w:val="hybridMultilevel"/>
    <w:tmpl w:val="0C78C7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4901D29"/>
    <w:multiLevelType w:val="hybridMultilevel"/>
    <w:tmpl w:val="EC340E06"/>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71C3836"/>
    <w:multiLevelType w:val="hybridMultilevel"/>
    <w:tmpl w:val="606A2C66"/>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B456872"/>
    <w:multiLevelType w:val="hybridMultilevel"/>
    <w:tmpl w:val="4FEC9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A783F"/>
    <w:multiLevelType w:val="hybridMultilevel"/>
    <w:tmpl w:val="DC8EE34E"/>
    <w:lvl w:ilvl="0" w:tplc="1FBE1810">
      <w:start w:val="1"/>
      <w:numFmt w:val="bullet"/>
      <w:pStyle w:val="FOF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EEF7616"/>
    <w:multiLevelType w:val="hybridMultilevel"/>
    <w:tmpl w:val="173CB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61589"/>
    <w:multiLevelType w:val="hybridMultilevel"/>
    <w:tmpl w:val="A07423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FA5C37"/>
    <w:multiLevelType w:val="hybridMultilevel"/>
    <w:tmpl w:val="C7E4E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308C5"/>
    <w:multiLevelType w:val="hybridMultilevel"/>
    <w:tmpl w:val="192A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71AA1"/>
    <w:multiLevelType w:val="hybridMultilevel"/>
    <w:tmpl w:val="A858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2B5F62"/>
    <w:multiLevelType w:val="hybridMultilevel"/>
    <w:tmpl w:val="0586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F2603E"/>
    <w:multiLevelType w:val="hybridMultilevel"/>
    <w:tmpl w:val="61A42D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B50D61"/>
    <w:multiLevelType w:val="hybridMultilevel"/>
    <w:tmpl w:val="EB3A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26CE4"/>
    <w:multiLevelType w:val="hybridMultilevel"/>
    <w:tmpl w:val="5420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F75004"/>
    <w:multiLevelType w:val="hybridMultilevel"/>
    <w:tmpl w:val="CE32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662596">
    <w:abstractNumId w:val="12"/>
  </w:num>
  <w:num w:numId="2" w16cid:durableId="1111702369">
    <w:abstractNumId w:val="0"/>
  </w:num>
  <w:num w:numId="3" w16cid:durableId="312028053">
    <w:abstractNumId w:val="8"/>
  </w:num>
  <w:num w:numId="4" w16cid:durableId="1184129943">
    <w:abstractNumId w:val="15"/>
  </w:num>
  <w:num w:numId="5" w16cid:durableId="563415588">
    <w:abstractNumId w:val="7"/>
  </w:num>
  <w:num w:numId="6" w16cid:durableId="953707894">
    <w:abstractNumId w:val="1"/>
  </w:num>
  <w:num w:numId="7" w16cid:durableId="43650381">
    <w:abstractNumId w:val="5"/>
  </w:num>
  <w:num w:numId="8" w16cid:durableId="1847331365">
    <w:abstractNumId w:val="2"/>
    <w:lvlOverride w:ilvl="0">
      <w:startOverride w:val="1"/>
    </w:lvlOverride>
    <w:lvlOverride w:ilvl="1"/>
    <w:lvlOverride w:ilvl="2"/>
    <w:lvlOverride w:ilvl="3"/>
    <w:lvlOverride w:ilvl="4"/>
    <w:lvlOverride w:ilvl="5"/>
    <w:lvlOverride w:ilvl="6"/>
    <w:lvlOverride w:ilvl="7"/>
    <w:lvlOverride w:ilvl="8"/>
  </w:num>
  <w:num w:numId="9" w16cid:durableId="741175342">
    <w:abstractNumId w:val="3"/>
    <w:lvlOverride w:ilvl="0">
      <w:startOverride w:val="1"/>
    </w:lvlOverride>
    <w:lvlOverride w:ilvl="1"/>
    <w:lvlOverride w:ilvl="2"/>
    <w:lvlOverride w:ilvl="3"/>
    <w:lvlOverride w:ilvl="4"/>
    <w:lvlOverride w:ilvl="5"/>
    <w:lvlOverride w:ilvl="6"/>
    <w:lvlOverride w:ilvl="7"/>
    <w:lvlOverride w:ilvl="8"/>
  </w:num>
  <w:num w:numId="10" w16cid:durableId="526410220">
    <w:abstractNumId w:val="11"/>
  </w:num>
  <w:num w:numId="11" w16cid:durableId="1345787326">
    <w:abstractNumId w:val="13"/>
  </w:num>
  <w:num w:numId="12" w16cid:durableId="37244569">
    <w:abstractNumId w:val="2"/>
  </w:num>
  <w:num w:numId="13" w16cid:durableId="1595438445">
    <w:abstractNumId w:val="4"/>
  </w:num>
  <w:num w:numId="14" w16cid:durableId="1390376190">
    <w:abstractNumId w:val="14"/>
  </w:num>
  <w:num w:numId="15" w16cid:durableId="1669362319">
    <w:abstractNumId w:val="6"/>
  </w:num>
  <w:num w:numId="16" w16cid:durableId="428159881">
    <w:abstractNumId w:val="10"/>
  </w:num>
  <w:num w:numId="17" w16cid:durableId="179617619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79"/>
    <w:rsid w:val="00000F05"/>
    <w:rsid w:val="00001D58"/>
    <w:rsid w:val="00002FA1"/>
    <w:rsid w:val="00003453"/>
    <w:rsid w:val="000040A6"/>
    <w:rsid w:val="00005C2C"/>
    <w:rsid w:val="000077A0"/>
    <w:rsid w:val="0001028A"/>
    <w:rsid w:val="0001066D"/>
    <w:rsid w:val="00011880"/>
    <w:rsid w:val="0001210C"/>
    <w:rsid w:val="0001290B"/>
    <w:rsid w:val="00012C09"/>
    <w:rsid w:val="00013741"/>
    <w:rsid w:val="00014DF3"/>
    <w:rsid w:val="00017429"/>
    <w:rsid w:val="00017625"/>
    <w:rsid w:val="00020993"/>
    <w:rsid w:val="00021FB0"/>
    <w:rsid w:val="00024049"/>
    <w:rsid w:val="0002670E"/>
    <w:rsid w:val="000274B7"/>
    <w:rsid w:val="00033C3F"/>
    <w:rsid w:val="00036118"/>
    <w:rsid w:val="0003622B"/>
    <w:rsid w:val="00037B2E"/>
    <w:rsid w:val="00037B35"/>
    <w:rsid w:val="00037FD9"/>
    <w:rsid w:val="0004039B"/>
    <w:rsid w:val="00040DF6"/>
    <w:rsid w:val="000514EB"/>
    <w:rsid w:val="00052062"/>
    <w:rsid w:val="000564E5"/>
    <w:rsid w:val="0006325D"/>
    <w:rsid w:val="00063B03"/>
    <w:rsid w:val="000717CA"/>
    <w:rsid w:val="00072972"/>
    <w:rsid w:val="000773E8"/>
    <w:rsid w:val="00081A4A"/>
    <w:rsid w:val="000835FC"/>
    <w:rsid w:val="000843F0"/>
    <w:rsid w:val="00087312"/>
    <w:rsid w:val="00094501"/>
    <w:rsid w:val="000946D7"/>
    <w:rsid w:val="00095C3D"/>
    <w:rsid w:val="00096FA3"/>
    <w:rsid w:val="000976B3"/>
    <w:rsid w:val="000A0A8E"/>
    <w:rsid w:val="000A3635"/>
    <w:rsid w:val="000A4DB6"/>
    <w:rsid w:val="000A5033"/>
    <w:rsid w:val="000B2A51"/>
    <w:rsid w:val="000B4868"/>
    <w:rsid w:val="000B62FF"/>
    <w:rsid w:val="000B71A8"/>
    <w:rsid w:val="000C534C"/>
    <w:rsid w:val="000C652B"/>
    <w:rsid w:val="000C688C"/>
    <w:rsid w:val="000C7291"/>
    <w:rsid w:val="000D1D81"/>
    <w:rsid w:val="000D2243"/>
    <w:rsid w:val="000D56D1"/>
    <w:rsid w:val="000D5F16"/>
    <w:rsid w:val="000D6522"/>
    <w:rsid w:val="000E0E70"/>
    <w:rsid w:val="000E14CF"/>
    <w:rsid w:val="000E2AA0"/>
    <w:rsid w:val="000E46CA"/>
    <w:rsid w:val="000F1981"/>
    <w:rsid w:val="000F2AC3"/>
    <w:rsid w:val="00102C07"/>
    <w:rsid w:val="00103792"/>
    <w:rsid w:val="00104749"/>
    <w:rsid w:val="00110148"/>
    <w:rsid w:val="00112DFC"/>
    <w:rsid w:val="00113685"/>
    <w:rsid w:val="00120324"/>
    <w:rsid w:val="001209BA"/>
    <w:rsid w:val="00125828"/>
    <w:rsid w:val="00126A7E"/>
    <w:rsid w:val="001309D7"/>
    <w:rsid w:val="0013126A"/>
    <w:rsid w:val="001313BC"/>
    <w:rsid w:val="00133644"/>
    <w:rsid w:val="00136A67"/>
    <w:rsid w:val="00143A81"/>
    <w:rsid w:val="00150917"/>
    <w:rsid w:val="00151C2E"/>
    <w:rsid w:val="001534A2"/>
    <w:rsid w:val="00153CE5"/>
    <w:rsid w:val="0016204E"/>
    <w:rsid w:val="001701F4"/>
    <w:rsid w:val="001725D8"/>
    <w:rsid w:val="001727E3"/>
    <w:rsid w:val="00172EF2"/>
    <w:rsid w:val="00173925"/>
    <w:rsid w:val="00174095"/>
    <w:rsid w:val="001740F2"/>
    <w:rsid w:val="0017475B"/>
    <w:rsid w:val="00175ED6"/>
    <w:rsid w:val="001771C3"/>
    <w:rsid w:val="00177C4A"/>
    <w:rsid w:val="00180640"/>
    <w:rsid w:val="00182AD8"/>
    <w:rsid w:val="00183EE7"/>
    <w:rsid w:val="00186C18"/>
    <w:rsid w:val="00190A39"/>
    <w:rsid w:val="00196AF0"/>
    <w:rsid w:val="001A021F"/>
    <w:rsid w:val="001A2E34"/>
    <w:rsid w:val="001A3358"/>
    <w:rsid w:val="001A4BE5"/>
    <w:rsid w:val="001A5BA9"/>
    <w:rsid w:val="001A5D95"/>
    <w:rsid w:val="001B03CA"/>
    <w:rsid w:val="001B0B4D"/>
    <w:rsid w:val="001B1A59"/>
    <w:rsid w:val="001B5B98"/>
    <w:rsid w:val="001B6847"/>
    <w:rsid w:val="001B6A0D"/>
    <w:rsid w:val="001B6C0A"/>
    <w:rsid w:val="001B7135"/>
    <w:rsid w:val="001B7B2B"/>
    <w:rsid w:val="001C108B"/>
    <w:rsid w:val="001C126A"/>
    <w:rsid w:val="001C22D9"/>
    <w:rsid w:val="001C3035"/>
    <w:rsid w:val="001C4CC3"/>
    <w:rsid w:val="001D52B3"/>
    <w:rsid w:val="001D5C04"/>
    <w:rsid w:val="001D647B"/>
    <w:rsid w:val="001D7A21"/>
    <w:rsid w:val="001E1DD1"/>
    <w:rsid w:val="001E2550"/>
    <w:rsid w:val="001E3BEC"/>
    <w:rsid w:val="001E5702"/>
    <w:rsid w:val="001F2738"/>
    <w:rsid w:val="001F3165"/>
    <w:rsid w:val="001F4956"/>
    <w:rsid w:val="001F58EA"/>
    <w:rsid w:val="001F5E53"/>
    <w:rsid w:val="001F70B4"/>
    <w:rsid w:val="002023AA"/>
    <w:rsid w:val="0020578E"/>
    <w:rsid w:val="00206091"/>
    <w:rsid w:val="0020695E"/>
    <w:rsid w:val="00206B05"/>
    <w:rsid w:val="00206E5E"/>
    <w:rsid w:val="00210636"/>
    <w:rsid w:val="002108B4"/>
    <w:rsid w:val="00211130"/>
    <w:rsid w:val="0021296F"/>
    <w:rsid w:val="0021330A"/>
    <w:rsid w:val="00214647"/>
    <w:rsid w:val="00220257"/>
    <w:rsid w:val="00223B9F"/>
    <w:rsid w:val="002241FE"/>
    <w:rsid w:val="00226C92"/>
    <w:rsid w:val="00235FD4"/>
    <w:rsid w:val="002404A2"/>
    <w:rsid w:val="00241C00"/>
    <w:rsid w:val="00244877"/>
    <w:rsid w:val="002503BF"/>
    <w:rsid w:val="00250666"/>
    <w:rsid w:val="00250A34"/>
    <w:rsid w:val="00251E91"/>
    <w:rsid w:val="00252CFB"/>
    <w:rsid w:val="00253B79"/>
    <w:rsid w:val="002554EB"/>
    <w:rsid w:val="00261A3D"/>
    <w:rsid w:val="00263EBB"/>
    <w:rsid w:val="00265A3D"/>
    <w:rsid w:val="00273616"/>
    <w:rsid w:val="00274F35"/>
    <w:rsid w:val="00277D6B"/>
    <w:rsid w:val="0028059A"/>
    <w:rsid w:val="0028347F"/>
    <w:rsid w:val="002912A1"/>
    <w:rsid w:val="00291EBC"/>
    <w:rsid w:val="00292DBD"/>
    <w:rsid w:val="0029493B"/>
    <w:rsid w:val="00296366"/>
    <w:rsid w:val="002A0F33"/>
    <w:rsid w:val="002A2492"/>
    <w:rsid w:val="002A2552"/>
    <w:rsid w:val="002A4B24"/>
    <w:rsid w:val="002A6CCA"/>
    <w:rsid w:val="002A6FC0"/>
    <w:rsid w:val="002A7067"/>
    <w:rsid w:val="002B51DC"/>
    <w:rsid w:val="002B6F10"/>
    <w:rsid w:val="002B6F75"/>
    <w:rsid w:val="002B79D2"/>
    <w:rsid w:val="002C0290"/>
    <w:rsid w:val="002C476E"/>
    <w:rsid w:val="002C6DEA"/>
    <w:rsid w:val="002D296A"/>
    <w:rsid w:val="002D2CED"/>
    <w:rsid w:val="002D358F"/>
    <w:rsid w:val="002D41B7"/>
    <w:rsid w:val="002D56B3"/>
    <w:rsid w:val="002D6847"/>
    <w:rsid w:val="002E0D36"/>
    <w:rsid w:val="002E15D0"/>
    <w:rsid w:val="002E3E13"/>
    <w:rsid w:val="002E40DA"/>
    <w:rsid w:val="002E5ADD"/>
    <w:rsid w:val="002E5F58"/>
    <w:rsid w:val="002F1E33"/>
    <w:rsid w:val="002F3FB6"/>
    <w:rsid w:val="002F63D9"/>
    <w:rsid w:val="0030014B"/>
    <w:rsid w:val="00304EE9"/>
    <w:rsid w:val="00310F4D"/>
    <w:rsid w:val="00312410"/>
    <w:rsid w:val="003131AD"/>
    <w:rsid w:val="00313E1D"/>
    <w:rsid w:val="003164BD"/>
    <w:rsid w:val="0032007C"/>
    <w:rsid w:val="003326BA"/>
    <w:rsid w:val="00332A0E"/>
    <w:rsid w:val="00336D88"/>
    <w:rsid w:val="003414FD"/>
    <w:rsid w:val="0034363A"/>
    <w:rsid w:val="00344FB0"/>
    <w:rsid w:val="00354CAA"/>
    <w:rsid w:val="00357CD9"/>
    <w:rsid w:val="00357F0E"/>
    <w:rsid w:val="0036214D"/>
    <w:rsid w:val="00362A84"/>
    <w:rsid w:val="0036441F"/>
    <w:rsid w:val="0036568A"/>
    <w:rsid w:val="00365D54"/>
    <w:rsid w:val="003706CE"/>
    <w:rsid w:val="00370856"/>
    <w:rsid w:val="003718D1"/>
    <w:rsid w:val="0037201A"/>
    <w:rsid w:val="00373239"/>
    <w:rsid w:val="003738D6"/>
    <w:rsid w:val="00377D30"/>
    <w:rsid w:val="00382269"/>
    <w:rsid w:val="003841E1"/>
    <w:rsid w:val="00386A5D"/>
    <w:rsid w:val="00387796"/>
    <w:rsid w:val="00387952"/>
    <w:rsid w:val="00392433"/>
    <w:rsid w:val="00392880"/>
    <w:rsid w:val="00394347"/>
    <w:rsid w:val="00394BC9"/>
    <w:rsid w:val="00396820"/>
    <w:rsid w:val="00397098"/>
    <w:rsid w:val="003970AB"/>
    <w:rsid w:val="003A05F9"/>
    <w:rsid w:val="003A2360"/>
    <w:rsid w:val="003A2969"/>
    <w:rsid w:val="003A2B72"/>
    <w:rsid w:val="003A2E5E"/>
    <w:rsid w:val="003A348B"/>
    <w:rsid w:val="003A5097"/>
    <w:rsid w:val="003B0EA0"/>
    <w:rsid w:val="003B2075"/>
    <w:rsid w:val="003B4415"/>
    <w:rsid w:val="003B4EF9"/>
    <w:rsid w:val="003B51F7"/>
    <w:rsid w:val="003C2F4C"/>
    <w:rsid w:val="003C42F8"/>
    <w:rsid w:val="003C480D"/>
    <w:rsid w:val="003D01D3"/>
    <w:rsid w:val="003D0898"/>
    <w:rsid w:val="003D0D44"/>
    <w:rsid w:val="003D17E7"/>
    <w:rsid w:val="003D191B"/>
    <w:rsid w:val="003D2A05"/>
    <w:rsid w:val="003E1983"/>
    <w:rsid w:val="003F0A53"/>
    <w:rsid w:val="003F3E27"/>
    <w:rsid w:val="003F48DD"/>
    <w:rsid w:val="00400652"/>
    <w:rsid w:val="0040132C"/>
    <w:rsid w:val="00406304"/>
    <w:rsid w:val="00410450"/>
    <w:rsid w:val="00410EED"/>
    <w:rsid w:val="00412007"/>
    <w:rsid w:val="0041275E"/>
    <w:rsid w:val="00413659"/>
    <w:rsid w:val="00415724"/>
    <w:rsid w:val="004200FB"/>
    <w:rsid w:val="004205B0"/>
    <w:rsid w:val="004215BC"/>
    <w:rsid w:val="00425193"/>
    <w:rsid w:val="00431747"/>
    <w:rsid w:val="00431ECA"/>
    <w:rsid w:val="00433C02"/>
    <w:rsid w:val="00440EF9"/>
    <w:rsid w:val="00445CB9"/>
    <w:rsid w:val="00447911"/>
    <w:rsid w:val="00452A28"/>
    <w:rsid w:val="004530BA"/>
    <w:rsid w:val="00457649"/>
    <w:rsid w:val="004605BD"/>
    <w:rsid w:val="0046069B"/>
    <w:rsid w:val="00462472"/>
    <w:rsid w:val="00462B0E"/>
    <w:rsid w:val="0046322D"/>
    <w:rsid w:val="00470F89"/>
    <w:rsid w:val="00471BF1"/>
    <w:rsid w:val="00472DC0"/>
    <w:rsid w:val="00472F34"/>
    <w:rsid w:val="0047456D"/>
    <w:rsid w:val="00484678"/>
    <w:rsid w:val="00487F88"/>
    <w:rsid w:val="004933F5"/>
    <w:rsid w:val="0049405F"/>
    <w:rsid w:val="00494EDC"/>
    <w:rsid w:val="004968D5"/>
    <w:rsid w:val="00497395"/>
    <w:rsid w:val="004A0681"/>
    <w:rsid w:val="004A1164"/>
    <w:rsid w:val="004A1A9C"/>
    <w:rsid w:val="004A37F1"/>
    <w:rsid w:val="004A5545"/>
    <w:rsid w:val="004A6F7F"/>
    <w:rsid w:val="004A70B3"/>
    <w:rsid w:val="004B062E"/>
    <w:rsid w:val="004B1FF3"/>
    <w:rsid w:val="004B3139"/>
    <w:rsid w:val="004B3F56"/>
    <w:rsid w:val="004C28D6"/>
    <w:rsid w:val="004C3842"/>
    <w:rsid w:val="004C4708"/>
    <w:rsid w:val="004C535A"/>
    <w:rsid w:val="004C72FE"/>
    <w:rsid w:val="004D4032"/>
    <w:rsid w:val="004D796D"/>
    <w:rsid w:val="004D7B6F"/>
    <w:rsid w:val="004E0E91"/>
    <w:rsid w:val="004E0EE5"/>
    <w:rsid w:val="004E1AAE"/>
    <w:rsid w:val="004E49BB"/>
    <w:rsid w:val="004E7198"/>
    <w:rsid w:val="004F1F61"/>
    <w:rsid w:val="004F40EA"/>
    <w:rsid w:val="004F4C28"/>
    <w:rsid w:val="00501E5B"/>
    <w:rsid w:val="00505D9B"/>
    <w:rsid w:val="005143BA"/>
    <w:rsid w:val="00514B63"/>
    <w:rsid w:val="005179A0"/>
    <w:rsid w:val="00520458"/>
    <w:rsid w:val="00520A41"/>
    <w:rsid w:val="00522275"/>
    <w:rsid w:val="005272A8"/>
    <w:rsid w:val="00534235"/>
    <w:rsid w:val="00537142"/>
    <w:rsid w:val="00550A2E"/>
    <w:rsid w:val="005569AB"/>
    <w:rsid w:val="00562759"/>
    <w:rsid w:val="0056501E"/>
    <w:rsid w:val="005663FE"/>
    <w:rsid w:val="00567B79"/>
    <w:rsid w:val="005702AB"/>
    <w:rsid w:val="00572350"/>
    <w:rsid w:val="00572DFD"/>
    <w:rsid w:val="00573F98"/>
    <w:rsid w:val="00581FE5"/>
    <w:rsid w:val="005834D1"/>
    <w:rsid w:val="0058465A"/>
    <w:rsid w:val="00586AD0"/>
    <w:rsid w:val="00587DF1"/>
    <w:rsid w:val="00592DA0"/>
    <w:rsid w:val="00595898"/>
    <w:rsid w:val="00596F03"/>
    <w:rsid w:val="005A0F89"/>
    <w:rsid w:val="005A104E"/>
    <w:rsid w:val="005A1A66"/>
    <w:rsid w:val="005A2672"/>
    <w:rsid w:val="005A2866"/>
    <w:rsid w:val="005A4A6D"/>
    <w:rsid w:val="005A5650"/>
    <w:rsid w:val="005B0881"/>
    <w:rsid w:val="005B65C2"/>
    <w:rsid w:val="005B6EC7"/>
    <w:rsid w:val="005C0948"/>
    <w:rsid w:val="005C1B66"/>
    <w:rsid w:val="005C20E6"/>
    <w:rsid w:val="005C257F"/>
    <w:rsid w:val="005C4D1D"/>
    <w:rsid w:val="005C62E1"/>
    <w:rsid w:val="005D61ED"/>
    <w:rsid w:val="005D64C8"/>
    <w:rsid w:val="005D7C91"/>
    <w:rsid w:val="005D7FFA"/>
    <w:rsid w:val="005E1AA8"/>
    <w:rsid w:val="005E3370"/>
    <w:rsid w:val="005E3903"/>
    <w:rsid w:val="005E78C7"/>
    <w:rsid w:val="005F0882"/>
    <w:rsid w:val="005F0DCB"/>
    <w:rsid w:val="005F4D6A"/>
    <w:rsid w:val="005F5A55"/>
    <w:rsid w:val="005F64FB"/>
    <w:rsid w:val="00600168"/>
    <w:rsid w:val="00600736"/>
    <w:rsid w:val="00603AB2"/>
    <w:rsid w:val="006049C5"/>
    <w:rsid w:val="00604FEB"/>
    <w:rsid w:val="00610B17"/>
    <w:rsid w:val="00613368"/>
    <w:rsid w:val="00614103"/>
    <w:rsid w:val="00615E8A"/>
    <w:rsid w:val="00617B37"/>
    <w:rsid w:val="006267B7"/>
    <w:rsid w:val="006269E3"/>
    <w:rsid w:val="0063081A"/>
    <w:rsid w:val="0063083B"/>
    <w:rsid w:val="00631BBE"/>
    <w:rsid w:val="0063439D"/>
    <w:rsid w:val="006408EC"/>
    <w:rsid w:val="0064108C"/>
    <w:rsid w:val="00641ADB"/>
    <w:rsid w:val="00642CDC"/>
    <w:rsid w:val="00644907"/>
    <w:rsid w:val="00644E94"/>
    <w:rsid w:val="00647F83"/>
    <w:rsid w:val="00653137"/>
    <w:rsid w:val="00653256"/>
    <w:rsid w:val="00653571"/>
    <w:rsid w:val="0065480E"/>
    <w:rsid w:val="00654E4F"/>
    <w:rsid w:val="006557FC"/>
    <w:rsid w:val="0065769E"/>
    <w:rsid w:val="00662A59"/>
    <w:rsid w:val="0066517A"/>
    <w:rsid w:val="00672C0E"/>
    <w:rsid w:val="006733BD"/>
    <w:rsid w:val="006767C5"/>
    <w:rsid w:val="00676896"/>
    <w:rsid w:val="00681E52"/>
    <w:rsid w:val="0068404F"/>
    <w:rsid w:val="00690284"/>
    <w:rsid w:val="0069312B"/>
    <w:rsid w:val="006A00BC"/>
    <w:rsid w:val="006A1105"/>
    <w:rsid w:val="006A1F2F"/>
    <w:rsid w:val="006A274E"/>
    <w:rsid w:val="006A29DD"/>
    <w:rsid w:val="006A38D9"/>
    <w:rsid w:val="006A448A"/>
    <w:rsid w:val="006A6935"/>
    <w:rsid w:val="006B2392"/>
    <w:rsid w:val="006B5125"/>
    <w:rsid w:val="006C379B"/>
    <w:rsid w:val="006C5286"/>
    <w:rsid w:val="006C78C1"/>
    <w:rsid w:val="006D2634"/>
    <w:rsid w:val="006D28A4"/>
    <w:rsid w:val="006D47A1"/>
    <w:rsid w:val="006D67A2"/>
    <w:rsid w:val="006D708F"/>
    <w:rsid w:val="006D7C50"/>
    <w:rsid w:val="006E1E75"/>
    <w:rsid w:val="006E3C13"/>
    <w:rsid w:val="006E5127"/>
    <w:rsid w:val="006F061C"/>
    <w:rsid w:val="006F2592"/>
    <w:rsid w:val="006F4D15"/>
    <w:rsid w:val="006F6F3A"/>
    <w:rsid w:val="00700CD0"/>
    <w:rsid w:val="007014D4"/>
    <w:rsid w:val="007020A2"/>
    <w:rsid w:val="007048CD"/>
    <w:rsid w:val="00706225"/>
    <w:rsid w:val="007102F0"/>
    <w:rsid w:val="00711AAD"/>
    <w:rsid w:val="00713831"/>
    <w:rsid w:val="00724184"/>
    <w:rsid w:val="0072773A"/>
    <w:rsid w:val="00735E67"/>
    <w:rsid w:val="00736310"/>
    <w:rsid w:val="0074223B"/>
    <w:rsid w:val="00742E91"/>
    <w:rsid w:val="00743B33"/>
    <w:rsid w:val="00743ECE"/>
    <w:rsid w:val="007451AB"/>
    <w:rsid w:val="007504FA"/>
    <w:rsid w:val="007531B2"/>
    <w:rsid w:val="00754CA3"/>
    <w:rsid w:val="007552A6"/>
    <w:rsid w:val="0075597A"/>
    <w:rsid w:val="00755C25"/>
    <w:rsid w:val="00760205"/>
    <w:rsid w:val="00761EDA"/>
    <w:rsid w:val="00765744"/>
    <w:rsid w:val="007658FB"/>
    <w:rsid w:val="00770095"/>
    <w:rsid w:val="00776B27"/>
    <w:rsid w:val="007777AC"/>
    <w:rsid w:val="007813F5"/>
    <w:rsid w:val="00781E77"/>
    <w:rsid w:val="0078218F"/>
    <w:rsid w:val="00782565"/>
    <w:rsid w:val="007835F4"/>
    <w:rsid w:val="007841D8"/>
    <w:rsid w:val="00785168"/>
    <w:rsid w:val="00785194"/>
    <w:rsid w:val="00786088"/>
    <w:rsid w:val="00787077"/>
    <w:rsid w:val="007908A3"/>
    <w:rsid w:val="007924F7"/>
    <w:rsid w:val="00793832"/>
    <w:rsid w:val="00796838"/>
    <w:rsid w:val="007A4115"/>
    <w:rsid w:val="007A7398"/>
    <w:rsid w:val="007B2B4B"/>
    <w:rsid w:val="007B5E42"/>
    <w:rsid w:val="007C2C1C"/>
    <w:rsid w:val="007D0176"/>
    <w:rsid w:val="007D74C6"/>
    <w:rsid w:val="007E1345"/>
    <w:rsid w:val="007E1515"/>
    <w:rsid w:val="007E20C9"/>
    <w:rsid w:val="007E2FCE"/>
    <w:rsid w:val="007E39EE"/>
    <w:rsid w:val="007E44DA"/>
    <w:rsid w:val="007E46AB"/>
    <w:rsid w:val="007E7D10"/>
    <w:rsid w:val="007F1D1E"/>
    <w:rsid w:val="007F3698"/>
    <w:rsid w:val="007F5789"/>
    <w:rsid w:val="008021C9"/>
    <w:rsid w:val="00802288"/>
    <w:rsid w:val="008032E1"/>
    <w:rsid w:val="0080364A"/>
    <w:rsid w:val="00804AF0"/>
    <w:rsid w:val="00807468"/>
    <w:rsid w:val="00810550"/>
    <w:rsid w:val="00812B76"/>
    <w:rsid w:val="00813223"/>
    <w:rsid w:val="008209F6"/>
    <w:rsid w:val="00825D1B"/>
    <w:rsid w:val="00825D5F"/>
    <w:rsid w:val="00831E27"/>
    <w:rsid w:val="00832702"/>
    <w:rsid w:val="00833E2D"/>
    <w:rsid w:val="008374D7"/>
    <w:rsid w:val="008439A2"/>
    <w:rsid w:val="008451F9"/>
    <w:rsid w:val="00845DA8"/>
    <w:rsid w:val="0084772B"/>
    <w:rsid w:val="00850032"/>
    <w:rsid w:val="008509A6"/>
    <w:rsid w:val="00850F62"/>
    <w:rsid w:val="0085599D"/>
    <w:rsid w:val="00857177"/>
    <w:rsid w:val="008601CD"/>
    <w:rsid w:val="008608B5"/>
    <w:rsid w:val="00862963"/>
    <w:rsid w:val="00864177"/>
    <w:rsid w:val="00867136"/>
    <w:rsid w:val="00875A6D"/>
    <w:rsid w:val="0087676B"/>
    <w:rsid w:val="008821C3"/>
    <w:rsid w:val="00882FC4"/>
    <w:rsid w:val="0088399E"/>
    <w:rsid w:val="00890902"/>
    <w:rsid w:val="008910A6"/>
    <w:rsid w:val="00894858"/>
    <w:rsid w:val="008955CE"/>
    <w:rsid w:val="00895BD7"/>
    <w:rsid w:val="008A11D3"/>
    <w:rsid w:val="008A319C"/>
    <w:rsid w:val="008A5C91"/>
    <w:rsid w:val="008B04F7"/>
    <w:rsid w:val="008B2C24"/>
    <w:rsid w:val="008B6196"/>
    <w:rsid w:val="008C0168"/>
    <w:rsid w:val="008C1DA4"/>
    <w:rsid w:val="008C210A"/>
    <w:rsid w:val="008C2761"/>
    <w:rsid w:val="008C462D"/>
    <w:rsid w:val="008C48F8"/>
    <w:rsid w:val="008C5467"/>
    <w:rsid w:val="008C6806"/>
    <w:rsid w:val="008D2F33"/>
    <w:rsid w:val="008D4B61"/>
    <w:rsid w:val="008D6D60"/>
    <w:rsid w:val="008E03F4"/>
    <w:rsid w:val="008E0FB5"/>
    <w:rsid w:val="008E1178"/>
    <w:rsid w:val="008E2321"/>
    <w:rsid w:val="008E24A9"/>
    <w:rsid w:val="008E3BFC"/>
    <w:rsid w:val="008E48FA"/>
    <w:rsid w:val="008E4D0A"/>
    <w:rsid w:val="008E58C9"/>
    <w:rsid w:val="008F0326"/>
    <w:rsid w:val="008F09CE"/>
    <w:rsid w:val="008F37C4"/>
    <w:rsid w:val="008F431B"/>
    <w:rsid w:val="008F541D"/>
    <w:rsid w:val="008F5EAD"/>
    <w:rsid w:val="008F792E"/>
    <w:rsid w:val="008F79B2"/>
    <w:rsid w:val="00903DA3"/>
    <w:rsid w:val="00905646"/>
    <w:rsid w:val="00913650"/>
    <w:rsid w:val="0091531F"/>
    <w:rsid w:val="0092188E"/>
    <w:rsid w:val="00921AE1"/>
    <w:rsid w:val="00923308"/>
    <w:rsid w:val="00923427"/>
    <w:rsid w:val="00924D1F"/>
    <w:rsid w:val="00925525"/>
    <w:rsid w:val="00930AAB"/>
    <w:rsid w:val="00930BD7"/>
    <w:rsid w:val="00931094"/>
    <w:rsid w:val="009330EE"/>
    <w:rsid w:val="00933D47"/>
    <w:rsid w:val="00933F2C"/>
    <w:rsid w:val="00934C0D"/>
    <w:rsid w:val="00937774"/>
    <w:rsid w:val="00937B26"/>
    <w:rsid w:val="00937B61"/>
    <w:rsid w:val="00937EB9"/>
    <w:rsid w:val="009442B0"/>
    <w:rsid w:val="00944466"/>
    <w:rsid w:val="00944C84"/>
    <w:rsid w:val="009464C7"/>
    <w:rsid w:val="009505BD"/>
    <w:rsid w:val="00950F93"/>
    <w:rsid w:val="009552BB"/>
    <w:rsid w:val="00955A10"/>
    <w:rsid w:val="00956B46"/>
    <w:rsid w:val="0096122D"/>
    <w:rsid w:val="009614BF"/>
    <w:rsid w:val="00961C52"/>
    <w:rsid w:val="00964C3A"/>
    <w:rsid w:val="00965284"/>
    <w:rsid w:val="00970FC6"/>
    <w:rsid w:val="0097232E"/>
    <w:rsid w:val="00975456"/>
    <w:rsid w:val="00977C0B"/>
    <w:rsid w:val="00977CB0"/>
    <w:rsid w:val="009801F9"/>
    <w:rsid w:val="00981859"/>
    <w:rsid w:val="00981B74"/>
    <w:rsid w:val="009879B4"/>
    <w:rsid w:val="00991DB0"/>
    <w:rsid w:val="00993247"/>
    <w:rsid w:val="009975F0"/>
    <w:rsid w:val="00997FBB"/>
    <w:rsid w:val="009A205B"/>
    <w:rsid w:val="009A3BBA"/>
    <w:rsid w:val="009A492A"/>
    <w:rsid w:val="009B3CEC"/>
    <w:rsid w:val="009B46C4"/>
    <w:rsid w:val="009B71CA"/>
    <w:rsid w:val="009C11D3"/>
    <w:rsid w:val="009C12EB"/>
    <w:rsid w:val="009C1DC8"/>
    <w:rsid w:val="009C397B"/>
    <w:rsid w:val="009C519A"/>
    <w:rsid w:val="009C5F06"/>
    <w:rsid w:val="009C7B7D"/>
    <w:rsid w:val="009D18E6"/>
    <w:rsid w:val="009D1C50"/>
    <w:rsid w:val="009D5997"/>
    <w:rsid w:val="009E2E7F"/>
    <w:rsid w:val="009E353C"/>
    <w:rsid w:val="009E535F"/>
    <w:rsid w:val="009E7AF7"/>
    <w:rsid w:val="009F56BA"/>
    <w:rsid w:val="009F6874"/>
    <w:rsid w:val="00A0186A"/>
    <w:rsid w:val="00A0313A"/>
    <w:rsid w:val="00A061AD"/>
    <w:rsid w:val="00A064C0"/>
    <w:rsid w:val="00A07AD0"/>
    <w:rsid w:val="00A1513F"/>
    <w:rsid w:val="00A213FB"/>
    <w:rsid w:val="00A21723"/>
    <w:rsid w:val="00A22764"/>
    <w:rsid w:val="00A22F37"/>
    <w:rsid w:val="00A24BB5"/>
    <w:rsid w:val="00A35170"/>
    <w:rsid w:val="00A41446"/>
    <w:rsid w:val="00A41B27"/>
    <w:rsid w:val="00A438A1"/>
    <w:rsid w:val="00A451B3"/>
    <w:rsid w:val="00A50EF3"/>
    <w:rsid w:val="00A52A5C"/>
    <w:rsid w:val="00A52EEC"/>
    <w:rsid w:val="00A5625D"/>
    <w:rsid w:val="00A56753"/>
    <w:rsid w:val="00A60983"/>
    <w:rsid w:val="00A6183F"/>
    <w:rsid w:val="00A66477"/>
    <w:rsid w:val="00A67F06"/>
    <w:rsid w:val="00A703FC"/>
    <w:rsid w:val="00A7459A"/>
    <w:rsid w:val="00A85AF3"/>
    <w:rsid w:val="00A918D7"/>
    <w:rsid w:val="00A9251D"/>
    <w:rsid w:val="00A92ECA"/>
    <w:rsid w:val="00A9348D"/>
    <w:rsid w:val="00A97931"/>
    <w:rsid w:val="00AA2E6E"/>
    <w:rsid w:val="00AA3319"/>
    <w:rsid w:val="00AA50B2"/>
    <w:rsid w:val="00AA7AA5"/>
    <w:rsid w:val="00AB382B"/>
    <w:rsid w:val="00AB3AEF"/>
    <w:rsid w:val="00AB723F"/>
    <w:rsid w:val="00AC0194"/>
    <w:rsid w:val="00AC0EE5"/>
    <w:rsid w:val="00AC2C81"/>
    <w:rsid w:val="00AD1D49"/>
    <w:rsid w:val="00AD1F73"/>
    <w:rsid w:val="00AD27AE"/>
    <w:rsid w:val="00AD39A3"/>
    <w:rsid w:val="00AD4882"/>
    <w:rsid w:val="00AD6FB5"/>
    <w:rsid w:val="00AD7571"/>
    <w:rsid w:val="00AE249C"/>
    <w:rsid w:val="00AE4FA5"/>
    <w:rsid w:val="00AE6840"/>
    <w:rsid w:val="00AE7444"/>
    <w:rsid w:val="00AF142C"/>
    <w:rsid w:val="00AF33AB"/>
    <w:rsid w:val="00AF39DC"/>
    <w:rsid w:val="00AF7B82"/>
    <w:rsid w:val="00B006DA"/>
    <w:rsid w:val="00B046A0"/>
    <w:rsid w:val="00B05A48"/>
    <w:rsid w:val="00B14135"/>
    <w:rsid w:val="00B153D9"/>
    <w:rsid w:val="00B16A3E"/>
    <w:rsid w:val="00B22B96"/>
    <w:rsid w:val="00B246A0"/>
    <w:rsid w:val="00B31BEA"/>
    <w:rsid w:val="00B326CF"/>
    <w:rsid w:val="00B357E2"/>
    <w:rsid w:val="00B401EC"/>
    <w:rsid w:val="00B4340D"/>
    <w:rsid w:val="00B4397B"/>
    <w:rsid w:val="00B465FA"/>
    <w:rsid w:val="00B5046B"/>
    <w:rsid w:val="00B50FF3"/>
    <w:rsid w:val="00B51FC2"/>
    <w:rsid w:val="00B54056"/>
    <w:rsid w:val="00B55094"/>
    <w:rsid w:val="00B554E8"/>
    <w:rsid w:val="00B6549E"/>
    <w:rsid w:val="00B65F98"/>
    <w:rsid w:val="00B676E9"/>
    <w:rsid w:val="00B706AB"/>
    <w:rsid w:val="00B71E91"/>
    <w:rsid w:val="00B745D3"/>
    <w:rsid w:val="00B77154"/>
    <w:rsid w:val="00B812B1"/>
    <w:rsid w:val="00B8327A"/>
    <w:rsid w:val="00B8338A"/>
    <w:rsid w:val="00B849C8"/>
    <w:rsid w:val="00B8535D"/>
    <w:rsid w:val="00B85908"/>
    <w:rsid w:val="00B907DA"/>
    <w:rsid w:val="00B9122F"/>
    <w:rsid w:val="00B97E03"/>
    <w:rsid w:val="00BA0D24"/>
    <w:rsid w:val="00BA1C33"/>
    <w:rsid w:val="00BA24F8"/>
    <w:rsid w:val="00BA2E42"/>
    <w:rsid w:val="00BA2E70"/>
    <w:rsid w:val="00BA62FA"/>
    <w:rsid w:val="00BA6AAF"/>
    <w:rsid w:val="00BB2333"/>
    <w:rsid w:val="00BC3A53"/>
    <w:rsid w:val="00BC545F"/>
    <w:rsid w:val="00BC54A1"/>
    <w:rsid w:val="00BC5FB0"/>
    <w:rsid w:val="00BD0520"/>
    <w:rsid w:val="00BD1951"/>
    <w:rsid w:val="00BD2C45"/>
    <w:rsid w:val="00BD5D83"/>
    <w:rsid w:val="00BD7CB2"/>
    <w:rsid w:val="00BE0F98"/>
    <w:rsid w:val="00BE17CC"/>
    <w:rsid w:val="00BE263A"/>
    <w:rsid w:val="00BE38D7"/>
    <w:rsid w:val="00BE4A74"/>
    <w:rsid w:val="00BE5B27"/>
    <w:rsid w:val="00BE78C3"/>
    <w:rsid w:val="00BF1D13"/>
    <w:rsid w:val="00BF2289"/>
    <w:rsid w:val="00BF2D25"/>
    <w:rsid w:val="00C00AF2"/>
    <w:rsid w:val="00C0134D"/>
    <w:rsid w:val="00C04405"/>
    <w:rsid w:val="00C04DD9"/>
    <w:rsid w:val="00C07F46"/>
    <w:rsid w:val="00C15AF3"/>
    <w:rsid w:val="00C20684"/>
    <w:rsid w:val="00C270D2"/>
    <w:rsid w:val="00C27DA4"/>
    <w:rsid w:val="00C30D8D"/>
    <w:rsid w:val="00C335AF"/>
    <w:rsid w:val="00C34BBF"/>
    <w:rsid w:val="00C35091"/>
    <w:rsid w:val="00C36567"/>
    <w:rsid w:val="00C4094C"/>
    <w:rsid w:val="00C44AFB"/>
    <w:rsid w:val="00C44BE8"/>
    <w:rsid w:val="00C45ED5"/>
    <w:rsid w:val="00C45F72"/>
    <w:rsid w:val="00C507DF"/>
    <w:rsid w:val="00C51379"/>
    <w:rsid w:val="00C51945"/>
    <w:rsid w:val="00C51E17"/>
    <w:rsid w:val="00C520EB"/>
    <w:rsid w:val="00C52B7D"/>
    <w:rsid w:val="00C53211"/>
    <w:rsid w:val="00C53597"/>
    <w:rsid w:val="00C54C9A"/>
    <w:rsid w:val="00C54E33"/>
    <w:rsid w:val="00C56C6E"/>
    <w:rsid w:val="00C577D8"/>
    <w:rsid w:val="00C70629"/>
    <w:rsid w:val="00C7276F"/>
    <w:rsid w:val="00C738DF"/>
    <w:rsid w:val="00C7793E"/>
    <w:rsid w:val="00C81C12"/>
    <w:rsid w:val="00C824DF"/>
    <w:rsid w:val="00C846A6"/>
    <w:rsid w:val="00C85417"/>
    <w:rsid w:val="00C87989"/>
    <w:rsid w:val="00C90693"/>
    <w:rsid w:val="00C907FE"/>
    <w:rsid w:val="00C963E2"/>
    <w:rsid w:val="00C976D8"/>
    <w:rsid w:val="00C97EEA"/>
    <w:rsid w:val="00CA2FAF"/>
    <w:rsid w:val="00CA4ECF"/>
    <w:rsid w:val="00CA5460"/>
    <w:rsid w:val="00CB1E72"/>
    <w:rsid w:val="00CB38AA"/>
    <w:rsid w:val="00CB3A74"/>
    <w:rsid w:val="00CB4A6F"/>
    <w:rsid w:val="00CC005C"/>
    <w:rsid w:val="00CC12E5"/>
    <w:rsid w:val="00CC410A"/>
    <w:rsid w:val="00CC68F8"/>
    <w:rsid w:val="00CC6D68"/>
    <w:rsid w:val="00CC720C"/>
    <w:rsid w:val="00CC7A93"/>
    <w:rsid w:val="00CD4F10"/>
    <w:rsid w:val="00CD7C14"/>
    <w:rsid w:val="00CE341C"/>
    <w:rsid w:val="00CE52F7"/>
    <w:rsid w:val="00CE5BC1"/>
    <w:rsid w:val="00CF1952"/>
    <w:rsid w:val="00CF244E"/>
    <w:rsid w:val="00CF6146"/>
    <w:rsid w:val="00CF6894"/>
    <w:rsid w:val="00D00C46"/>
    <w:rsid w:val="00D04FA7"/>
    <w:rsid w:val="00D0504C"/>
    <w:rsid w:val="00D051BD"/>
    <w:rsid w:val="00D06370"/>
    <w:rsid w:val="00D06EDE"/>
    <w:rsid w:val="00D0734A"/>
    <w:rsid w:val="00D10585"/>
    <w:rsid w:val="00D12889"/>
    <w:rsid w:val="00D16EA6"/>
    <w:rsid w:val="00D215A9"/>
    <w:rsid w:val="00D2531D"/>
    <w:rsid w:val="00D30101"/>
    <w:rsid w:val="00D33A58"/>
    <w:rsid w:val="00D341A0"/>
    <w:rsid w:val="00D4036D"/>
    <w:rsid w:val="00D50B2F"/>
    <w:rsid w:val="00D51913"/>
    <w:rsid w:val="00D51ECF"/>
    <w:rsid w:val="00D52190"/>
    <w:rsid w:val="00D53266"/>
    <w:rsid w:val="00D5409E"/>
    <w:rsid w:val="00D54728"/>
    <w:rsid w:val="00D55922"/>
    <w:rsid w:val="00D55CC4"/>
    <w:rsid w:val="00D569A3"/>
    <w:rsid w:val="00D57686"/>
    <w:rsid w:val="00D61797"/>
    <w:rsid w:val="00D6282B"/>
    <w:rsid w:val="00D70108"/>
    <w:rsid w:val="00D74227"/>
    <w:rsid w:val="00D743F8"/>
    <w:rsid w:val="00D74F62"/>
    <w:rsid w:val="00D75B73"/>
    <w:rsid w:val="00D77BDC"/>
    <w:rsid w:val="00D80277"/>
    <w:rsid w:val="00D91667"/>
    <w:rsid w:val="00D9342D"/>
    <w:rsid w:val="00D96EF9"/>
    <w:rsid w:val="00DA1E99"/>
    <w:rsid w:val="00DA2AEA"/>
    <w:rsid w:val="00DA393E"/>
    <w:rsid w:val="00DA5260"/>
    <w:rsid w:val="00DB2928"/>
    <w:rsid w:val="00DB5321"/>
    <w:rsid w:val="00DB7D28"/>
    <w:rsid w:val="00DC0BFF"/>
    <w:rsid w:val="00DC0CF5"/>
    <w:rsid w:val="00DC6A0A"/>
    <w:rsid w:val="00DC78AC"/>
    <w:rsid w:val="00DD089F"/>
    <w:rsid w:val="00DD0A00"/>
    <w:rsid w:val="00DD2E81"/>
    <w:rsid w:val="00DD57CC"/>
    <w:rsid w:val="00DD7DEE"/>
    <w:rsid w:val="00DE3C02"/>
    <w:rsid w:val="00DE5336"/>
    <w:rsid w:val="00DE56D4"/>
    <w:rsid w:val="00DE6000"/>
    <w:rsid w:val="00DF0B0C"/>
    <w:rsid w:val="00DF171B"/>
    <w:rsid w:val="00DF3663"/>
    <w:rsid w:val="00DF4BBF"/>
    <w:rsid w:val="00DF4E18"/>
    <w:rsid w:val="00DF5CBD"/>
    <w:rsid w:val="00DF7275"/>
    <w:rsid w:val="00E056B5"/>
    <w:rsid w:val="00E0713A"/>
    <w:rsid w:val="00E109E4"/>
    <w:rsid w:val="00E13E81"/>
    <w:rsid w:val="00E16121"/>
    <w:rsid w:val="00E17406"/>
    <w:rsid w:val="00E26EB1"/>
    <w:rsid w:val="00E26FBF"/>
    <w:rsid w:val="00E30669"/>
    <w:rsid w:val="00E3441E"/>
    <w:rsid w:val="00E36AD9"/>
    <w:rsid w:val="00E36C0E"/>
    <w:rsid w:val="00E46AED"/>
    <w:rsid w:val="00E527C6"/>
    <w:rsid w:val="00E52F9A"/>
    <w:rsid w:val="00E538C6"/>
    <w:rsid w:val="00E55948"/>
    <w:rsid w:val="00E609FC"/>
    <w:rsid w:val="00E65833"/>
    <w:rsid w:val="00E67463"/>
    <w:rsid w:val="00E70C4E"/>
    <w:rsid w:val="00E73A03"/>
    <w:rsid w:val="00E73DF6"/>
    <w:rsid w:val="00E81BBF"/>
    <w:rsid w:val="00E8290D"/>
    <w:rsid w:val="00E82DC6"/>
    <w:rsid w:val="00E84AA1"/>
    <w:rsid w:val="00E869E9"/>
    <w:rsid w:val="00E87045"/>
    <w:rsid w:val="00E92C15"/>
    <w:rsid w:val="00E938D7"/>
    <w:rsid w:val="00E939F4"/>
    <w:rsid w:val="00EA0C82"/>
    <w:rsid w:val="00EA3705"/>
    <w:rsid w:val="00EA3B86"/>
    <w:rsid w:val="00EA3D5E"/>
    <w:rsid w:val="00EB0334"/>
    <w:rsid w:val="00EB1770"/>
    <w:rsid w:val="00EB771E"/>
    <w:rsid w:val="00EC216F"/>
    <w:rsid w:val="00EC3D19"/>
    <w:rsid w:val="00EC6A3C"/>
    <w:rsid w:val="00EC6D5D"/>
    <w:rsid w:val="00EC700C"/>
    <w:rsid w:val="00ED0279"/>
    <w:rsid w:val="00ED1553"/>
    <w:rsid w:val="00ED1B06"/>
    <w:rsid w:val="00ED2011"/>
    <w:rsid w:val="00ED4413"/>
    <w:rsid w:val="00ED4715"/>
    <w:rsid w:val="00ED71E5"/>
    <w:rsid w:val="00EE14E3"/>
    <w:rsid w:val="00EE1AC8"/>
    <w:rsid w:val="00EE1D42"/>
    <w:rsid w:val="00EE34CA"/>
    <w:rsid w:val="00EF288A"/>
    <w:rsid w:val="00EF523A"/>
    <w:rsid w:val="00EF700A"/>
    <w:rsid w:val="00F01BC0"/>
    <w:rsid w:val="00F029ED"/>
    <w:rsid w:val="00F051C2"/>
    <w:rsid w:val="00F1011C"/>
    <w:rsid w:val="00F10496"/>
    <w:rsid w:val="00F13CFB"/>
    <w:rsid w:val="00F157B3"/>
    <w:rsid w:val="00F162DB"/>
    <w:rsid w:val="00F16B7E"/>
    <w:rsid w:val="00F16CA4"/>
    <w:rsid w:val="00F211B1"/>
    <w:rsid w:val="00F25F0F"/>
    <w:rsid w:val="00F26FD6"/>
    <w:rsid w:val="00F279CA"/>
    <w:rsid w:val="00F319CD"/>
    <w:rsid w:val="00F32F81"/>
    <w:rsid w:val="00F33F29"/>
    <w:rsid w:val="00F36EEC"/>
    <w:rsid w:val="00F43E63"/>
    <w:rsid w:val="00F45444"/>
    <w:rsid w:val="00F465CA"/>
    <w:rsid w:val="00F47716"/>
    <w:rsid w:val="00F51682"/>
    <w:rsid w:val="00F52B93"/>
    <w:rsid w:val="00F534B8"/>
    <w:rsid w:val="00F53506"/>
    <w:rsid w:val="00F550C6"/>
    <w:rsid w:val="00F60548"/>
    <w:rsid w:val="00F6251D"/>
    <w:rsid w:val="00F62B22"/>
    <w:rsid w:val="00F63184"/>
    <w:rsid w:val="00F634FF"/>
    <w:rsid w:val="00F63811"/>
    <w:rsid w:val="00F66C5F"/>
    <w:rsid w:val="00F67EC2"/>
    <w:rsid w:val="00F71B41"/>
    <w:rsid w:val="00F731BE"/>
    <w:rsid w:val="00F74D64"/>
    <w:rsid w:val="00F815B2"/>
    <w:rsid w:val="00F83515"/>
    <w:rsid w:val="00F83C29"/>
    <w:rsid w:val="00F8618D"/>
    <w:rsid w:val="00F87BE2"/>
    <w:rsid w:val="00F91461"/>
    <w:rsid w:val="00F92323"/>
    <w:rsid w:val="00F94F31"/>
    <w:rsid w:val="00FA0BAB"/>
    <w:rsid w:val="00FA17DE"/>
    <w:rsid w:val="00FA3D44"/>
    <w:rsid w:val="00FA54BA"/>
    <w:rsid w:val="00FB2E6A"/>
    <w:rsid w:val="00FB4F63"/>
    <w:rsid w:val="00FB572E"/>
    <w:rsid w:val="00FC461D"/>
    <w:rsid w:val="00FC7404"/>
    <w:rsid w:val="00FD1E09"/>
    <w:rsid w:val="00FD6846"/>
    <w:rsid w:val="00FE32EA"/>
    <w:rsid w:val="00FE6E4E"/>
    <w:rsid w:val="00FF137B"/>
    <w:rsid w:val="00FF1DD7"/>
    <w:rsid w:val="00FF7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79D78"/>
  <w15:chartTrackingRefBased/>
  <w15:docId w15:val="{9440B8CD-7264-4E1B-93FC-77E6A7AD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ED0279"/>
    <w:pPr>
      <w:ind w:left="720"/>
      <w:contextualSpacing/>
    </w:pPr>
  </w:style>
  <w:style w:type="character" w:styleId="Hyperlink">
    <w:name w:val="Hyperlink"/>
    <w:basedOn w:val="DefaultParagraphFont"/>
    <w:uiPriority w:val="99"/>
    <w:unhideWhenUsed/>
    <w:rsid w:val="00B676E9"/>
    <w:rPr>
      <w:color w:val="0000FF"/>
      <w:u w:val="single"/>
    </w:rPr>
  </w:style>
  <w:style w:type="character" w:styleId="FollowedHyperlink">
    <w:name w:val="FollowedHyperlink"/>
    <w:basedOn w:val="DefaultParagraphFont"/>
    <w:uiPriority w:val="99"/>
    <w:semiHidden/>
    <w:unhideWhenUsed/>
    <w:rsid w:val="00B676E9"/>
    <w:rPr>
      <w:color w:val="954F72" w:themeColor="followedHyperlink"/>
      <w:u w:val="single"/>
    </w:rPr>
  </w:style>
  <w:style w:type="character" w:styleId="Emphasis">
    <w:name w:val="Emphasis"/>
    <w:basedOn w:val="DefaultParagraphFont"/>
    <w:uiPriority w:val="20"/>
    <w:qFormat/>
    <w:rsid w:val="00B676E9"/>
    <w:rPr>
      <w:i/>
      <w:iCs/>
    </w:rPr>
  </w:style>
  <w:style w:type="character" w:styleId="UnresolvedMention">
    <w:name w:val="Unresolved Mention"/>
    <w:basedOn w:val="DefaultParagraphFont"/>
    <w:uiPriority w:val="99"/>
    <w:semiHidden/>
    <w:unhideWhenUsed/>
    <w:rsid w:val="006A274E"/>
    <w:rPr>
      <w:color w:val="605E5C"/>
      <w:shd w:val="clear" w:color="auto" w:fill="E1DFDD"/>
    </w:rPr>
  </w:style>
  <w:style w:type="character" w:styleId="EndnoteReference">
    <w:name w:val="endnote reference"/>
    <w:basedOn w:val="DefaultParagraphFont"/>
    <w:uiPriority w:val="99"/>
    <w:unhideWhenUsed/>
    <w:rsid w:val="007777AC"/>
    <w:rPr>
      <w:vertAlign w:val="superscript"/>
    </w:rPr>
  </w:style>
  <w:style w:type="paragraph" w:styleId="EndnoteText">
    <w:name w:val="endnote text"/>
    <w:basedOn w:val="Normal"/>
    <w:link w:val="EndnoteTextChar"/>
    <w:uiPriority w:val="99"/>
    <w:unhideWhenUsed/>
    <w:rsid w:val="007777AC"/>
    <w:pPr>
      <w:spacing w:after="0" w:line="240" w:lineRule="auto"/>
      <w:jc w:val="both"/>
    </w:pPr>
    <w:rPr>
      <w:rFonts w:ascii="Calibri" w:eastAsia="Times New Roman" w:hAnsi="Calibri" w:cs="Times New Roman"/>
      <w:sz w:val="20"/>
      <w:szCs w:val="20"/>
      <w:lang w:eastAsia="en-GB"/>
    </w:rPr>
  </w:style>
  <w:style w:type="character" w:customStyle="1" w:styleId="EndnoteTextChar">
    <w:name w:val="Endnote Text Char"/>
    <w:basedOn w:val="DefaultParagraphFont"/>
    <w:link w:val="EndnoteText"/>
    <w:uiPriority w:val="99"/>
    <w:rsid w:val="007777AC"/>
    <w:rPr>
      <w:rFonts w:ascii="Calibri" w:eastAsia="Times New Roman" w:hAnsi="Calibri" w:cs="Times New Roman"/>
      <w:sz w:val="20"/>
      <w:szCs w:val="20"/>
      <w:lang w:eastAsia="en-GB"/>
    </w:rPr>
  </w:style>
  <w:style w:type="paragraph" w:styleId="FootnoteText">
    <w:name w:val="footnote text"/>
    <w:basedOn w:val="Normal"/>
    <w:link w:val="FootnoteTextChar"/>
    <w:uiPriority w:val="99"/>
    <w:unhideWhenUsed/>
    <w:rsid w:val="00B849C8"/>
    <w:pPr>
      <w:spacing w:after="0" w:line="240" w:lineRule="auto"/>
    </w:pPr>
    <w:rPr>
      <w:rFonts w:ascii="Calibri" w:eastAsia="Times New Roman" w:hAnsi="Calibri" w:cs="Calibri"/>
      <w:sz w:val="20"/>
      <w:szCs w:val="20"/>
      <w:lang w:eastAsia="en-GB"/>
    </w:rPr>
  </w:style>
  <w:style w:type="character" w:customStyle="1" w:styleId="FootnoteTextChar">
    <w:name w:val="Footnote Text Char"/>
    <w:basedOn w:val="DefaultParagraphFont"/>
    <w:link w:val="FootnoteText"/>
    <w:uiPriority w:val="99"/>
    <w:rsid w:val="00B849C8"/>
    <w:rPr>
      <w:rFonts w:ascii="Calibri" w:eastAsia="Times New Roman" w:hAnsi="Calibri" w:cs="Calibri"/>
      <w:sz w:val="20"/>
      <w:szCs w:val="20"/>
      <w:lang w:eastAsia="en-GB"/>
    </w:rPr>
  </w:style>
  <w:style w:type="character" w:styleId="FootnoteReference">
    <w:name w:val="footnote reference"/>
    <w:basedOn w:val="DefaultParagraphFont"/>
    <w:uiPriority w:val="99"/>
    <w:unhideWhenUsed/>
    <w:rsid w:val="00B849C8"/>
    <w:rPr>
      <w:vertAlign w:val="superscript"/>
    </w:rPr>
  </w:style>
  <w:style w:type="paragraph" w:styleId="CommentText">
    <w:name w:val="annotation text"/>
    <w:basedOn w:val="Normal"/>
    <w:link w:val="CommentTextChar"/>
    <w:uiPriority w:val="99"/>
    <w:unhideWhenUsed/>
    <w:rsid w:val="00C53211"/>
    <w:pPr>
      <w:spacing w:after="0" w:line="240" w:lineRule="auto"/>
    </w:pPr>
    <w:rPr>
      <w:rFonts w:ascii="Calibri" w:eastAsia="Times New Roman" w:hAnsi="Calibri" w:cs="Calibri"/>
      <w:sz w:val="20"/>
      <w:szCs w:val="20"/>
      <w:lang w:eastAsia="en-GB"/>
    </w:rPr>
  </w:style>
  <w:style w:type="character" w:customStyle="1" w:styleId="CommentTextChar">
    <w:name w:val="Comment Text Char"/>
    <w:basedOn w:val="DefaultParagraphFont"/>
    <w:link w:val="CommentText"/>
    <w:uiPriority w:val="99"/>
    <w:rsid w:val="00C53211"/>
    <w:rPr>
      <w:rFonts w:ascii="Calibri" w:eastAsia="Times New Roman" w:hAnsi="Calibri" w:cs="Calibri"/>
      <w:sz w:val="20"/>
      <w:szCs w:val="20"/>
      <w:lang w:eastAsia="en-GB"/>
    </w:rPr>
  </w:style>
  <w:style w:type="character" w:styleId="CommentReference">
    <w:name w:val="annotation reference"/>
    <w:basedOn w:val="DefaultParagraphFont"/>
    <w:uiPriority w:val="99"/>
    <w:semiHidden/>
    <w:unhideWhenUsed/>
    <w:rsid w:val="00C53211"/>
    <w:rPr>
      <w:sz w:val="16"/>
      <w:szCs w:val="16"/>
    </w:rPr>
  </w:style>
  <w:style w:type="character" w:customStyle="1" w:styleId="A4">
    <w:name w:val="A4"/>
    <w:uiPriority w:val="99"/>
    <w:rsid w:val="008A319C"/>
    <w:rPr>
      <w:rFonts w:cs="Helvetica Neue"/>
      <w:color w:val="000000"/>
      <w:sz w:val="20"/>
      <w:szCs w:val="20"/>
    </w:rPr>
  </w:style>
  <w:style w:type="paragraph" w:styleId="NormalWeb">
    <w:name w:val="Normal (Web)"/>
    <w:basedOn w:val="Normal"/>
    <w:uiPriority w:val="99"/>
    <w:semiHidden/>
    <w:unhideWhenUsed/>
    <w:rsid w:val="00B326C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7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7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BDC"/>
  </w:style>
  <w:style w:type="paragraph" w:styleId="Footer">
    <w:name w:val="footer"/>
    <w:basedOn w:val="Normal"/>
    <w:link w:val="FooterChar"/>
    <w:uiPriority w:val="99"/>
    <w:unhideWhenUsed/>
    <w:rsid w:val="00D77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BDC"/>
  </w:style>
  <w:style w:type="character" w:customStyle="1" w:styleId="ListParagraphChar">
    <w:name w:val="List Paragraph Char"/>
    <w:aliases w:val="Dot pt Char"/>
    <w:link w:val="ListParagraph"/>
    <w:uiPriority w:val="34"/>
    <w:locked/>
    <w:rsid w:val="00A92ECA"/>
  </w:style>
  <w:style w:type="character" w:customStyle="1" w:styleId="wixguard">
    <w:name w:val="wixguard"/>
    <w:basedOn w:val="DefaultParagraphFont"/>
    <w:rsid w:val="001701F4"/>
  </w:style>
  <w:style w:type="paragraph" w:customStyle="1" w:styleId="BodyText1">
    <w:name w:val="Body Text1"/>
    <w:basedOn w:val="Normal"/>
    <w:link w:val="BodytextChar"/>
    <w:qFormat/>
    <w:rsid w:val="007E46AB"/>
    <w:pPr>
      <w:spacing w:before="120" w:after="0" w:line="312" w:lineRule="auto"/>
      <w:ind w:firstLine="720"/>
      <w:jc w:val="both"/>
    </w:pPr>
    <w:rPr>
      <w:rFonts w:ascii="Calibri" w:eastAsia="Times New Roman" w:hAnsi="Calibri" w:cs="Times New Roman"/>
      <w:kern w:val="20"/>
      <w:sz w:val="20"/>
      <w:szCs w:val="20"/>
    </w:rPr>
  </w:style>
  <w:style w:type="character" w:customStyle="1" w:styleId="BodytextChar">
    <w:name w:val="Body text Char"/>
    <w:basedOn w:val="DefaultParagraphFont"/>
    <w:link w:val="BodyText1"/>
    <w:rsid w:val="007E46AB"/>
    <w:rPr>
      <w:rFonts w:ascii="Calibri" w:eastAsia="Times New Roman" w:hAnsi="Calibri" w:cs="Times New Roman"/>
      <w:kern w:val="20"/>
      <w:sz w:val="20"/>
      <w:szCs w:val="20"/>
    </w:rPr>
  </w:style>
  <w:style w:type="paragraph" w:styleId="CommentSubject">
    <w:name w:val="annotation subject"/>
    <w:basedOn w:val="CommentText"/>
    <w:next w:val="CommentText"/>
    <w:link w:val="CommentSubjectChar"/>
    <w:uiPriority w:val="99"/>
    <w:semiHidden/>
    <w:unhideWhenUsed/>
    <w:rsid w:val="00970FC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70FC6"/>
    <w:rPr>
      <w:rFonts w:ascii="Calibri" w:eastAsia="Times New Roman" w:hAnsi="Calibri" w:cs="Calibri"/>
      <w:b/>
      <w:bCs/>
      <w:sz w:val="20"/>
      <w:szCs w:val="20"/>
      <w:lang w:eastAsia="en-GB"/>
    </w:rPr>
  </w:style>
  <w:style w:type="character" w:customStyle="1" w:styleId="markedcontent">
    <w:name w:val="markedcontent"/>
    <w:basedOn w:val="DefaultParagraphFont"/>
    <w:rsid w:val="008608B5"/>
  </w:style>
  <w:style w:type="paragraph" w:customStyle="1" w:styleId="xmsonormal">
    <w:name w:val="x_msonormal"/>
    <w:basedOn w:val="Normal"/>
    <w:rsid w:val="00DA5260"/>
    <w:pPr>
      <w:spacing w:before="100" w:beforeAutospacing="1" w:after="100" w:afterAutospacing="1" w:line="240" w:lineRule="auto"/>
    </w:pPr>
    <w:rPr>
      <w:rFonts w:ascii="Calibri" w:hAnsi="Calibri" w:cs="Calibri"/>
      <w:lang w:eastAsia="en-GB"/>
    </w:rPr>
  </w:style>
  <w:style w:type="paragraph" w:styleId="Revision">
    <w:name w:val="Revision"/>
    <w:uiPriority w:val="99"/>
    <w:semiHidden/>
    <w:rsid w:val="009D1C50"/>
    <w:pPr>
      <w:spacing w:after="0" w:line="240" w:lineRule="auto"/>
    </w:pPr>
    <w:rPr>
      <w:sz w:val="24"/>
      <w:szCs w:val="24"/>
    </w:rPr>
  </w:style>
  <w:style w:type="character" w:customStyle="1" w:styleId="FootnotesChar">
    <w:name w:val="Footnotes Char"/>
    <w:basedOn w:val="DefaultParagraphFont"/>
    <w:link w:val="Footnotes"/>
    <w:uiPriority w:val="20"/>
    <w:locked/>
    <w:rsid w:val="009D1C50"/>
    <w:rPr>
      <w:rFonts w:ascii="Times New Roman" w:eastAsia="Times New Roman" w:hAnsi="Times New Roman" w:cstheme="minorHAnsi"/>
      <w:sz w:val="20"/>
      <w:szCs w:val="20"/>
      <w:shd w:val="clear" w:color="auto" w:fill="FFFFFF"/>
      <w:lang w:val="en-US"/>
    </w:rPr>
  </w:style>
  <w:style w:type="paragraph" w:customStyle="1" w:styleId="Footnotes">
    <w:name w:val="Footnotes"/>
    <w:basedOn w:val="BodyText"/>
    <w:link w:val="FootnotesChar"/>
    <w:autoRedefine/>
    <w:uiPriority w:val="20"/>
    <w:qFormat/>
    <w:rsid w:val="009D1C50"/>
    <w:pPr>
      <w:widowControl w:val="0"/>
      <w:shd w:val="clear" w:color="auto" w:fill="FFFFFF"/>
      <w:autoSpaceDE w:val="0"/>
      <w:autoSpaceDN w:val="0"/>
      <w:spacing w:after="0" w:line="240" w:lineRule="auto"/>
    </w:pPr>
    <w:rPr>
      <w:rFonts w:ascii="Times New Roman" w:eastAsia="Times New Roman" w:hAnsi="Times New Roman" w:cstheme="minorHAnsi"/>
      <w:sz w:val="20"/>
      <w:szCs w:val="20"/>
      <w:lang w:val="en-US"/>
    </w:rPr>
  </w:style>
  <w:style w:type="character" w:customStyle="1" w:styleId="FOFlistChar">
    <w:name w:val="FOF list Char"/>
    <w:basedOn w:val="DefaultParagraphFont"/>
    <w:link w:val="FOFlist"/>
    <w:locked/>
    <w:rsid w:val="009D1C50"/>
    <w:rPr>
      <w:rFonts w:ascii="Century Gothic" w:hAnsi="Century Gothic" w:cstheme="minorHAnsi"/>
      <w:bCs/>
      <w:noProof/>
      <w:color w:val="000000" w:themeColor="text1"/>
      <w:lang w:eastAsia="en-GB"/>
    </w:rPr>
  </w:style>
  <w:style w:type="paragraph" w:customStyle="1" w:styleId="FOFlist">
    <w:name w:val="FOF list"/>
    <w:basedOn w:val="ListParagraph"/>
    <w:link w:val="FOFlistChar"/>
    <w:qFormat/>
    <w:rsid w:val="009D1C50"/>
    <w:pPr>
      <w:widowControl w:val="0"/>
      <w:numPr>
        <w:numId w:val="7"/>
      </w:numPr>
      <w:autoSpaceDE w:val="0"/>
      <w:autoSpaceDN w:val="0"/>
      <w:spacing w:line="276" w:lineRule="auto"/>
      <w:contextualSpacing w:val="0"/>
      <w:jc w:val="both"/>
    </w:pPr>
    <w:rPr>
      <w:rFonts w:ascii="Century Gothic" w:hAnsi="Century Gothic" w:cstheme="minorHAnsi"/>
      <w:bCs/>
      <w:noProof/>
      <w:color w:val="000000" w:themeColor="text1"/>
      <w:lang w:eastAsia="en-GB"/>
    </w:rPr>
  </w:style>
  <w:style w:type="paragraph" w:styleId="BodyText">
    <w:name w:val="Body Text"/>
    <w:basedOn w:val="Normal"/>
    <w:link w:val="BodyTextChar0"/>
    <w:uiPriority w:val="99"/>
    <w:semiHidden/>
    <w:unhideWhenUsed/>
    <w:rsid w:val="009D1C50"/>
    <w:pPr>
      <w:spacing w:after="120"/>
    </w:pPr>
  </w:style>
  <w:style w:type="character" w:customStyle="1" w:styleId="BodyTextChar0">
    <w:name w:val="Body Text Char"/>
    <w:basedOn w:val="DefaultParagraphFont"/>
    <w:link w:val="BodyText"/>
    <w:uiPriority w:val="99"/>
    <w:semiHidden/>
    <w:rsid w:val="009D1C50"/>
  </w:style>
  <w:style w:type="character" w:customStyle="1" w:styleId="cf01">
    <w:name w:val="cf01"/>
    <w:basedOn w:val="DefaultParagraphFont"/>
    <w:rsid w:val="00977C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27935">
      <w:bodyDiv w:val="1"/>
      <w:marLeft w:val="0"/>
      <w:marRight w:val="0"/>
      <w:marTop w:val="0"/>
      <w:marBottom w:val="0"/>
      <w:divBdr>
        <w:top w:val="none" w:sz="0" w:space="0" w:color="auto"/>
        <w:left w:val="none" w:sz="0" w:space="0" w:color="auto"/>
        <w:bottom w:val="none" w:sz="0" w:space="0" w:color="auto"/>
        <w:right w:val="none" w:sz="0" w:space="0" w:color="auto"/>
      </w:divBdr>
    </w:div>
    <w:div w:id="107283135">
      <w:bodyDiv w:val="1"/>
      <w:marLeft w:val="0"/>
      <w:marRight w:val="0"/>
      <w:marTop w:val="0"/>
      <w:marBottom w:val="0"/>
      <w:divBdr>
        <w:top w:val="none" w:sz="0" w:space="0" w:color="auto"/>
        <w:left w:val="none" w:sz="0" w:space="0" w:color="auto"/>
        <w:bottom w:val="none" w:sz="0" w:space="0" w:color="auto"/>
        <w:right w:val="none" w:sz="0" w:space="0" w:color="auto"/>
      </w:divBdr>
    </w:div>
    <w:div w:id="120271373">
      <w:bodyDiv w:val="1"/>
      <w:marLeft w:val="0"/>
      <w:marRight w:val="0"/>
      <w:marTop w:val="0"/>
      <w:marBottom w:val="0"/>
      <w:divBdr>
        <w:top w:val="none" w:sz="0" w:space="0" w:color="auto"/>
        <w:left w:val="none" w:sz="0" w:space="0" w:color="auto"/>
        <w:bottom w:val="none" w:sz="0" w:space="0" w:color="auto"/>
        <w:right w:val="none" w:sz="0" w:space="0" w:color="auto"/>
      </w:divBdr>
    </w:div>
    <w:div w:id="150366801">
      <w:bodyDiv w:val="1"/>
      <w:marLeft w:val="0"/>
      <w:marRight w:val="0"/>
      <w:marTop w:val="0"/>
      <w:marBottom w:val="0"/>
      <w:divBdr>
        <w:top w:val="none" w:sz="0" w:space="0" w:color="auto"/>
        <w:left w:val="none" w:sz="0" w:space="0" w:color="auto"/>
        <w:bottom w:val="none" w:sz="0" w:space="0" w:color="auto"/>
        <w:right w:val="none" w:sz="0" w:space="0" w:color="auto"/>
      </w:divBdr>
    </w:div>
    <w:div w:id="159661244">
      <w:bodyDiv w:val="1"/>
      <w:marLeft w:val="0"/>
      <w:marRight w:val="0"/>
      <w:marTop w:val="0"/>
      <w:marBottom w:val="0"/>
      <w:divBdr>
        <w:top w:val="none" w:sz="0" w:space="0" w:color="auto"/>
        <w:left w:val="none" w:sz="0" w:space="0" w:color="auto"/>
        <w:bottom w:val="none" w:sz="0" w:space="0" w:color="auto"/>
        <w:right w:val="none" w:sz="0" w:space="0" w:color="auto"/>
      </w:divBdr>
    </w:div>
    <w:div w:id="218635436">
      <w:bodyDiv w:val="1"/>
      <w:marLeft w:val="0"/>
      <w:marRight w:val="0"/>
      <w:marTop w:val="0"/>
      <w:marBottom w:val="0"/>
      <w:divBdr>
        <w:top w:val="none" w:sz="0" w:space="0" w:color="auto"/>
        <w:left w:val="none" w:sz="0" w:space="0" w:color="auto"/>
        <w:bottom w:val="none" w:sz="0" w:space="0" w:color="auto"/>
        <w:right w:val="none" w:sz="0" w:space="0" w:color="auto"/>
      </w:divBdr>
    </w:div>
    <w:div w:id="306401011">
      <w:bodyDiv w:val="1"/>
      <w:marLeft w:val="0"/>
      <w:marRight w:val="0"/>
      <w:marTop w:val="0"/>
      <w:marBottom w:val="0"/>
      <w:divBdr>
        <w:top w:val="none" w:sz="0" w:space="0" w:color="auto"/>
        <w:left w:val="none" w:sz="0" w:space="0" w:color="auto"/>
        <w:bottom w:val="none" w:sz="0" w:space="0" w:color="auto"/>
        <w:right w:val="none" w:sz="0" w:space="0" w:color="auto"/>
      </w:divBdr>
    </w:div>
    <w:div w:id="510144880">
      <w:bodyDiv w:val="1"/>
      <w:marLeft w:val="0"/>
      <w:marRight w:val="0"/>
      <w:marTop w:val="0"/>
      <w:marBottom w:val="0"/>
      <w:divBdr>
        <w:top w:val="none" w:sz="0" w:space="0" w:color="auto"/>
        <w:left w:val="none" w:sz="0" w:space="0" w:color="auto"/>
        <w:bottom w:val="none" w:sz="0" w:space="0" w:color="auto"/>
        <w:right w:val="none" w:sz="0" w:space="0" w:color="auto"/>
      </w:divBdr>
    </w:div>
    <w:div w:id="626350921">
      <w:bodyDiv w:val="1"/>
      <w:marLeft w:val="0"/>
      <w:marRight w:val="0"/>
      <w:marTop w:val="0"/>
      <w:marBottom w:val="0"/>
      <w:divBdr>
        <w:top w:val="none" w:sz="0" w:space="0" w:color="auto"/>
        <w:left w:val="none" w:sz="0" w:space="0" w:color="auto"/>
        <w:bottom w:val="none" w:sz="0" w:space="0" w:color="auto"/>
        <w:right w:val="none" w:sz="0" w:space="0" w:color="auto"/>
      </w:divBdr>
    </w:div>
    <w:div w:id="776173062">
      <w:bodyDiv w:val="1"/>
      <w:marLeft w:val="0"/>
      <w:marRight w:val="0"/>
      <w:marTop w:val="0"/>
      <w:marBottom w:val="0"/>
      <w:divBdr>
        <w:top w:val="none" w:sz="0" w:space="0" w:color="auto"/>
        <w:left w:val="none" w:sz="0" w:space="0" w:color="auto"/>
        <w:bottom w:val="none" w:sz="0" w:space="0" w:color="auto"/>
        <w:right w:val="none" w:sz="0" w:space="0" w:color="auto"/>
      </w:divBdr>
    </w:div>
    <w:div w:id="854880043">
      <w:bodyDiv w:val="1"/>
      <w:marLeft w:val="0"/>
      <w:marRight w:val="0"/>
      <w:marTop w:val="0"/>
      <w:marBottom w:val="0"/>
      <w:divBdr>
        <w:top w:val="none" w:sz="0" w:space="0" w:color="auto"/>
        <w:left w:val="none" w:sz="0" w:space="0" w:color="auto"/>
        <w:bottom w:val="none" w:sz="0" w:space="0" w:color="auto"/>
        <w:right w:val="none" w:sz="0" w:space="0" w:color="auto"/>
      </w:divBdr>
    </w:div>
    <w:div w:id="1034423260">
      <w:bodyDiv w:val="1"/>
      <w:marLeft w:val="0"/>
      <w:marRight w:val="0"/>
      <w:marTop w:val="0"/>
      <w:marBottom w:val="0"/>
      <w:divBdr>
        <w:top w:val="none" w:sz="0" w:space="0" w:color="auto"/>
        <w:left w:val="none" w:sz="0" w:space="0" w:color="auto"/>
        <w:bottom w:val="none" w:sz="0" w:space="0" w:color="auto"/>
        <w:right w:val="none" w:sz="0" w:space="0" w:color="auto"/>
      </w:divBdr>
      <w:divsChild>
        <w:div w:id="1506704007">
          <w:marLeft w:val="446"/>
          <w:marRight w:val="0"/>
          <w:marTop w:val="0"/>
          <w:marBottom w:val="0"/>
          <w:divBdr>
            <w:top w:val="none" w:sz="0" w:space="0" w:color="auto"/>
            <w:left w:val="none" w:sz="0" w:space="0" w:color="auto"/>
            <w:bottom w:val="none" w:sz="0" w:space="0" w:color="auto"/>
            <w:right w:val="none" w:sz="0" w:space="0" w:color="auto"/>
          </w:divBdr>
        </w:div>
      </w:divsChild>
    </w:div>
    <w:div w:id="1072196405">
      <w:bodyDiv w:val="1"/>
      <w:marLeft w:val="0"/>
      <w:marRight w:val="0"/>
      <w:marTop w:val="0"/>
      <w:marBottom w:val="0"/>
      <w:divBdr>
        <w:top w:val="none" w:sz="0" w:space="0" w:color="auto"/>
        <w:left w:val="none" w:sz="0" w:space="0" w:color="auto"/>
        <w:bottom w:val="none" w:sz="0" w:space="0" w:color="auto"/>
        <w:right w:val="none" w:sz="0" w:space="0" w:color="auto"/>
      </w:divBdr>
    </w:div>
    <w:div w:id="1107041252">
      <w:bodyDiv w:val="1"/>
      <w:marLeft w:val="0"/>
      <w:marRight w:val="0"/>
      <w:marTop w:val="0"/>
      <w:marBottom w:val="0"/>
      <w:divBdr>
        <w:top w:val="none" w:sz="0" w:space="0" w:color="auto"/>
        <w:left w:val="none" w:sz="0" w:space="0" w:color="auto"/>
        <w:bottom w:val="none" w:sz="0" w:space="0" w:color="auto"/>
        <w:right w:val="none" w:sz="0" w:space="0" w:color="auto"/>
      </w:divBdr>
    </w:div>
    <w:div w:id="1115783060">
      <w:bodyDiv w:val="1"/>
      <w:marLeft w:val="0"/>
      <w:marRight w:val="0"/>
      <w:marTop w:val="0"/>
      <w:marBottom w:val="0"/>
      <w:divBdr>
        <w:top w:val="none" w:sz="0" w:space="0" w:color="auto"/>
        <w:left w:val="none" w:sz="0" w:space="0" w:color="auto"/>
        <w:bottom w:val="none" w:sz="0" w:space="0" w:color="auto"/>
        <w:right w:val="none" w:sz="0" w:space="0" w:color="auto"/>
      </w:divBdr>
    </w:div>
    <w:div w:id="1157456495">
      <w:bodyDiv w:val="1"/>
      <w:marLeft w:val="0"/>
      <w:marRight w:val="0"/>
      <w:marTop w:val="0"/>
      <w:marBottom w:val="0"/>
      <w:divBdr>
        <w:top w:val="none" w:sz="0" w:space="0" w:color="auto"/>
        <w:left w:val="none" w:sz="0" w:space="0" w:color="auto"/>
        <w:bottom w:val="none" w:sz="0" w:space="0" w:color="auto"/>
        <w:right w:val="none" w:sz="0" w:space="0" w:color="auto"/>
      </w:divBdr>
    </w:div>
    <w:div w:id="1310668134">
      <w:bodyDiv w:val="1"/>
      <w:marLeft w:val="0"/>
      <w:marRight w:val="0"/>
      <w:marTop w:val="0"/>
      <w:marBottom w:val="0"/>
      <w:divBdr>
        <w:top w:val="none" w:sz="0" w:space="0" w:color="auto"/>
        <w:left w:val="none" w:sz="0" w:space="0" w:color="auto"/>
        <w:bottom w:val="none" w:sz="0" w:space="0" w:color="auto"/>
        <w:right w:val="none" w:sz="0" w:space="0" w:color="auto"/>
      </w:divBdr>
    </w:div>
    <w:div w:id="1379624425">
      <w:bodyDiv w:val="1"/>
      <w:marLeft w:val="0"/>
      <w:marRight w:val="0"/>
      <w:marTop w:val="0"/>
      <w:marBottom w:val="0"/>
      <w:divBdr>
        <w:top w:val="none" w:sz="0" w:space="0" w:color="auto"/>
        <w:left w:val="none" w:sz="0" w:space="0" w:color="auto"/>
        <w:bottom w:val="none" w:sz="0" w:space="0" w:color="auto"/>
        <w:right w:val="none" w:sz="0" w:space="0" w:color="auto"/>
      </w:divBdr>
    </w:div>
    <w:div w:id="1499493128">
      <w:bodyDiv w:val="1"/>
      <w:marLeft w:val="0"/>
      <w:marRight w:val="0"/>
      <w:marTop w:val="0"/>
      <w:marBottom w:val="0"/>
      <w:divBdr>
        <w:top w:val="none" w:sz="0" w:space="0" w:color="auto"/>
        <w:left w:val="none" w:sz="0" w:space="0" w:color="auto"/>
        <w:bottom w:val="none" w:sz="0" w:space="0" w:color="auto"/>
        <w:right w:val="none" w:sz="0" w:space="0" w:color="auto"/>
      </w:divBdr>
    </w:div>
    <w:div w:id="1556351829">
      <w:bodyDiv w:val="1"/>
      <w:marLeft w:val="0"/>
      <w:marRight w:val="0"/>
      <w:marTop w:val="0"/>
      <w:marBottom w:val="0"/>
      <w:divBdr>
        <w:top w:val="none" w:sz="0" w:space="0" w:color="auto"/>
        <w:left w:val="none" w:sz="0" w:space="0" w:color="auto"/>
        <w:bottom w:val="none" w:sz="0" w:space="0" w:color="auto"/>
        <w:right w:val="none" w:sz="0" w:space="0" w:color="auto"/>
      </w:divBdr>
    </w:div>
    <w:div w:id="1563177732">
      <w:bodyDiv w:val="1"/>
      <w:marLeft w:val="0"/>
      <w:marRight w:val="0"/>
      <w:marTop w:val="0"/>
      <w:marBottom w:val="0"/>
      <w:divBdr>
        <w:top w:val="none" w:sz="0" w:space="0" w:color="auto"/>
        <w:left w:val="none" w:sz="0" w:space="0" w:color="auto"/>
        <w:bottom w:val="none" w:sz="0" w:space="0" w:color="auto"/>
        <w:right w:val="none" w:sz="0" w:space="0" w:color="auto"/>
      </w:divBdr>
    </w:div>
    <w:div w:id="1620606348">
      <w:bodyDiv w:val="1"/>
      <w:marLeft w:val="0"/>
      <w:marRight w:val="0"/>
      <w:marTop w:val="0"/>
      <w:marBottom w:val="0"/>
      <w:divBdr>
        <w:top w:val="none" w:sz="0" w:space="0" w:color="auto"/>
        <w:left w:val="none" w:sz="0" w:space="0" w:color="auto"/>
        <w:bottom w:val="none" w:sz="0" w:space="0" w:color="auto"/>
        <w:right w:val="none" w:sz="0" w:space="0" w:color="auto"/>
      </w:divBdr>
    </w:div>
    <w:div w:id="1729261632">
      <w:bodyDiv w:val="1"/>
      <w:marLeft w:val="0"/>
      <w:marRight w:val="0"/>
      <w:marTop w:val="0"/>
      <w:marBottom w:val="0"/>
      <w:divBdr>
        <w:top w:val="none" w:sz="0" w:space="0" w:color="auto"/>
        <w:left w:val="none" w:sz="0" w:space="0" w:color="auto"/>
        <w:bottom w:val="none" w:sz="0" w:space="0" w:color="auto"/>
        <w:right w:val="none" w:sz="0" w:space="0" w:color="auto"/>
      </w:divBdr>
    </w:div>
    <w:div w:id="1800297691">
      <w:bodyDiv w:val="1"/>
      <w:marLeft w:val="0"/>
      <w:marRight w:val="0"/>
      <w:marTop w:val="0"/>
      <w:marBottom w:val="0"/>
      <w:divBdr>
        <w:top w:val="none" w:sz="0" w:space="0" w:color="auto"/>
        <w:left w:val="none" w:sz="0" w:space="0" w:color="auto"/>
        <w:bottom w:val="none" w:sz="0" w:space="0" w:color="auto"/>
        <w:right w:val="none" w:sz="0" w:space="0" w:color="auto"/>
      </w:divBdr>
    </w:div>
    <w:div w:id="1801458109">
      <w:bodyDiv w:val="1"/>
      <w:marLeft w:val="0"/>
      <w:marRight w:val="0"/>
      <w:marTop w:val="0"/>
      <w:marBottom w:val="0"/>
      <w:divBdr>
        <w:top w:val="none" w:sz="0" w:space="0" w:color="auto"/>
        <w:left w:val="none" w:sz="0" w:space="0" w:color="auto"/>
        <w:bottom w:val="none" w:sz="0" w:space="0" w:color="auto"/>
        <w:right w:val="none" w:sz="0" w:space="0" w:color="auto"/>
      </w:divBdr>
    </w:div>
    <w:div w:id="1857426194">
      <w:bodyDiv w:val="1"/>
      <w:marLeft w:val="0"/>
      <w:marRight w:val="0"/>
      <w:marTop w:val="0"/>
      <w:marBottom w:val="0"/>
      <w:divBdr>
        <w:top w:val="none" w:sz="0" w:space="0" w:color="auto"/>
        <w:left w:val="none" w:sz="0" w:space="0" w:color="auto"/>
        <w:bottom w:val="none" w:sz="0" w:space="0" w:color="auto"/>
        <w:right w:val="none" w:sz="0" w:space="0" w:color="auto"/>
      </w:divBdr>
    </w:div>
    <w:div w:id="1861312399">
      <w:bodyDiv w:val="1"/>
      <w:marLeft w:val="0"/>
      <w:marRight w:val="0"/>
      <w:marTop w:val="0"/>
      <w:marBottom w:val="0"/>
      <w:divBdr>
        <w:top w:val="none" w:sz="0" w:space="0" w:color="auto"/>
        <w:left w:val="none" w:sz="0" w:space="0" w:color="auto"/>
        <w:bottom w:val="none" w:sz="0" w:space="0" w:color="auto"/>
        <w:right w:val="none" w:sz="0" w:space="0" w:color="auto"/>
      </w:divBdr>
    </w:div>
    <w:div w:id="2000846514">
      <w:bodyDiv w:val="1"/>
      <w:marLeft w:val="0"/>
      <w:marRight w:val="0"/>
      <w:marTop w:val="0"/>
      <w:marBottom w:val="0"/>
      <w:divBdr>
        <w:top w:val="none" w:sz="0" w:space="0" w:color="auto"/>
        <w:left w:val="none" w:sz="0" w:space="0" w:color="auto"/>
        <w:bottom w:val="none" w:sz="0" w:space="0" w:color="auto"/>
        <w:right w:val="none" w:sz="0" w:space="0" w:color="auto"/>
      </w:divBdr>
    </w:div>
    <w:div w:id="21329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3" ma:contentTypeDescription="Create a new document." ma:contentTypeScope="" ma:versionID="407d3d3166e893cd225182f2a7f4f3d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850e0e32418067496a98477ba2e15f25"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SharedWithUsers xmlns="3bbbe167-487c-408d-acef-8d2427bd1be5">
      <UserInfo>
        <DisplayName>Paul Thompson</DisplayName>
        <AccountId>114</AccountId>
        <AccountType/>
      </UserInfo>
      <UserInfo>
        <DisplayName>Sara Bartle</DisplayName>
        <AccountId>165</AccountId>
        <AccountType/>
      </UserInfo>
    </SharedWithUsers>
  </documentManagement>
</p:properties>
</file>

<file path=customXml/itemProps1.xml><?xml version="1.0" encoding="utf-8"?>
<ds:datastoreItem xmlns:ds="http://schemas.openxmlformats.org/officeDocument/2006/customXml" ds:itemID="{76EA6833-D38D-4C3D-8801-D2A140961CF7}">
  <ds:schemaRefs>
    <ds:schemaRef ds:uri="http://schemas.openxmlformats.org/officeDocument/2006/bibliography"/>
  </ds:schemaRefs>
</ds:datastoreItem>
</file>

<file path=customXml/itemProps2.xml><?xml version="1.0" encoding="utf-8"?>
<ds:datastoreItem xmlns:ds="http://schemas.openxmlformats.org/officeDocument/2006/customXml" ds:itemID="{F53DC597-D7FF-44A1-9FD5-2755CC969F03}">
  <ds:schemaRefs>
    <ds:schemaRef ds:uri="http://schemas.microsoft.com/sharepoint/v3/contenttype/forms"/>
  </ds:schemaRefs>
</ds:datastoreItem>
</file>

<file path=customXml/itemProps3.xml><?xml version="1.0" encoding="utf-8"?>
<ds:datastoreItem xmlns:ds="http://schemas.openxmlformats.org/officeDocument/2006/customXml" ds:itemID="{0D6A35AD-5154-4F0A-8824-501839F73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0590B7-48CB-43DF-A617-8B1A8E709C5E}">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1549</Words>
  <Characters>8832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Thompson, REA</dc:creator>
  <cp:keywords/>
  <dc:description/>
  <cp:lastModifiedBy>Sara Bartle</cp:lastModifiedBy>
  <cp:revision>6</cp:revision>
  <dcterms:created xsi:type="dcterms:W3CDTF">2023-06-23T20:06:00Z</dcterms:created>
  <dcterms:modified xsi:type="dcterms:W3CDTF">2023-06-23T14:52:00Z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