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4A54" w14:textId="72DD9D6A" w:rsidR="00D569A3" w:rsidRPr="00541E87" w:rsidRDefault="00D569A3" w:rsidP="00C7525D">
      <w:pPr>
        <w:pStyle w:val="Default"/>
        <w:jc w:val="center"/>
        <w:rPr>
          <w:color w:val="06926B"/>
        </w:rPr>
      </w:pPr>
      <w:r w:rsidRPr="00541E87">
        <w:rPr>
          <w:rFonts w:ascii="Open Sans" w:hAnsi="Open Sans" w:cs="Open Sans"/>
          <w:b/>
          <w:bCs/>
          <w:color w:val="06926B"/>
          <w:sz w:val="28"/>
          <w:szCs w:val="28"/>
        </w:rPr>
        <w:t>REA response to DESNZ</w:t>
      </w:r>
      <w:r w:rsidR="006E4884" w:rsidRPr="00541E87">
        <w:rPr>
          <w:rFonts w:ascii="Open Sans" w:hAnsi="Open Sans" w:cs="Open Sans"/>
          <w:b/>
          <w:bCs/>
          <w:color w:val="06926B"/>
          <w:sz w:val="28"/>
          <w:szCs w:val="28"/>
        </w:rPr>
        <w:t xml:space="preserve"> C</w:t>
      </w:r>
      <w:r w:rsidR="007A3C34" w:rsidRPr="00541E87">
        <w:rPr>
          <w:rFonts w:ascii="Open Sans" w:hAnsi="Open Sans" w:cs="Open Sans"/>
          <w:b/>
          <w:bCs/>
          <w:color w:val="06926B"/>
          <w:sz w:val="28"/>
          <w:szCs w:val="28"/>
        </w:rPr>
        <w:t xml:space="preserve">all for </w:t>
      </w:r>
      <w:r w:rsidR="00981570" w:rsidRPr="00541E87">
        <w:rPr>
          <w:rFonts w:ascii="Open Sans" w:hAnsi="Open Sans" w:cs="Open Sans"/>
          <w:b/>
          <w:bCs/>
          <w:color w:val="06926B"/>
          <w:sz w:val="28"/>
          <w:szCs w:val="28"/>
        </w:rPr>
        <w:t>evidence</w:t>
      </w:r>
      <w:r w:rsidR="007A3C34" w:rsidRPr="00541E87">
        <w:rPr>
          <w:rFonts w:ascii="Open Sans" w:hAnsi="Open Sans" w:cs="Open Sans"/>
          <w:b/>
          <w:bCs/>
          <w:color w:val="06926B"/>
          <w:sz w:val="28"/>
          <w:szCs w:val="28"/>
        </w:rPr>
        <w:t xml:space="preserve"> on the </w:t>
      </w:r>
      <w:r w:rsidR="00981570" w:rsidRPr="00541E87">
        <w:rPr>
          <w:rFonts w:ascii="Open Sans" w:hAnsi="Open Sans" w:cs="Open Sans"/>
          <w:b/>
          <w:bCs/>
          <w:color w:val="06926B"/>
          <w:sz w:val="28"/>
          <w:szCs w:val="28"/>
        </w:rPr>
        <w:t>future policy framework for allocation of the LCHA</w:t>
      </w:r>
      <w:r w:rsidR="00EB0334" w:rsidRPr="00541E87">
        <w:rPr>
          <w:rFonts w:ascii="Open Sans" w:hAnsi="Open Sans" w:cs="Open Sans"/>
          <w:b/>
          <w:bCs/>
          <w:color w:val="06926B"/>
          <w:sz w:val="28"/>
          <w:szCs w:val="28"/>
        </w:rPr>
        <w:t>.</w:t>
      </w:r>
    </w:p>
    <w:p w14:paraId="27B0ED88" w14:textId="5D38FAE5" w:rsidR="00C44AFB" w:rsidRDefault="00C44AFB" w:rsidP="00C44AF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Association for Renewable Energy &amp; Clean Technologies (REA) is pleased to submit this response. The REA represents industry stakeholders from across the sector and includes dedicated member forums focused on green gas &amp; hydrogen, biomass heat, biomass power, renewable transport fuels, thermal </w:t>
      </w:r>
      <w:proofErr w:type="gramStart"/>
      <w:r>
        <w:rPr>
          <w:rFonts w:ascii="Open Sans" w:eastAsia="Open Sans" w:hAnsi="Open Sans" w:cs="Open Sans"/>
          <w:color w:val="434343"/>
          <w:sz w:val="20"/>
          <w:szCs w:val="20"/>
        </w:rPr>
        <w:t>storage</w:t>
      </w:r>
      <w:proofErr w:type="gramEnd"/>
      <w:r>
        <w:rPr>
          <w:rFonts w:ascii="Open Sans" w:eastAsia="Open Sans" w:hAnsi="Open Sans" w:cs="Open Sans"/>
          <w:color w:val="434343"/>
          <w:sz w:val="20"/>
          <w:szCs w:val="20"/>
        </w:rPr>
        <w:t xml:space="preserv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77D3ED8F" w14:textId="77777777" w:rsidR="00B061AB" w:rsidRDefault="00B061AB" w:rsidP="00B061A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We have engaged with the energy department on a wide range of hydrogen policy. These include:</w:t>
      </w:r>
    </w:p>
    <w:p w14:paraId="184D831C" w14:textId="4293BEF3" w:rsidR="00B061AB" w:rsidRPr="00C44AFB" w:rsidRDefault="006A23C4" w:rsidP="00B061AB">
      <w:pPr>
        <w:pStyle w:val="ListParagraph"/>
        <w:numPr>
          <w:ilvl w:val="0"/>
          <w:numId w:val="17"/>
        </w:num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Feedback on </w:t>
      </w:r>
      <w:r w:rsidR="00B061AB" w:rsidRPr="00C44AFB">
        <w:rPr>
          <w:rFonts w:ascii="Open Sans" w:eastAsia="Open Sans" w:hAnsi="Open Sans" w:cs="Open Sans"/>
          <w:color w:val="434343"/>
          <w:sz w:val="20"/>
          <w:szCs w:val="20"/>
        </w:rPr>
        <w:t>the Low Carbon Hydrogen Standard</w:t>
      </w:r>
      <w:r w:rsidR="00662811">
        <w:rPr>
          <w:rFonts w:ascii="Open Sans" w:eastAsia="Open Sans" w:hAnsi="Open Sans" w:cs="Open Sans"/>
          <w:color w:val="434343"/>
          <w:sz w:val="20"/>
          <w:szCs w:val="20"/>
        </w:rPr>
        <w:t xml:space="preserve"> version 3</w:t>
      </w:r>
    </w:p>
    <w:p w14:paraId="70AB7BE5" w14:textId="6940BC74" w:rsidR="00B061AB" w:rsidRPr="00C44AFB" w:rsidRDefault="006A23C4" w:rsidP="00B061AB">
      <w:pPr>
        <w:pStyle w:val="ListParagraph"/>
        <w:numPr>
          <w:ilvl w:val="0"/>
          <w:numId w:val="17"/>
        </w:num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D</w:t>
      </w:r>
      <w:r w:rsidR="00B061AB" w:rsidRPr="00C44AFB">
        <w:rPr>
          <w:rFonts w:ascii="Open Sans" w:eastAsia="Open Sans" w:hAnsi="Open Sans" w:cs="Open Sans"/>
          <w:color w:val="434343"/>
          <w:sz w:val="20"/>
          <w:szCs w:val="20"/>
        </w:rPr>
        <w:t>evelopment of a hydrogen certification scheme</w:t>
      </w:r>
    </w:p>
    <w:p w14:paraId="7DBCFF44" w14:textId="77777777" w:rsidR="00B061AB" w:rsidRPr="00C44AFB" w:rsidRDefault="00B061AB" w:rsidP="00B061AB">
      <w:pPr>
        <w:pStyle w:val="ListParagraph"/>
        <w:numPr>
          <w:ilvl w:val="0"/>
          <w:numId w:val="17"/>
        </w:numPr>
        <w:spacing w:before="120" w:after="120" w:line="240" w:lineRule="auto"/>
        <w:rPr>
          <w:rFonts w:ascii="Open Sans" w:eastAsia="Open Sans" w:hAnsi="Open Sans" w:cs="Open Sans"/>
          <w:color w:val="434343"/>
          <w:sz w:val="20"/>
          <w:szCs w:val="20"/>
        </w:rPr>
      </w:pPr>
      <w:r w:rsidRPr="00C44AFB">
        <w:rPr>
          <w:rFonts w:ascii="Open Sans" w:eastAsia="Open Sans" w:hAnsi="Open Sans" w:cs="Open Sans"/>
          <w:color w:val="434343"/>
          <w:sz w:val="20"/>
          <w:szCs w:val="20"/>
        </w:rPr>
        <w:t>Low Carbon Hydrogen Agreements and the policy decisions behind them</w:t>
      </w:r>
    </w:p>
    <w:p w14:paraId="5699D64D" w14:textId="77777777" w:rsidR="00B061AB" w:rsidRPr="00C44AFB" w:rsidRDefault="00B061AB" w:rsidP="00B061AB">
      <w:pPr>
        <w:pStyle w:val="ListParagraph"/>
        <w:numPr>
          <w:ilvl w:val="0"/>
          <w:numId w:val="17"/>
        </w:numPr>
        <w:spacing w:before="120" w:after="120" w:line="240" w:lineRule="auto"/>
        <w:rPr>
          <w:rFonts w:ascii="Open Sans" w:eastAsia="Open Sans" w:hAnsi="Open Sans" w:cs="Open Sans"/>
          <w:color w:val="434343"/>
          <w:sz w:val="20"/>
          <w:szCs w:val="20"/>
        </w:rPr>
      </w:pPr>
      <w:r w:rsidRPr="00C44AFB">
        <w:rPr>
          <w:rFonts w:ascii="Open Sans" w:eastAsia="Open Sans" w:hAnsi="Open Sans" w:cs="Open Sans"/>
          <w:color w:val="434343"/>
          <w:sz w:val="20"/>
          <w:szCs w:val="20"/>
        </w:rPr>
        <w:t>Forthcoming decision on blending into the gas grid</w:t>
      </w:r>
    </w:p>
    <w:p w14:paraId="66BF38E3" w14:textId="77777777" w:rsidR="00B061AB" w:rsidRDefault="00B061AB" w:rsidP="00B061AB">
      <w:pPr>
        <w:rPr>
          <w:rFonts w:ascii="Open Sans" w:hAnsi="Open Sans" w:cs="Open Sans"/>
          <w:sz w:val="20"/>
          <w:szCs w:val="20"/>
        </w:rPr>
      </w:pPr>
      <w:proofErr w:type="gramStart"/>
      <w:r>
        <w:rPr>
          <w:rFonts w:ascii="Open Sans" w:hAnsi="Open Sans" w:cs="Open Sans"/>
          <w:sz w:val="20"/>
          <w:szCs w:val="20"/>
        </w:rPr>
        <w:t>A number of</w:t>
      </w:r>
      <w:proofErr w:type="gramEnd"/>
      <w:r>
        <w:rPr>
          <w:rFonts w:ascii="Open Sans" w:hAnsi="Open Sans" w:cs="Open Sans"/>
          <w:sz w:val="20"/>
          <w:szCs w:val="20"/>
        </w:rPr>
        <w:t xml:space="preserve"> our members are particularly interested in production pathways other than electrolysis or methane reformation and we have engaged in detail on these ‘alternative’ pathways. </w:t>
      </w:r>
    </w:p>
    <w:p w14:paraId="50F65267" w14:textId="0F527FA1" w:rsidR="00B061AB" w:rsidRDefault="00B061AB" w:rsidP="00B061AB">
      <w:pPr>
        <w:rPr>
          <w:rFonts w:ascii="Open Sans" w:hAnsi="Open Sans" w:cs="Open Sans"/>
          <w:sz w:val="20"/>
          <w:szCs w:val="20"/>
        </w:rPr>
      </w:pPr>
      <w:r>
        <w:rPr>
          <w:rFonts w:ascii="Open Sans" w:hAnsi="Open Sans" w:cs="Open Sans"/>
          <w:sz w:val="20"/>
          <w:szCs w:val="20"/>
        </w:rPr>
        <w:t>We look forward to continuing to engage with the department on these and related policies.</w:t>
      </w:r>
    </w:p>
    <w:p w14:paraId="14C40F83" w14:textId="4BF4FE82" w:rsidR="00B061AB" w:rsidRDefault="00B061AB" w:rsidP="00B061AB">
      <w:pPr>
        <w:rPr>
          <w:rFonts w:ascii="Open Sans" w:hAnsi="Open Sans" w:cs="Open Sans"/>
          <w:sz w:val="20"/>
          <w:szCs w:val="20"/>
        </w:rPr>
      </w:pPr>
      <w:r>
        <w:rPr>
          <w:rFonts w:ascii="Open Sans" w:hAnsi="Open Sans" w:cs="Open Sans"/>
          <w:sz w:val="20"/>
          <w:szCs w:val="20"/>
        </w:rPr>
        <w:t xml:space="preserve">Although not within scope of this </w:t>
      </w:r>
      <w:r w:rsidR="00DD12D8">
        <w:rPr>
          <w:rFonts w:ascii="Open Sans" w:hAnsi="Open Sans" w:cs="Open Sans"/>
          <w:sz w:val="20"/>
          <w:szCs w:val="20"/>
        </w:rPr>
        <w:t>call for evidence</w:t>
      </w:r>
      <w:r>
        <w:rPr>
          <w:rFonts w:ascii="Open Sans" w:hAnsi="Open Sans" w:cs="Open Sans"/>
          <w:sz w:val="20"/>
          <w:szCs w:val="20"/>
        </w:rPr>
        <w:t>, we would like to highlight that the political uncertainty around funding for hydrogen support is a serious concern for our members. We appreciate the</w:t>
      </w:r>
      <w:r w:rsidR="00704E9B">
        <w:rPr>
          <w:rFonts w:ascii="Open Sans" w:hAnsi="Open Sans" w:cs="Open Sans"/>
          <w:sz w:val="20"/>
          <w:szCs w:val="20"/>
        </w:rPr>
        <w:t xml:space="preserve">re were </w:t>
      </w:r>
      <w:r>
        <w:rPr>
          <w:rFonts w:ascii="Open Sans" w:hAnsi="Open Sans" w:cs="Open Sans"/>
          <w:sz w:val="20"/>
          <w:szCs w:val="20"/>
        </w:rPr>
        <w:t xml:space="preserve">concerns around the </w:t>
      </w:r>
      <w:r w:rsidR="00704E9B">
        <w:rPr>
          <w:rFonts w:ascii="Open Sans" w:hAnsi="Open Sans" w:cs="Open Sans"/>
          <w:sz w:val="20"/>
          <w:szCs w:val="20"/>
        </w:rPr>
        <w:t>previously proposed</w:t>
      </w:r>
      <w:r>
        <w:rPr>
          <w:rFonts w:ascii="Open Sans" w:hAnsi="Open Sans" w:cs="Open Sans"/>
          <w:sz w:val="20"/>
          <w:szCs w:val="20"/>
        </w:rPr>
        <w:t xml:space="preserve"> levy, </w:t>
      </w:r>
      <w:r w:rsidR="00765DE9">
        <w:rPr>
          <w:rFonts w:ascii="Open Sans" w:hAnsi="Open Sans" w:cs="Open Sans"/>
          <w:sz w:val="20"/>
          <w:szCs w:val="20"/>
        </w:rPr>
        <w:t>leading to this not being</w:t>
      </w:r>
      <w:r>
        <w:rPr>
          <w:rFonts w:ascii="Open Sans" w:hAnsi="Open Sans" w:cs="Open Sans"/>
          <w:sz w:val="20"/>
          <w:szCs w:val="20"/>
        </w:rPr>
        <w:t xml:space="preserve"> included within the current Energy Bill but th</w:t>
      </w:r>
      <w:r w:rsidR="00765DE9">
        <w:rPr>
          <w:rFonts w:ascii="Open Sans" w:hAnsi="Open Sans" w:cs="Open Sans"/>
          <w:sz w:val="20"/>
          <w:szCs w:val="20"/>
        </w:rPr>
        <w:t xml:space="preserve">ere </w:t>
      </w:r>
      <w:r w:rsidR="007D189C">
        <w:rPr>
          <w:rFonts w:ascii="Open Sans" w:hAnsi="Open Sans" w:cs="Open Sans"/>
          <w:sz w:val="20"/>
          <w:szCs w:val="20"/>
        </w:rPr>
        <w:t>are</w:t>
      </w:r>
      <w:r w:rsidR="00765DE9">
        <w:rPr>
          <w:rFonts w:ascii="Open Sans" w:hAnsi="Open Sans" w:cs="Open Sans"/>
          <w:sz w:val="20"/>
          <w:szCs w:val="20"/>
        </w:rPr>
        <w:t xml:space="preserve"> still </w:t>
      </w:r>
      <w:r>
        <w:rPr>
          <w:rFonts w:ascii="Open Sans" w:hAnsi="Open Sans" w:cs="Open Sans"/>
          <w:sz w:val="20"/>
          <w:szCs w:val="20"/>
        </w:rPr>
        <w:t xml:space="preserve">no </w:t>
      </w:r>
      <w:r w:rsidR="00327642">
        <w:rPr>
          <w:rFonts w:ascii="Open Sans" w:hAnsi="Open Sans" w:cs="Open Sans"/>
          <w:sz w:val="20"/>
          <w:szCs w:val="20"/>
        </w:rPr>
        <w:t xml:space="preserve">decisions </w:t>
      </w:r>
      <w:r w:rsidR="00013FE7">
        <w:rPr>
          <w:rFonts w:ascii="Open Sans" w:hAnsi="Open Sans" w:cs="Open Sans"/>
          <w:sz w:val="20"/>
          <w:szCs w:val="20"/>
        </w:rPr>
        <w:t>on</w:t>
      </w:r>
      <w:r>
        <w:rPr>
          <w:rFonts w:ascii="Open Sans" w:hAnsi="Open Sans" w:cs="Open Sans"/>
          <w:sz w:val="20"/>
          <w:szCs w:val="20"/>
        </w:rPr>
        <w:t xml:space="preserve"> alternative long term funding </w:t>
      </w:r>
      <w:proofErr w:type="gramStart"/>
      <w:r>
        <w:rPr>
          <w:rFonts w:ascii="Open Sans" w:hAnsi="Open Sans" w:cs="Open Sans"/>
          <w:sz w:val="20"/>
          <w:szCs w:val="20"/>
        </w:rPr>
        <w:t>arrangements</w:t>
      </w:r>
      <w:r w:rsidR="00765DE9">
        <w:rPr>
          <w:rFonts w:ascii="Open Sans" w:hAnsi="Open Sans" w:cs="Open Sans"/>
          <w:sz w:val="20"/>
          <w:szCs w:val="20"/>
        </w:rPr>
        <w:t xml:space="preserve"> </w:t>
      </w:r>
      <w:r>
        <w:rPr>
          <w:rFonts w:ascii="Open Sans" w:hAnsi="Open Sans" w:cs="Open Sans"/>
          <w:sz w:val="20"/>
          <w:szCs w:val="20"/>
        </w:rPr>
        <w:t>.</w:t>
      </w:r>
      <w:proofErr w:type="gramEnd"/>
      <w:r>
        <w:rPr>
          <w:rFonts w:ascii="Open Sans" w:hAnsi="Open Sans" w:cs="Open Sans"/>
          <w:sz w:val="20"/>
          <w:szCs w:val="20"/>
        </w:rPr>
        <w:t xml:space="preserve"> </w:t>
      </w:r>
    </w:p>
    <w:p w14:paraId="4093E31D" w14:textId="77777777" w:rsidR="00B061AB" w:rsidRDefault="00B061AB" w:rsidP="00B061AB">
      <w:pPr>
        <w:rPr>
          <w:rFonts w:ascii="Open Sans" w:hAnsi="Open Sans" w:cs="Open Sans"/>
          <w:sz w:val="20"/>
          <w:szCs w:val="20"/>
        </w:rPr>
      </w:pPr>
      <w:r>
        <w:rPr>
          <w:rFonts w:ascii="Open Sans" w:hAnsi="Open Sans" w:cs="Open Sans"/>
          <w:sz w:val="20"/>
          <w:szCs w:val="20"/>
        </w:rPr>
        <w:t>It is essential that this uncertainty is resolved as soon as possible to avoid having a chilling effect on plans to develop hydrogen projects in the UK.</w:t>
      </w:r>
    </w:p>
    <w:p w14:paraId="4076AD34" w14:textId="77777777" w:rsidR="00BE562D" w:rsidRDefault="00BE562D" w:rsidP="00BE562D">
      <w:pPr>
        <w:pStyle w:val="Default"/>
      </w:pPr>
    </w:p>
    <w:p w14:paraId="5FFE31EF" w14:textId="37DE995A" w:rsidR="00594F59" w:rsidRPr="00541E87" w:rsidRDefault="00594F59" w:rsidP="00594F59">
      <w:pPr>
        <w:rPr>
          <w:rFonts w:ascii="Open Sans" w:hAnsi="Open Sans" w:cs="Open Sans"/>
          <w:b/>
          <w:bCs/>
          <w:color w:val="06926B"/>
          <w:sz w:val="28"/>
          <w:szCs w:val="28"/>
        </w:rPr>
      </w:pPr>
      <w:r w:rsidRPr="00541E87">
        <w:rPr>
          <w:rFonts w:ascii="Open Sans" w:hAnsi="Open Sans" w:cs="Open Sans"/>
          <w:b/>
          <w:bCs/>
          <w:color w:val="06926B"/>
          <w:sz w:val="28"/>
          <w:szCs w:val="28"/>
        </w:rPr>
        <w:t xml:space="preserve">Chapter 2- </w:t>
      </w:r>
      <w:bookmarkStart w:id="0" w:name="_Hlk141195414"/>
      <w:r w:rsidRPr="00541E87">
        <w:rPr>
          <w:rFonts w:ascii="Open Sans" w:hAnsi="Open Sans" w:cs="Open Sans"/>
          <w:b/>
          <w:bCs/>
          <w:color w:val="06926B"/>
          <w:sz w:val="28"/>
          <w:szCs w:val="28"/>
        </w:rPr>
        <w:t>Transitioning to price</w:t>
      </w:r>
      <w:bookmarkEnd w:id="0"/>
      <w:r w:rsidRPr="00541E87">
        <w:rPr>
          <w:rFonts w:ascii="Open Sans" w:hAnsi="Open Sans" w:cs="Open Sans"/>
          <w:b/>
          <w:bCs/>
          <w:color w:val="06926B"/>
          <w:sz w:val="28"/>
          <w:szCs w:val="28"/>
        </w:rPr>
        <w:t>-based competitive allocation.</w:t>
      </w:r>
    </w:p>
    <w:p w14:paraId="05AAC563" w14:textId="77777777" w:rsidR="00EF05F6" w:rsidRPr="00541E87" w:rsidRDefault="00EF05F6" w:rsidP="00DE228D">
      <w:pPr>
        <w:rPr>
          <w:rFonts w:ascii="Open Sans" w:hAnsi="Open Sans" w:cs="Open Sans"/>
          <w:b/>
          <w:bCs/>
          <w:color w:val="06926B"/>
          <w:sz w:val="24"/>
          <w:szCs w:val="24"/>
        </w:rPr>
      </w:pPr>
      <w:r w:rsidRPr="00541E87">
        <w:rPr>
          <w:rFonts w:ascii="Open Sans" w:hAnsi="Open Sans" w:cs="Open Sans"/>
          <w:b/>
          <w:bCs/>
          <w:color w:val="06926B"/>
          <w:sz w:val="24"/>
          <w:szCs w:val="24"/>
        </w:rPr>
        <w:t xml:space="preserve">Overarching: </w:t>
      </w:r>
    </w:p>
    <w:p w14:paraId="1A1977A9" w14:textId="03631D84" w:rsidR="00DE1D2E" w:rsidRPr="00517675" w:rsidRDefault="00EF05F6" w:rsidP="00DE228D">
      <w:pPr>
        <w:rPr>
          <w:rFonts w:ascii="Open Sans" w:hAnsi="Open Sans" w:cs="Open Sans"/>
          <w:b/>
          <w:bCs/>
          <w:sz w:val="20"/>
          <w:szCs w:val="20"/>
        </w:rPr>
      </w:pPr>
      <w:r w:rsidRPr="00517675">
        <w:rPr>
          <w:rFonts w:ascii="Open Sans" w:hAnsi="Open Sans" w:cs="Open Sans"/>
          <w:b/>
          <w:bCs/>
          <w:sz w:val="20"/>
          <w:szCs w:val="20"/>
        </w:rPr>
        <w:t xml:space="preserve">1. What should be the strategic objectives of future hydrogen allocation rounds beyond HAR2? Do you agree with the descriptions of the primary objectives and broader outcomes as set out in Chapter 2? </w:t>
      </w:r>
    </w:p>
    <w:p w14:paraId="406F11D9" w14:textId="77777777" w:rsidR="00A26708" w:rsidRDefault="00617A3E" w:rsidP="00DE228D">
      <w:pPr>
        <w:rPr>
          <w:rFonts w:ascii="Open Sans" w:hAnsi="Open Sans" w:cs="Open Sans"/>
          <w:sz w:val="20"/>
          <w:szCs w:val="20"/>
        </w:rPr>
      </w:pPr>
      <w:r w:rsidRPr="00351B3C">
        <w:rPr>
          <w:rFonts w:ascii="Open Sans" w:hAnsi="Open Sans" w:cs="Open Sans"/>
          <w:sz w:val="20"/>
          <w:szCs w:val="20"/>
        </w:rPr>
        <w:t xml:space="preserve">The </w:t>
      </w:r>
      <w:r w:rsidR="002B3800" w:rsidRPr="00351B3C">
        <w:rPr>
          <w:rFonts w:ascii="Open Sans" w:hAnsi="Open Sans" w:cs="Open Sans"/>
          <w:sz w:val="20"/>
          <w:szCs w:val="20"/>
        </w:rPr>
        <w:t>R</w:t>
      </w:r>
      <w:r w:rsidR="00A55234" w:rsidRPr="00351B3C">
        <w:rPr>
          <w:rFonts w:ascii="Open Sans" w:hAnsi="Open Sans" w:cs="Open Sans"/>
          <w:sz w:val="20"/>
          <w:szCs w:val="20"/>
        </w:rPr>
        <w:t>EA</w:t>
      </w:r>
      <w:r w:rsidR="002B3800" w:rsidRPr="00351B3C">
        <w:rPr>
          <w:rFonts w:ascii="Open Sans" w:hAnsi="Open Sans" w:cs="Open Sans"/>
          <w:sz w:val="20"/>
          <w:szCs w:val="20"/>
        </w:rPr>
        <w:t xml:space="preserve"> </w:t>
      </w:r>
      <w:r w:rsidR="00A55234" w:rsidRPr="00351B3C">
        <w:rPr>
          <w:rFonts w:ascii="Open Sans" w:hAnsi="Open Sans" w:cs="Open Sans"/>
          <w:sz w:val="20"/>
          <w:szCs w:val="20"/>
        </w:rPr>
        <w:t>support</w:t>
      </w:r>
      <w:r w:rsidR="00351B3C">
        <w:rPr>
          <w:rFonts w:ascii="Open Sans" w:hAnsi="Open Sans" w:cs="Open Sans"/>
          <w:sz w:val="20"/>
          <w:szCs w:val="20"/>
        </w:rPr>
        <w:t>s</w:t>
      </w:r>
      <w:r w:rsidR="00A55234" w:rsidRPr="00351B3C">
        <w:rPr>
          <w:rFonts w:ascii="Open Sans" w:hAnsi="Open Sans" w:cs="Open Sans"/>
          <w:sz w:val="20"/>
          <w:szCs w:val="20"/>
        </w:rPr>
        <w:t xml:space="preserve"> </w:t>
      </w:r>
      <w:r w:rsidR="00387CCE" w:rsidRPr="00351B3C">
        <w:rPr>
          <w:rFonts w:ascii="Open Sans" w:hAnsi="Open Sans" w:cs="Open Sans"/>
          <w:sz w:val="20"/>
          <w:szCs w:val="20"/>
        </w:rPr>
        <w:t>the</w:t>
      </w:r>
      <w:r w:rsidR="002B3800" w:rsidRPr="00351B3C">
        <w:rPr>
          <w:rFonts w:ascii="Open Sans" w:hAnsi="Open Sans" w:cs="Open Sans"/>
          <w:sz w:val="20"/>
          <w:szCs w:val="20"/>
        </w:rPr>
        <w:t xml:space="preserve"> principle of the </w:t>
      </w:r>
      <w:r w:rsidR="000C0655" w:rsidRPr="00351B3C">
        <w:rPr>
          <w:rFonts w:ascii="Open Sans" w:hAnsi="Open Sans" w:cs="Open Sans"/>
          <w:sz w:val="20"/>
          <w:szCs w:val="20"/>
        </w:rPr>
        <w:t xml:space="preserve">primary </w:t>
      </w:r>
      <w:r w:rsidR="00A26708" w:rsidRPr="00351B3C">
        <w:rPr>
          <w:rFonts w:ascii="Open Sans" w:hAnsi="Open Sans" w:cs="Open Sans"/>
          <w:sz w:val="20"/>
          <w:szCs w:val="20"/>
        </w:rPr>
        <w:t>objectives and</w:t>
      </w:r>
      <w:r w:rsidR="00351B3C">
        <w:rPr>
          <w:rFonts w:ascii="Open Sans" w:hAnsi="Open Sans" w:cs="Open Sans"/>
          <w:sz w:val="20"/>
          <w:szCs w:val="20"/>
        </w:rPr>
        <w:t xml:space="preserve"> agree that objectives are </w:t>
      </w:r>
      <w:r w:rsidR="004F751E" w:rsidRPr="00351B3C">
        <w:rPr>
          <w:rFonts w:ascii="Open Sans" w:hAnsi="Open Sans" w:cs="Open Sans"/>
          <w:sz w:val="20"/>
          <w:szCs w:val="20"/>
        </w:rPr>
        <w:t xml:space="preserve">required to ensure </w:t>
      </w:r>
      <w:r w:rsidR="00C55CF4" w:rsidRPr="00351B3C">
        <w:rPr>
          <w:rFonts w:ascii="Open Sans" w:hAnsi="Open Sans" w:cs="Open Sans"/>
          <w:sz w:val="20"/>
          <w:szCs w:val="20"/>
        </w:rPr>
        <w:t xml:space="preserve">allocation rounds </w:t>
      </w:r>
      <w:r w:rsidR="007E5E52" w:rsidRPr="00351B3C">
        <w:rPr>
          <w:rFonts w:ascii="Open Sans" w:hAnsi="Open Sans" w:cs="Open Sans"/>
          <w:sz w:val="20"/>
          <w:szCs w:val="20"/>
        </w:rPr>
        <w:t>are</w:t>
      </w:r>
      <w:r w:rsidR="00E008B2" w:rsidRPr="00351B3C">
        <w:rPr>
          <w:rFonts w:ascii="Open Sans" w:hAnsi="Open Sans" w:cs="Open Sans"/>
          <w:sz w:val="20"/>
          <w:szCs w:val="20"/>
        </w:rPr>
        <w:t xml:space="preserve"> well thought out decisions </w:t>
      </w:r>
      <w:r w:rsidR="002E186C" w:rsidRPr="00351B3C">
        <w:rPr>
          <w:rFonts w:ascii="Open Sans" w:hAnsi="Open Sans" w:cs="Open Sans"/>
          <w:sz w:val="20"/>
          <w:szCs w:val="20"/>
        </w:rPr>
        <w:t xml:space="preserve">and </w:t>
      </w:r>
      <w:r w:rsidR="001223F0" w:rsidRPr="00351B3C">
        <w:rPr>
          <w:rFonts w:ascii="Open Sans" w:hAnsi="Open Sans" w:cs="Open Sans"/>
          <w:sz w:val="20"/>
          <w:szCs w:val="20"/>
        </w:rPr>
        <w:t xml:space="preserve">future projects are driven by </w:t>
      </w:r>
      <w:r w:rsidR="003D55A0" w:rsidRPr="00351B3C">
        <w:rPr>
          <w:rFonts w:ascii="Open Sans" w:hAnsi="Open Sans" w:cs="Open Sans"/>
          <w:sz w:val="20"/>
          <w:szCs w:val="20"/>
        </w:rPr>
        <w:t xml:space="preserve">economic efficiencies. </w:t>
      </w:r>
      <w:r w:rsidR="00A55234" w:rsidRPr="00351B3C">
        <w:rPr>
          <w:rFonts w:ascii="Open Sans" w:hAnsi="Open Sans" w:cs="Open Sans"/>
          <w:sz w:val="20"/>
          <w:szCs w:val="20"/>
        </w:rPr>
        <w:t>However,</w:t>
      </w:r>
      <w:r w:rsidR="003D55A0" w:rsidRPr="00351B3C">
        <w:rPr>
          <w:rFonts w:ascii="Open Sans" w:hAnsi="Open Sans" w:cs="Open Sans"/>
          <w:sz w:val="20"/>
          <w:szCs w:val="20"/>
        </w:rPr>
        <w:t xml:space="preserve"> there are</w:t>
      </w:r>
      <w:r w:rsidR="000C0655" w:rsidRPr="00351B3C">
        <w:rPr>
          <w:rFonts w:ascii="Open Sans" w:hAnsi="Open Sans" w:cs="Open Sans"/>
          <w:sz w:val="20"/>
          <w:szCs w:val="20"/>
        </w:rPr>
        <w:t xml:space="preserve"> concern</w:t>
      </w:r>
      <w:r w:rsidR="003D55A0" w:rsidRPr="00351B3C">
        <w:rPr>
          <w:rFonts w:ascii="Open Sans" w:hAnsi="Open Sans" w:cs="Open Sans"/>
          <w:sz w:val="20"/>
          <w:szCs w:val="20"/>
        </w:rPr>
        <w:t>s</w:t>
      </w:r>
      <w:r w:rsidR="000C0655" w:rsidRPr="00351B3C">
        <w:rPr>
          <w:rFonts w:ascii="Open Sans" w:hAnsi="Open Sans" w:cs="Open Sans"/>
          <w:sz w:val="20"/>
          <w:szCs w:val="20"/>
        </w:rPr>
        <w:t xml:space="preserve"> that one </w:t>
      </w:r>
      <w:r w:rsidR="00C951E9" w:rsidRPr="00351B3C">
        <w:rPr>
          <w:rFonts w:ascii="Open Sans" w:hAnsi="Open Sans" w:cs="Open Sans"/>
          <w:sz w:val="20"/>
          <w:szCs w:val="20"/>
        </w:rPr>
        <w:t xml:space="preserve">objective </w:t>
      </w:r>
      <w:r w:rsidR="000C0655" w:rsidRPr="00351B3C">
        <w:rPr>
          <w:rFonts w:ascii="Open Sans" w:hAnsi="Open Sans" w:cs="Open Sans"/>
          <w:sz w:val="20"/>
          <w:szCs w:val="20"/>
        </w:rPr>
        <w:t xml:space="preserve">could be counterproductive to the other. </w:t>
      </w:r>
    </w:p>
    <w:p w14:paraId="52C22CCE" w14:textId="197E3F57" w:rsidR="00C1794D" w:rsidRPr="00351B3C" w:rsidRDefault="00A26708" w:rsidP="00DE228D">
      <w:pPr>
        <w:rPr>
          <w:rFonts w:ascii="Open Sans" w:hAnsi="Open Sans" w:cs="Open Sans"/>
          <w:sz w:val="20"/>
          <w:szCs w:val="20"/>
        </w:rPr>
      </w:pPr>
      <w:r>
        <w:rPr>
          <w:rFonts w:ascii="Open Sans" w:hAnsi="Open Sans" w:cs="Open Sans"/>
          <w:sz w:val="20"/>
          <w:szCs w:val="20"/>
        </w:rPr>
        <w:t xml:space="preserve">The REA acknowledges that </w:t>
      </w:r>
      <w:r w:rsidR="00B33552" w:rsidRPr="00351B3C">
        <w:rPr>
          <w:rFonts w:ascii="Open Sans" w:hAnsi="Open Sans" w:cs="Open Sans"/>
          <w:sz w:val="20"/>
          <w:szCs w:val="20"/>
        </w:rPr>
        <w:t>cost reductions must be sought</w:t>
      </w:r>
      <w:r>
        <w:rPr>
          <w:rFonts w:ascii="Open Sans" w:hAnsi="Open Sans" w:cs="Open Sans"/>
          <w:sz w:val="20"/>
          <w:szCs w:val="20"/>
        </w:rPr>
        <w:t>,</w:t>
      </w:r>
      <w:r w:rsidR="00B33552" w:rsidRPr="00351B3C">
        <w:rPr>
          <w:rFonts w:ascii="Open Sans" w:hAnsi="Open Sans" w:cs="Open Sans"/>
          <w:sz w:val="20"/>
          <w:szCs w:val="20"/>
        </w:rPr>
        <w:t xml:space="preserve"> where possible</w:t>
      </w:r>
      <w:r>
        <w:rPr>
          <w:rFonts w:ascii="Open Sans" w:hAnsi="Open Sans" w:cs="Open Sans"/>
          <w:sz w:val="20"/>
          <w:szCs w:val="20"/>
        </w:rPr>
        <w:t>,</w:t>
      </w:r>
      <w:r w:rsidR="00B33552" w:rsidRPr="00351B3C">
        <w:rPr>
          <w:rFonts w:ascii="Open Sans" w:hAnsi="Open Sans" w:cs="Open Sans"/>
          <w:sz w:val="20"/>
          <w:szCs w:val="20"/>
        </w:rPr>
        <w:t xml:space="preserve"> to provide value for money and therefore is considered the right direction of travel</w:t>
      </w:r>
      <w:r w:rsidR="0056430A">
        <w:rPr>
          <w:rFonts w:ascii="Open Sans" w:hAnsi="Open Sans" w:cs="Open Sans"/>
          <w:sz w:val="20"/>
          <w:szCs w:val="20"/>
        </w:rPr>
        <w:t xml:space="preserve">. However, </w:t>
      </w:r>
      <w:r w:rsidR="00B33552" w:rsidRPr="00351B3C">
        <w:rPr>
          <w:rFonts w:ascii="Open Sans" w:hAnsi="Open Sans" w:cs="Open Sans"/>
          <w:sz w:val="20"/>
          <w:szCs w:val="20"/>
        </w:rPr>
        <w:t>there are concerns about this being required so early in the process</w:t>
      </w:r>
      <w:r w:rsidR="004A707D" w:rsidRPr="00351B3C">
        <w:rPr>
          <w:rFonts w:ascii="Open Sans" w:hAnsi="Open Sans" w:cs="Open Sans"/>
          <w:sz w:val="20"/>
          <w:szCs w:val="20"/>
        </w:rPr>
        <w:t xml:space="preserve">. </w:t>
      </w:r>
      <w:r w:rsidR="00C85D7C" w:rsidRPr="00351B3C">
        <w:rPr>
          <w:rFonts w:ascii="Open Sans" w:hAnsi="Open Sans" w:cs="Open Sans"/>
          <w:sz w:val="20"/>
          <w:szCs w:val="20"/>
        </w:rPr>
        <w:t>A</w:t>
      </w:r>
      <w:r w:rsidR="00C85D7C">
        <w:rPr>
          <w:rFonts w:ascii="Open Sans" w:hAnsi="Open Sans" w:cs="Open Sans"/>
          <w:sz w:val="20"/>
          <w:szCs w:val="20"/>
        </w:rPr>
        <w:t>dditionally,</w:t>
      </w:r>
      <w:r w:rsidR="0056430A">
        <w:rPr>
          <w:rFonts w:ascii="Open Sans" w:hAnsi="Open Sans" w:cs="Open Sans"/>
          <w:sz w:val="20"/>
          <w:szCs w:val="20"/>
        </w:rPr>
        <w:t xml:space="preserve"> </w:t>
      </w:r>
      <w:r w:rsidR="00C85D7C">
        <w:rPr>
          <w:rFonts w:ascii="Open Sans" w:hAnsi="Open Sans" w:cs="Open Sans"/>
          <w:sz w:val="20"/>
          <w:szCs w:val="20"/>
        </w:rPr>
        <w:t xml:space="preserve">the </w:t>
      </w:r>
      <w:r w:rsidR="004E33EC" w:rsidRPr="00351B3C">
        <w:rPr>
          <w:rFonts w:ascii="Open Sans" w:hAnsi="Open Sans" w:cs="Open Sans"/>
          <w:sz w:val="20"/>
          <w:szCs w:val="20"/>
        </w:rPr>
        <w:t xml:space="preserve">other primary </w:t>
      </w:r>
      <w:r w:rsidR="00995171" w:rsidRPr="00351B3C">
        <w:rPr>
          <w:rFonts w:ascii="Open Sans" w:hAnsi="Open Sans" w:cs="Open Sans"/>
          <w:sz w:val="20"/>
          <w:szCs w:val="20"/>
        </w:rPr>
        <w:t>objective,</w:t>
      </w:r>
      <w:r w:rsidR="004E33EC" w:rsidRPr="00351B3C">
        <w:rPr>
          <w:rFonts w:ascii="Open Sans" w:hAnsi="Open Sans" w:cs="Open Sans"/>
          <w:sz w:val="20"/>
          <w:szCs w:val="20"/>
        </w:rPr>
        <w:t xml:space="preserve"> deployment a</w:t>
      </w:r>
      <w:r w:rsidR="004A5B13" w:rsidRPr="00351B3C">
        <w:rPr>
          <w:rFonts w:ascii="Open Sans" w:hAnsi="Open Sans" w:cs="Open Sans"/>
          <w:sz w:val="20"/>
          <w:szCs w:val="20"/>
        </w:rPr>
        <w:t>t</w:t>
      </w:r>
      <w:r w:rsidR="004E33EC" w:rsidRPr="00351B3C">
        <w:rPr>
          <w:rFonts w:ascii="Open Sans" w:hAnsi="Open Sans" w:cs="Open Sans"/>
          <w:sz w:val="20"/>
          <w:szCs w:val="20"/>
        </w:rPr>
        <w:t xml:space="preserve"> scale</w:t>
      </w:r>
      <w:r w:rsidR="00C85D7C">
        <w:rPr>
          <w:rFonts w:ascii="Open Sans" w:hAnsi="Open Sans" w:cs="Open Sans"/>
          <w:sz w:val="20"/>
          <w:szCs w:val="20"/>
        </w:rPr>
        <w:t>,</w:t>
      </w:r>
      <w:r w:rsidR="004E33EC" w:rsidRPr="00351B3C">
        <w:rPr>
          <w:rFonts w:ascii="Open Sans" w:hAnsi="Open Sans" w:cs="Open Sans"/>
          <w:sz w:val="20"/>
          <w:szCs w:val="20"/>
        </w:rPr>
        <w:t xml:space="preserve"> </w:t>
      </w:r>
      <w:r w:rsidR="00C6798F">
        <w:rPr>
          <w:rFonts w:ascii="Open Sans" w:hAnsi="Open Sans" w:cs="Open Sans"/>
          <w:sz w:val="20"/>
          <w:szCs w:val="20"/>
        </w:rPr>
        <w:t>is</w:t>
      </w:r>
      <w:r w:rsidR="00AC33A1" w:rsidRPr="00351B3C">
        <w:rPr>
          <w:rFonts w:ascii="Open Sans" w:hAnsi="Open Sans" w:cs="Open Sans"/>
          <w:sz w:val="20"/>
          <w:szCs w:val="20"/>
        </w:rPr>
        <w:t xml:space="preserve"> focussed on scaling up specific projects </w:t>
      </w:r>
      <w:r w:rsidR="002066B5">
        <w:rPr>
          <w:rFonts w:ascii="Open Sans" w:hAnsi="Open Sans" w:cs="Open Sans"/>
          <w:sz w:val="20"/>
          <w:szCs w:val="20"/>
        </w:rPr>
        <w:t xml:space="preserve">(larger individual projects) </w:t>
      </w:r>
      <w:r w:rsidR="00445039" w:rsidRPr="00351B3C">
        <w:rPr>
          <w:rFonts w:ascii="Open Sans" w:hAnsi="Open Sans" w:cs="Open Sans"/>
          <w:sz w:val="20"/>
          <w:szCs w:val="20"/>
        </w:rPr>
        <w:t xml:space="preserve">rather </w:t>
      </w:r>
      <w:r w:rsidR="00445039" w:rsidRPr="00351B3C">
        <w:rPr>
          <w:rFonts w:ascii="Open Sans" w:hAnsi="Open Sans" w:cs="Open Sans"/>
          <w:sz w:val="20"/>
          <w:szCs w:val="20"/>
        </w:rPr>
        <w:lastRenderedPageBreak/>
        <w:t xml:space="preserve">than providing a scaleup on the </w:t>
      </w:r>
      <w:r w:rsidR="00DD463A" w:rsidRPr="00351B3C">
        <w:rPr>
          <w:rFonts w:ascii="Open Sans" w:hAnsi="Open Sans" w:cs="Open Sans"/>
          <w:sz w:val="20"/>
          <w:szCs w:val="20"/>
        </w:rPr>
        <w:t>number</w:t>
      </w:r>
      <w:r w:rsidR="00445039" w:rsidRPr="00351B3C">
        <w:rPr>
          <w:rFonts w:ascii="Open Sans" w:hAnsi="Open Sans" w:cs="Open Sans"/>
          <w:sz w:val="20"/>
          <w:szCs w:val="20"/>
        </w:rPr>
        <w:t xml:space="preserve"> of projects. </w:t>
      </w:r>
      <w:r w:rsidR="002066B5">
        <w:rPr>
          <w:rFonts w:ascii="Open Sans" w:hAnsi="Open Sans" w:cs="Open Sans"/>
          <w:sz w:val="20"/>
          <w:szCs w:val="20"/>
        </w:rPr>
        <w:t xml:space="preserve">We agree </w:t>
      </w:r>
      <w:r w:rsidR="00DD463A" w:rsidRPr="00351B3C">
        <w:rPr>
          <w:rFonts w:ascii="Open Sans" w:hAnsi="Open Sans" w:cs="Open Sans"/>
          <w:sz w:val="20"/>
          <w:szCs w:val="20"/>
        </w:rPr>
        <w:t xml:space="preserve">this would </w:t>
      </w:r>
      <w:r w:rsidR="008A7D03">
        <w:rPr>
          <w:rFonts w:ascii="Open Sans" w:hAnsi="Open Sans" w:cs="Open Sans"/>
          <w:sz w:val="20"/>
          <w:szCs w:val="20"/>
        </w:rPr>
        <w:t xml:space="preserve">help </w:t>
      </w:r>
      <w:r w:rsidR="00DD463A" w:rsidRPr="00351B3C">
        <w:rPr>
          <w:rFonts w:ascii="Open Sans" w:hAnsi="Open Sans" w:cs="Open Sans"/>
          <w:sz w:val="20"/>
          <w:szCs w:val="20"/>
        </w:rPr>
        <w:t>achiev</w:t>
      </w:r>
      <w:r w:rsidR="008A7D03">
        <w:rPr>
          <w:rFonts w:ascii="Open Sans" w:hAnsi="Open Sans" w:cs="Open Sans"/>
          <w:sz w:val="20"/>
          <w:szCs w:val="20"/>
        </w:rPr>
        <w:t>e</w:t>
      </w:r>
      <w:r w:rsidR="00DD463A" w:rsidRPr="00351B3C">
        <w:rPr>
          <w:rFonts w:ascii="Open Sans" w:hAnsi="Open Sans" w:cs="Open Sans"/>
          <w:sz w:val="20"/>
          <w:szCs w:val="20"/>
        </w:rPr>
        <w:t xml:space="preserve"> the </w:t>
      </w:r>
      <w:r w:rsidR="00A83FA0">
        <w:rPr>
          <w:rFonts w:ascii="Open Sans" w:hAnsi="Open Sans" w:cs="Open Sans"/>
          <w:sz w:val="20"/>
          <w:szCs w:val="20"/>
        </w:rPr>
        <w:t xml:space="preserve">10GW </w:t>
      </w:r>
      <w:r w:rsidR="009D755A">
        <w:rPr>
          <w:rFonts w:ascii="Open Sans" w:hAnsi="Open Sans" w:cs="Open Sans"/>
          <w:sz w:val="20"/>
          <w:szCs w:val="20"/>
        </w:rPr>
        <w:t>target of low carbon hydrogen by 2030</w:t>
      </w:r>
      <w:r w:rsidR="00D6325D">
        <w:rPr>
          <w:rFonts w:ascii="Open Sans" w:hAnsi="Open Sans" w:cs="Open Sans"/>
          <w:sz w:val="20"/>
          <w:szCs w:val="20"/>
        </w:rPr>
        <w:t xml:space="preserve"> </w:t>
      </w:r>
      <w:r w:rsidR="00DD463A" w:rsidRPr="00351B3C">
        <w:rPr>
          <w:rFonts w:ascii="Open Sans" w:hAnsi="Open Sans" w:cs="Open Sans"/>
          <w:sz w:val="20"/>
          <w:szCs w:val="20"/>
        </w:rPr>
        <w:t xml:space="preserve">target </w:t>
      </w:r>
      <w:r w:rsidR="009E2421" w:rsidRPr="00351B3C">
        <w:rPr>
          <w:rFonts w:ascii="Open Sans" w:hAnsi="Open Sans" w:cs="Open Sans"/>
          <w:sz w:val="20"/>
          <w:szCs w:val="20"/>
        </w:rPr>
        <w:t xml:space="preserve">but </w:t>
      </w:r>
      <w:r w:rsidR="00CD34AA" w:rsidRPr="00351B3C">
        <w:rPr>
          <w:rFonts w:ascii="Open Sans" w:hAnsi="Open Sans" w:cs="Open Sans"/>
          <w:sz w:val="20"/>
          <w:szCs w:val="20"/>
        </w:rPr>
        <w:t xml:space="preserve">may not be </w:t>
      </w:r>
      <w:r w:rsidR="009E7636" w:rsidRPr="00351B3C">
        <w:rPr>
          <w:rFonts w:ascii="Open Sans" w:hAnsi="Open Sans" w:cs="Open Sans"/>
          <w:sz w:val="20"/>
          <w:szCs w:val="20"/>
        </w:rPr>
        <w:t xml:space="preserve">possible to get a quick and guaranteed roll out. </w:t>
      </w:r>
      <w:r w:rsidR="00445039" w:rsidRPr="00351B3C">
        <w:rPr>
          <w:rFonts w:ascii="Open Sans" w:hAnsi="Open Sans" w:cs="Open Sans"/>
          <w:sz w:val="20"/>
          <w:szCs w:val="20"/>
        </w:rPr>
        <w:t xml:space="preserve">And this is where the </w:t>
      </w:r>
      <w:r w:rsidR="00995171" w:rsidRPr="00351B3C">
        <w:rPr>
          <w:rFonts w:ascii="Open Sans" w:hAnsi="Open Sans" w:cs="Open Sans"/>
          <w:sz w:val="20"/>
          <w:szCs w:val="20"/>
        </w:rPr>
        <w:t>broader o</w:t>
      </w:r>
      <w:r w:rsidR="00391CEF" w:rsidRPr="00351B3C">
        <w:rPr>
          <w:rFonts w:ascii="Open Sans" w:hAnsi="Open Sans" w:cs="Open Sans"/>
          <w:sz w:val="20"/>
          <w:szCs w:val="20"/>
        </w:rPr>
        <w:t>utcomes</w:t>
      </w:r>
      <w:r w:rsidR="00995171" w:rsidRPr="00351B3C">
        <w:rPr>
          <w:rFonts w:ascii="Open Sans" w:hAnsi="Open Sans" w:cs="Open Sans"/>
          <w:sz w:val="20"/>
          <w:szCs w:val="20"/>
        </w:rPr>
        <w:t xml:space="preserve"> </w:t>
      </w:r>
      <w:r w:rsidR="0070065E" w:rsidRPr="00351B3C">
        <w:rPr>
          <w:rFonts w:ascii="Open Sans" w:hAnsi="Open Sans" w:cs="Open Sans"/>
          <w:sz w:val="20"/>
          <w:szCs w:val="20"/>
        </w:rPr>
        <w:t xml:space="preserve">of harnessing the electricity system, </w:t>
      </w:r>
      <w:r w:rsidR="005919CA" w:rsidRPr="00351B3C">
        <w:rPr>
          <w:rFonts w:ascii="Open Sans" w:hAnsi="Open Sans" w:cs="Open Sans"/>
          <w:sz w:val="20"/>
          <w:szCs w:val="20"/>
        </w:rPr>
        <w:t xml:space="preserve">economic </w:t>
      </w:r>
      <w:r w:rsidR="00587459" w:rsidRPr="00351B3C">
        <w:rPr>
          <w:rFonts w:ascii="Open Sans" w:hAnsi="Open Sans" w:cs="Open Sans"/>
          <w:sz w:val="20"/>
          <w:szCs w:val="20"/>
        </w:rPr>
        <w:t>benefits</w:t>
      </w:r>
      <w:r w:rsidR="00390297" w:rsidRPr="00351B3C">
        <w:rPr>
          <w:rFonts w:ascii="Open Sans" w:hAnsi="Open Sans" w:cs="Open Sans"/>
          <w:sz w:val="20"/>
          <w:szCs w:val="20"/>
        </w:rPr>
        <w:t>;</w:t>
      </w:r>
      <w:r w:rsidR="005919CA" w:rsidRPr="00351B3C">
        <w:rPr>
          <w:rFonts w:ascii="Open Sans" w:hAnsi="Open Sans" w:cs="Open Sans"/>
          <w:sz w:val="20"/>
          <w:szCs w:val="20"/>
        </w:rPr>
        <w:t xml:space="preserve"> supply chain </w:t>
      </w:r>
      <w:r w:rsidR="00587459" w:rsidRPr="00351B3C">
        <w:rPr>
          <w:rFonts w:ascii="Open Sans" w:hAnsi="Open Sans" w:cs="Open Sans"/>
          <w:sz w:val="20"/>
          <w:szCs w:val="20"/>
        </w:rPr>
        <w:t>development</w:t>
      </w:r>
      <w:r w:rsidR="005919CA" w:rsidRPr="00351B3C">
        <w:rPr>
          <w:rFonts w:ascii="Open Sans" w:hAnsi="Open Sans" w:cs="Open Sans"/>
          <w:sz w:val="20"/>
          <w:szCs w:val="20"/>
        </w:rPr>
        <w:t xml:space="preserve"> and security of </w:t>
      </w:r>
      <w:r w:rsidR="00587459" w:rsidRPr="00351B3C">
        <w:rPr>
          <w:rFonts w:ascii="Open Sans" w:hAnsi="Open Sans" w:cs="Open Sans"/>
          <w:sz w:val="20"/>
          <w:szCs w:val="20"/>
        </w:rPr>
        <w:t xml:space="preserve">supply of hydrogen </w:t>
      </w:r>
      <w:r w:rsidR="00995171" w:rsidRPr="00351B3C">
        <w:rPr>
          <w:rFonts w:ascii="Open Sans" w:hAnsi="Open Sans" w:cs="Open Sans"/>
          <w:sz w:val="20"/>
          <w:szCs w:val="20"/>
        </w:rPr>
        <w:t xml:space="preserve">help to provide additional space for the whole system to grow more naturally. </w:t>
      </w:r>
    </w:p>
    <w:p w14:paraId="41BFB21D" w14:textId="21BD3E56" w:rsidR="00EF05F6" w:rsidRPr="00351B3C" w:rsidRDefault="00D6325D" w:rsidP="00DE228D">
      <w:pPr>
        <w:rPr>
          <w:rFonts w:ascii="Open Sans" w:hAnsi="Open Sans" w:cs="Open Sans"/>
          <w:sz w:val="20"/>
          <w:szCs w:val="20"/>
        </w:rPr>
      </w:pPr>
      <w:r>
        <w:rPr>
          <w:rFonts w:ascii="Open Sans" w:hAnsi="Open Sans" w:cs="Open Sans"/>
          <w:sz w:val="20"/>
          <w:szCs w:val="20"/>
        </w:rPr>
        <w:t>It may be b</w:t>
      </w:r>
      <w:r w:rsidR="005C7A57" w:rsidRPr="00351B3C">
        <w:rPr>
          <w:rFonts w:ascii="Open Sans" w:hAnsi="Open Sans" w:cs="Open Sans"/>
          <w:sz w:val="20"/>
          <w:szCs w:val="20"/>
        </w:rPr>
        <w:t xml:space="preserve">etter to </w:t>
      </w:r>
      <w:r w:rsidR="0069177B" w:rsidRPr="00351B3C">
        <w:rPr>
          <w:rFonts w:ascii="Open Sans" w:hAnsi="Open Sans" w:cs="Open Sans"/>
          <w:sz w:val="20"/>
          <w:szCs w:val="20"/>
        </w:rPr>
        <w:t xml:space="preserve">have </w:t>
      </w:r>
      <w:r w:rsidR="005C7A57" w:rsidRPr="00351B3C">
        <w:rPr>
          <w:rFonts w:ascii="Open Sans" w:hAnsi="Open Sans" w:cs="Open Sans"/>
          <w:sz w:val="20"/>
          <w:szCs w:val="20"/>
        </w:rPr>
        <w:t xml:space="preserve">a more strategic </w:t>
      </w:r>
      <w:r>
        <w:rPr>
          <w:rFonts w:ascii="Open Sans" w:hAnsi="Open Sans" w:cs="Open Sans"/>
          <w:sz w:val="20"/>
          <w:szCs w:val="20"/>
        </w:rPr>
        <w:t>objective</w:t>
      </w:r>
      <w:r w:rsidR="003F09E8" w:rsidRPr="00351B3C">
        <w:rPr>
          <w:rFonts w:ascii="Open Sans" w:hAnsi="Open Sans" w:cs="Open Sans"/>
          <w:sz w:val="20"/>
          <w:szCs w:val="20"/>
        </w:rPr>
        <w:t>,</w:t>
      </w:r>
      <w:r w:rsidR="00F5796A" w:rsidRPr="00351B3C">
        <w:rPr>
          <w:rFonts w:ascii="Open Sans" w:hAnsi="Open Sans" w:cs="Open Sans"/>
          <w:sz w:val="20"/>
          <w:szCs w:val="20"/>
        </w:rPr>
        <w:t xml:space="preserve"> ensuring the system </w:t>
      </w:r>
      <w:r w:rsidR="00CB36B4">
        <w:rPr>
          <w:rFonts w:ascii="Open Sans" w:hAnsi="Open Sans" w:cs="Open Sans"/>
          <w:sz w:val="20"/>
          <w:szCs w:val="20"/>
        </w:rPr>
        <w:t>of hydrogen</w:t>
      </w:r>
      <w:r w:rsidR="000D6C42" w:rsidRPr="00351B3C">
        <w:rPr>
          <w:rFonts w:ascii="Open Sans" w:hAnsi="Open Sans" w:cs="Open Sans"/>
          <w:sz w:val="20"/>
          <w:szCs w:val="20"/>
        </w:rPr>
        <w:t xml:space="preserve"> production can be effectively </w:t>
      </w:r>
      <w:r w:rsidR="008E2E25" w:rsidRPr="00351B3C">
        <w:rPr>
          <w:rFonts w:ascii="Open Sans" w:hAnsi="Open Sans" w:cs="Open Sans"/>
          <w:sz w:val="20"/>
          <w:szCs w:val="20"/>
        </w:rPr>
        <w:t>produced</w:t>
      </w:r>
      <w:r w:rsidR="000D6C42" w:rsidRPr="00351B3C">
        <w:rPr>
          <w:rFonts w:ascii="Open Sans" w:hAnsi="Open Sans" w:cs="Open Sans"/>
          <w:sz w:val="20"/>
          <w:szCs w:val="20"/>
        </w:rPr>
        <w:t xml:space="preserve">, </w:t>
      </w:r>
      <w:r w:rsidR="00B82A77" w:rsidRPr="00351B3C">
        <w:rPr>
          <w:rFonts w:ascii="Open Sans" w:hAnsi="Open Sans" w:cs="Open Sans"/>
          <w:sz w:val="20"/>
          <w:szCs w:val="20"/>
        </w:rPr>
        <w:t>maintained,</w:t>
      </w:r>
      <w:r w:rsidR="000D6C42" w:rsidRPr="00351B3C">
        <w:rPr>
          <w:rFonts w:ascii="Open Sans" w:hAnsi="Open Sans" w:cs="Open Sans"/>
          <w:sz w:val="20"/>
          <w:szCs w:val="20"/>
        </w:rPr>
        <w:t xml:space="preserve"> and </w:t>
      </w:r>
      <w:r w:rsidR="00933A3F" w:rsidRPr="00351B3C">
        <w:rPr>
          <w:rFonts w:ascii="Open Sans" w:hAnsi="Open Sans" w:cs="Open Sans"/>
          <w:sz w:val="20"/>
          <w:szCs w:val="20"/>
        </w:rPr>
        <w:t xml:space="preserve">delivered to end users as effectively as possible before trying to </w:t>
      </w:r>
      <w:r w:rsidR="00BB1589" w:rsidRPr="00351B3C">
        <w:rPr>
          <w:rFonts w:ascii="Open Sans" w:hAnsi="Open Sans" w:cs="Open Sans"/>
          <w:sz w:val="20"/>
          <w:szCs w:val="20"/>
        </w:rPr>
        <w:t>focus on larger scale projects and costs efficienc</w:t>
      </w:r>
      <w:r w:rsidR="00B82A77">
        <w:rPr>
          <w:rFonts w:ascii="Open Sans" w:hAnsi="Open Sans" w:cs="Open Sans"/>
          <w:sz w:val="20"/>
          <w:szCs w:val="20"/>
        </w:rPr>
        <w:t>ies</w:t>
      </w:r>
      <w:r w:rsidR="00BB1589" w:rsidRPr="00351B3C">
        <w:rPr>
          <w:rFonts w:ascii="Open Sans" w:hAnsi="Open Sans" w:cs="Open Sans"/>
          <w:sz w:val="20"/>
          <w:szCs w:val="20"/>
        </w:rPr>
        <w:t xml:space="preserve">. </w:t>
      </w:r>
      <w:r w:rsidR="00435679" w:rsidRPr="00351B3C">
        <w:rPr>
          <w:rFonts w:ascii="Open Sans" w:hAnsi="Open Sans" w:cs="Open Sans"/>
          <w:sz w:val="20"/>
          <w:szCs w:val="20"/>
        </w:rPr>
        <w:t>T</w:t>
      </w:r>
      <w:r w:rsidR="00902322" w:rsidRPr="00351B3C">
        <w:rPr>
          <w:rFonts w:ascii="Open Sans" w:hAnsi="Open Sans" w:cs="Open Sans"/>
          <w:sz w:val="20"/>
          <w:szCs w:val="20"/>
        </w:rPr>
        <w:t xml:space="preserve">he awards for </w:t>
      </w:r>
      <w:r w:rsidR="00C23FBC" w:rsidRPr="00351B3C">
        <w:rPr>
          <w:rFonts w:ascii="Open Sans" w:hAnsi="Open Sans" w:cs="Open Sans"/>
          <w:sz w:val="20"/>
          <w:szCs w:val="20"/>
        </w:rPr>
        <w:t>projects</w:t>
      </w:r>
      <w:r w:rsidR="00902322" w:rsidRPr="00351B3C">
        <w:rPr>
          <w:rFonts w:ascii="Open Sans" w:hAnsi="Open Sans" w:cs="Open Sans"/>
          <w:sz w:val="20"/>
          <w:szCs w:val="20"/>
        </w:rPr>
        <w:t xml:space="preserve"> in the HAR1 </w:t>
      </w:r>
      <w:r w:rsidR="00C23FBC" w:rsidRPr="00351B3C">
        <w:rPr>
          <w:rFonts w:ascii="Open Sans" w:hAnsi="Open Sans" w:cs="Open Sans"/>
          <w:sz w:val="20"/>
          <w:szCs w:val="20"/>
        </w:rPr>
        <w:t xml:space="preserve">round have yet to be finalised </w:t>
      </w:r>
      <w:r w:rsidR="006216DE" w:rsidRPr="00351B3C">
        <w:rPr>
          <w:rFonts w:ascii="Open Sans" w:hAnsi="Open Sans" w:cs="Open Sans"/>
          <w:sz w:val="20"/>
          <w:szCs w:val="20"/>
        </w:rPr>
        <w:t>so</w:t>
      </w:r>
      <w:r w:rsidR="00C17E5D" w:rsidRPr="00351B3C">
        <w:rPr>
          <w:rFonts w:ascii="Open Sans" w:hAnsi="Open Sans" w:cs="Open Sans"/>
          <w:sz w:val="20"/>
          <w:szCs w:val="20"/>
        </w:rPr>
        <w:t xml:space="preserve"> </w:t>
      </w:r>
      <w:r w:rsidR="00C23FBC" w:rsidRPr="00351B3C">
        <w:rPr>
          <w:rFonts w:ascii="Open Sans" w:hAnsi="Open Sans" w:cs="Open Sans"/>
          <w:sz w:val="20"/>
          <w:szCs w:val="20"/>
        </w:rPr>
        <w:t xml:space="preserve">deployment </w:t>
      </w:r>
      <w:r w:rsidR="006216DE" w:rsidRPr="00351B3C">
        <w:rPr>
          <w:rFonts w:ascii="Open Sans" w:hAnsi="Open Sans" w:cs="Open Sans"/>
          <w:sz w:val="20"/>
          <w:szCs w:val="20"/>
        </w:rPr>
        <w:t xml:space="preserve">has </w:t>
      </w:r>
      <w:r w:rsidR="00C23FBC" w:rsidRPr="00351B3C">
        <w:rPr>
          <w:rFonts w:ascii="Open Sans" w:hAnsi="Open Sans" w:cs="Open Sans"/>
          <w:sz w:val="20"/>
          <w:szCs w:val="20"/>
        </w:rPr>
        <w:t>not yet</w:t>
      </w:r>
      <w:r w:rsidR="008A773A" w:rsidRPr="00351B3C">
        <w:rPr>
          <w:rFonts w:ascii="Open Sans" w:hAnsi="Open Sans" w:cs="Open Sans"/>
          <w:sz w:val="20"/>
          <w:szCs w:val="20"/>
        </w:rPr>
        <w:t xml:space="preserve"> </w:t>
      </w:r>
      <w:r w:rsidR="003D67D4" w:rsidRPr="00351B3C">
        <w:rPr>
          <w:rFonts w:ascii="Open Sans" w:hAnsi="Open Sans" w:cs="Open Sans"/>
          <w:sz w:val="20"/>
          <w:szCs w:val="20"/>
        </w:rPr>
        <w:t>started,</w:t>
      </w:r>
      <w:r w:rsidR="00EF6B7C">
        <w:rPr>
          <w:rFonts w:ascii="Open Sans" w:hAnsi="Open Sans" w:cs="Open Sans"/>
          <w:sz w:val="20"/>
          <w:szCs w:val="20"/>
        </w:rPr>
        <w:t xml:space="preserve"> and this process would act as a</w:t>
      </w:r>
      <w:r w:rsidR="006B04D8">
        <w:rPr>
          <w:rFonts w:ascii="Open Sans" w:hAnsi="Open Sans" w:cs="Open Sans"/>
          <w:sz w:val="20"/>
          <w:szCs w:val="20"/>
        </w:rPr>
        <w:t xml:space="preserve"> good baseline to help understand where cost benefits can be made as well as </w:t>
      </w:r>
      <w:r w:rsidR="00F86744">
        <w:rPr>
          <w:rFonts w:ascii="Open Sans" w:hAnsi="Open Sans" w:cs="Open Sans"/>
          <w:sz w:val="20"/>
          <w:szCs w:val="20"/>
        </w:rPr>
        <w:t xml:space="preserve">aid market confidence. </w:t>
      </w:r>
      <w:r w:rsidR="009F098D" w:rsidRPr="00351B3C">
        <w:rPr>
          <w:rFonts w:ascii="Open Sans" w:hAnsi="Open Sans" w:cs="Open Sans"/>
          <w:sz w:val="20"/>
          <w:szCs w:val="20"/>
        </w:rPr>
        <w:t xml:space="preserve"> </w:t>
      </w:r>
    </w:p>
    <w:p w14:paraId="2B8A368B" w14:textId="77777777"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2. To what extent, and how, should a hydrogen allocation mechanism be designed to support the primary objectives and broader outcomes as set out in Chapter 2? </w:t>
      </w:r>
    </w:p>
    <w:p w14:paraId="0D762BA0" w14:textId="57AA0B4D" w:rsidR="002C4E12" w:rsidRPr="00517675" w:rsidRDefault="000E6E0C" w:rsidP="00B8535D">
      <w:pPr>
        <w:rPr>
          <w:rFonts w:ascii="Open Sans" w:hAnsi="Open Sans" w:cs="Open Sans"/>
          <w:sz w:val="20"/>
          <w:szCs w:val="20"/>
        </w:rPr>
      </w:pPr>
      <w:r w:rsidRPr="00517675">
        <w:rPr>
          <w:rFonts w:ascii="Open Sans" w:hAnsi="Open Sans" w:cs="Open Sans"/>
          <w:sz w:val="20"/>
          <w:szCs w:val="20"/>
        </w:rPr>
        <w:t>Although there is support for the</w:t>
      </w:r>
      <w:r w:rsidR="00812090" w:rsidRPr="00517675">
        <w:rPr>
          <w:rFonts w:ascii="Open Sans" w:hAnsi="Open Sans" w:cs="Open Sans"/>
          <w:sz w:val="20"/>
          <w:szCs w:val="20"/>
        </w:rPr>
        <w:t xml:space="preserve"> primary</w:t>
      </w:r>
      <w:r w:rsidRPr="00517675">
        <w:rPr>
          <w:rFonts w:ascii="Open Sans" w:hAnsi="Open Sans" w:cs="Open Sans"/>
          <w:sz w:val="20"/>
          <w:szCs w:val="20"/>
        </w:rPr>
        <w:t xml:space="preserve"> objectives</w:t>
      </w:r>
      <w:r w:rsidR="00391CEF" w:rsidRPr="00517675">
        <w:rPr>
          <w:rFonts w:ascii="Open Sans" w:hAnsi="Open Sans" w:cs="Open Sans"/>
          <w:sz w:val="20"/>
          <w:szCs w:val="20"/>
        </w:rPr>
        <w:t xml:space="preserve"> and boarder outcomes,</w:t>
      </w:r>
      <w:r w:rsidRPr="00517675">
        <w:rPr>
          <w:rFonts w:ascii="Open Sans" w:hAnsi="Open Sans" w:cs="Open Sans"/>
          <w:sz w:val="20"/>
          <w:szCs w:val="20"/>
        </w:rPr>
        <w:t xml:space="preserve"> </w:t>
      </w:r>
      <w:r w:rsidR="00AD5489" w:rsidRPr="00517675">
        <w:rPr>
          <w:rFonts w:ascii="Open Sans" w:hAnsi="Open Sans" w:cs="Open Sans"/>
          <w:sz w:val="20"/>
          <w:szCs w:val="20"/>
        </w:rPr>
        <w:t xml:space="preserve">applying a hydrogen allocation mechanism to meet these objectives, such as weighting decisions on meeting the objectives might </w:t>
      </w:r>
      <w:r w:rsidR="00812090" w:rsidRPr="00517675">
        <w:rPr>
          <w:rFonts w:ascii="Open Sans" w:hAnsi="Open Sans" w:cs="Open Sans"/>
          <w:sz w:val="20"/>
          <w:szCs w:val="20"/>
        </w:rPr>
        <w:t xml:space="preserve">be limiting at this early stage and might </w:t>
      </w:r>
      <w:r w:rsidR="00DC04E4" w:rsidRPr="00517675">
        <w:rPr>
          <w:rFonts w:ascii="Open Sans" w:hAnsi="Open Sans" w:cs="Open Sans"/>
          <w:sz w:val="20"/>
          <w:szCs w:val="20"/>
        </w:rPr>
        <w:t>curb</w:t>
      </w:r>
      <w:r w:rsidR="00C0028D" w:rsidRPr="00517675">
        <w:rPr>
          <w:rFonts w:ascii="Open Sans" w:hAnsi="Open Sans" w:cs="Open Sans"/>
          <w:sz w:val="20"/>
          <w:szCs w:val="20"/>
        </w:rPr>
        <w:t xml:space="preserve"> </w:t>
      </w:r>
      <w:r w:rsidR="001C1C75" w:rsidRPr="00517675">
        <w:rPr>
          <w:rFonts w:ascii="Open Sans" w:hAnsi="Open Sans" w:cs="Open Sans"/>
          <w:sz w:val="20"/>
          <w:szCs w:val="20"/>
        </w:rPr>
        <w:t xml:space="preserve">the innovation of other non-CCUS enabled technologies and alternative hydrogen pathways. The </w:t>
      </w:r>
      <w:r w:rsidR="00DE5554" w:rsidRPr="00517675">
        <w:rPr>
          <w:rFonts w:ascii="Open Sans" w:hAnsi="Open Sans" w:cs="Open Sans"/>
          <w:sz w:val="20"/>
          <w:szCs w:val="20"/>
        </w:rPr>
        <w:t>electrolysers</w:t>
      </w:r>
      <w:r w:rsidR="001C1C75" w:rsidRPr="00517675">
        <w:rPr>
          <w:rFonts w:ascii="Open Sans" w:hAnsi="Open Sans" w:cs="Open Sans"/>
          <w:sz w:val="20"/>
          <w:szCs w:val="20"/>
        </w:rPr>
        <w:t xml:space="preserve"> are further along with their </w:t>
      </w:r>
      <w:r w:rsidR="00E00271" w:rsidRPr="00517675">
        <w:rPr>
          <w:rFonts w:ascii="Open Sans" w:hAnsi="Open Sans" w:cs="Open Sans"/>
          <w:sz w:val="20"/>
          <w:szCs w:val="20"/>
        </w:rPr>
        <w:t>development,</w:t>
      </w:r>
      <w:r w:rsidR="0027758A" w:rsidRPr="00517675">
        <w:rPr>
          <w:rFonts w:ascii="Open Sans" w:hAnsi="Open Sans" w:cs="Open Sans"/>
          <w:sz w:val="20"/>
          <w:szCs w:val="20"/>
        </w:rPr>
        <w:t xml:space="preserve"> and this is in part due to </w:t>
      </w:r>
      <w:r w:rsidR="002C4E12" w:rsidRPr="00517675">
        <w:rPr>
          <w:rFonts w:ascii="Open Sans" w:hAnsi="Open Sans" w:cs="Open Sans"/>
          <w:sz w:val="20"/>
          <w:szCs w:val="20"/>
        </w:rPr>
        <w:t xml:space="preserve">prioritising the </w:t>
      </w:r>
      <w:r w:rsidR="0027758A" w:rsidRPr="00517675">
        <w:rPr>
          <w:rFonts w:ascii="Open Sans" w:hAnsi="Open Sans" w:cs="Open Sans"/>
          <w:sz w:val="20"/>
          <w:szCs w:val="20"/>
        </w:rPr>
        <w:t xml:space="preserve">allocation for these technologies within the HAR1 and </w:t>
      </w:r>
      <w:r w:rsidR="00E00271" w:rsidRPr="00517675">
        <w:rPr>
          <w:rFonts w:ascii="Open Sans" w:hAnsi="Open Sans" w:cs="Open Sans"/>
          <w:sz w:val="20"/>
          <w:szCs w:val="20"/>
        </w:rPr>
        <w:t>HAR</w:t>
      </w:r>
      <w:r w:rsidR="0027758A" w:rsidRPr="00517675">
        <w:rPr>
          <w:rFonts w:ascii="Open Sans" w:hAnsi="Open Sans" w:cs="Open Sans"/>
          <w:sz w:val="20"/>
          <w:szCs w:val="20"/>
        </w:rPr>
        <w:t xml:space="preserve">2 allocation rounds. </w:t>
      </w:r>
    </w:p>
    <w:p w14:paraId="35088F25" w14:textId="634C12EE" w:rsidR="005434C0" w:rsidRPr="00517675" w:rsidRDefault="00C22200" w:rsidP="00B8535D">
      <w:pPr>
        <w:rPr>
          <w:rFonts w:ascii="Open Sans" w:hAnsi="Open Sans" w:cs="Open Sans"/>
          <w:sz w:val="20"/>
          <w:szCs w:val="20"/>
        </w:rPr>
      </w:pPr>
      <w:r w:rsidRPr="00517675">
        <w:rPr>
          <w:rFonts w:ascii="Open Sans" w:hAnsi="Open Sans" w:cs="Open Sans"/>
          <w:sz w:val="20"/>
          <w:szCs w:val="20"/>
        </w:rPr>
        <w:t>The focus on the objectives</w:t>
      </w:r>
      <w:r w:rsidR="00493BA3" w:rsidRPr="00517675">
        <w:rPr>
          <w:rFonts w:ascii="Open Sans" w:hAnsi="Open Sans" w:cs="Open Sans"/>
          <w:sz w:val="20"/>
          <w:szCs w:val="20"/>
        </w:rPr>
        <w:t>/outcomes</w:t>
      </w:r>
      <w:r w:rsidRPr="00517675">
        <w:rPr>
          <w:rFonts w:ascii="Open Sans" w:hAnsi="Open Sans" w:cs="Open Sans"/>
          <w:sz w:val="20"/>
          <w:szCs w:val="20"/>
        </w:rPr>
        <w:t xml:space="preserve"> and priorities will change with time</w:t>
      </w:r>
      <w:r w:rsidR="00975FAC" w:rsidRPr="00517675">
        <w:rPr>
          <w:rFonts w:ascii="Open Sans" w:hAnsi="Open Sans" w:cs="Open Sans"/>
          <w:sz w:val="20"/>
          <w:szCs w:val="20"/>
        </w:rPr>
        <w:t xml:space="preserve"> as the hydrogen production industry </w:t>
      </w:r>
      <w:r w:rsidR="00A32026" w:rsidRPr="00517675">
        <w:rPr>
          <w:rFonts w:ascii="Open Sans" w:hAnsi="Open Sans" w:cs="Open Sans"/>
          <w:sz w:val="20"/>
          <w:szCs w:val="20"/>
        </w:rPr>
        <w:t>develops</w:t>
      </w:r>
      <w:r w:rsidRPr="00517675">
        <w:rPr>
          <w:rFonts w:ascii="Open Sans" w:hAnsi="Open Sans" w:cs="Open Sans"/>
          <w:sz w:val="20"/>
          <w:szCs w:val="20"/>
        </w:rPr>
        <w:t xml:space="preserve">. For </w:t>
      </w:r>
      <w:r w:rsidR="00AE10E4" w:rsidRPr="00517675">
        <w:rPr>
          <w:rFonts w:ascii="Open Sans" w:hAnsi="Open Sans" w:cs="Open Sans"/>
          <w:sz w:val="20"/>
          <w:szCs w:val="20"/>
        </w:rPr>
        <w:t>example,</w:t>
      </w:r>
      <w:r w:rsidRPr="00517675">
        <w:rPr>
          <w:rFonts w:ascii="Open Sans" w:hAnsi="Open Sans" w:cs="Open Sans"/>
          <w:sz w:val="20"/>
          <w:szCs w:val="20"/>
        </w:rPr>
        <w:t xml:space="preserve"> at this stage</w:t>
      </w:r>
      <w:r w:rsidR="000F1810" w:rsidRPr="00517675">
        <w:rPr>
          <w:rFonts w:ascii="Open Sans" w:hAnsi="Open Sans" w:cs="Open Sans"/>
          <w:sz w:val="20"/>
          <w:szCs w:val="20"/>
        </w:rPr>
        <w:t>,</w:t>
      </w:r>
      <w:r w:rsidRPr="00517675">
        <w:rPr>
          <w:rFonts w:ascii="Open Sans" w:hAnsi="Open Sans" w:cs="Open Sans"/>
          <w:sz w:val="20"/>
          <w:szCs w:val="20"/>
        </w:rPr>
        <w:t xml:space="preserve"> </w:t>
      </w:r>
      <w:r w:rsidR="00516F14" w:rsidRPr="00517675">
        <w:rPr>
          <w:rFonts w:ascii="Open Sans" w:hAnsi="Open Sans" w:cs="Open Sans"/>
          <w:sz w:val="20"/>
          <w:szCs w:val="20"/>
        </w:rPr>
        <w:t xml:space="preserve">deployment at scale will </w:t>
      </w:r>
      <w:r w:rsidR="00804094" w:rsidRPr="00517675">
        <w:rPr>
          <w:rFonts w:ascii="Open Sans" w:hAnsi="Open Sans" w:cs="Open Sans"/>
          <w:sz w:val="20"/>
          <w:szCs w:val="20"/>
        </w:rPr>
        <w:t xml:space="preserve">not happen </w:t>
      </w:r>
      <w:r w:rsidR="005829F6" w:rsidRPr="00517675">
        <w:rPr>
          <w:rFonts w:ascii="Open Sans" w:hAnsi="Open Sans" w:cs="Open Sans"/>
          <w:sz w:val="20"/>
          <w:szCs w:val="20"/>
        </w:rPr>
        <w:t xml:space="preserve">until </w:t>
      </w:r>
      <w:r w:rsidR="00A32026" w:rsidRPr="00517675">
        <w:rPr>
          <w:rFonts w:ascii="Open Sans" w:hAnsi="Open Sans" w:cs="Open Sans"/>
          <w:sz w:val="20"/>
          <w:szCs w:val="20"/>
        </w:rPr>
        <w:t xml:space="preserve">projects have been commissioned and </w:t>
      </w:r>
      <w:r w:rsidR="00DC456C" w:rsidRPr="00517675">
        <w:rPr>
          <w:rFonts w:ascii="Open Sans" w:hAnsi="Open Sans" w:cs="Open Sans"/>
          <w:sz w:val="20"/>
          <w:szCs w:val="20"/>
        </w:rPr>
        <w:t xml:space="preserve">production delivered. This will need, as well as encourage </w:t>
      </w:r>
      <w:r w:rsidR="00516F14" w:rsidRPr="00517675">
        <w:rPr>
          <w:rFonts w:ascii="Open Sans" w:hAnsi="Open Sans" w:cs="Open Sans"/>
          <w:sz w:val="20"/>
          <w:szCs w:val="20"/>
        </w:rPr>
        <w:t xml:space="preserve">the economic and supply chain development. In </w:t>
      </w:r>
      <w:r w:rsidR="00FF35B3" w:rsidRPr="00517675">
        <w:rPr>
          <w:rFonts w:ascii="Open Sans" w:hAnsi="Open Sans" w:cs="Open Sans"/>
          <w:sz w:val="20"/>
          <w:szCs w:val="20"/>
        </w:rPr>
        <w:t>tu</w:t>
      </w:r>
      <w:r w:rsidR="006C0D46" w:rsidRPr="00517675">
        <w:rPr>
          <w:rFonts w:ascii="Open Sans" w:hAnsi="Open Sans" w:cs="Open Sans"/>
          <w:sz w:val="20"/>
          <w:szCs w:val="20"/>
        </w:rPr>
        <w:t>r</w:t>
      </w:r>
      <w:r w:rsidR="00516F14" w:rsidRPr="00517675">
        <w:rPr>
          <w:rFonts w:ascii="Open Sans" w:hAnsi="Open Sans" w:cs="Open Sans"/>
          <w:sz w:val="20"/>
          <w:szCs w:val="20"/>
        </w:rPr>
        <w:t xml:space="preserve">n </w:t>
      </w:r>
      <w:r w:rsidR="00562F71" w:rsidRPr="00517675">
        <w:rPr>
          <w:rFonts w:ascii="Open Sans" w:hAnsi="Open Sans" w:cs="Open Sans"/>
          <w:sz w:val="20"/>
          <w:szCs w:val="20"/>
        </w:rPr>
        <w:t>harnessing the electricity system</w:t>
      </w:r>
      <w:r w:rsidR="00AE10E4" w:rsidRPr="00517675">
        <w:rPr>
          <w:rFonts w:ascii="Open Sans" w:hAnsi="Open Sans" w:cs="Open Sans"/>
          <w:sz w:val="20"/>
          <w:szCs w:val="20"/>
        </w:rPr>
        <w:t>, especially with encouraging other uses for hydrogen such as H2 to power</w:t>
      </w:r>
      <w:r w:rsidR="00873E2B" w:rsidRPr="00517675">
        <w:rPr>
          <w:rFonts w:ascii="Open Sans" w:hAnsi="Open Sans" w:cs="Open Sans"/>
          <w:sz w:val="20"/>
          <w:szCs w:val="20"/>
        </w:rPr>
        <w:t xml:space="preserve"> grid balancing, </w:t>
      </w:r>
      <w:r w:rsidR="00516F14" w:rsidRPr="00517675">
        <w:rPr>
          <w:rFonts w:ascii="Open Sans" w:hAnsi="Open Sans" w:cs="Open Sans"/>
          <w:sz w:val="20"/>
          <w:szCs w:val="20"/>
        </w:rPr>
        <w:t xml:space="preserve">will </w:t>
      </w:r>
      <w:r w:rsidR="00562F71" w:rsidRPr="00517675">
        <w:rPr>
          <w:rFonts w:ascii="Open Sans" w:hAnsi="Open Sans" w:cs="Open Sans"/>
          <w:sz w:val="20"/>
          <w:szCs w:val="20"/>
        </w:rPr>
        <w:t xml:space="preserve">help </w:t>
      </w:r>
      <w:r w:rsidR="00516F14" w:rsidRPr="00517675">
        <w:rPr>
          <w:rFonts w:ascii="Open Sans" w:hAnsi="Open Sans" w:cs="Open Sans"/>
          <w:sz w:val="20"/>
          <w:szCs w:val="20"/>
        </w:rPr>
        <w:t xml:space="preserve">provide </w:t>
      </w:r>
      <w:r w:rsidR="00465909" w:rsidRPr="00517675">
        <w:rPr>
          <w:rFonts w:ascii="Open Sans" w:hAnsi="Open Sans" w:cs="Open Sans"/>
          <w:sz w:val="20"/>
          <w:szCs w:val="20"/>
        </w:rPr>
        <w:t>security in the supply of hydrogen</w:t>
      </w:r>
      <w:r w:rsidR="00463EC5" w:rsidRPr="00517675">
        <w:rPr>
          <w:rFonts w:ascii="Open Sans" w:hAnsi="Open Sans" w:cs="Open Sans"/>
          <w:sz w:val="20"/>
          <w:szCs w:val="20"/>
        </w:rPr>
        <w:t xml:space="preserve">. </w:t>
      </w:r>
      <w:proofErr w:type="gramStart"/>
      <w:r w:rsidR="00463EC5" w:rsidRPr="00517675">
        <w:rPr>
          <w:rFonts w:ascii="Open Sans" w:hAnsi="Open Sans" w:cs="Open Sans"/>
          <w:sz w:val="20"/>
          <w:szCs w:val="20"/>
        </w:rPr>
        <w:t>All of</w:t>
      </w:r>
      <w:proofErr w:type="gramEnd"/>
      <w:r w:rsidR="00463EC5" w:rsidRPr="00517675">
        <w:rPr>
          <w:rFonts w:ascii="Open Sans" w:hAnsi="Open Sans" w:cs="Open Sans"/>
          <w:sz w:val="20"/>
          <w:szCs w:val="20"/>
        </w:rPr>
        <w:t xml:space="preserve"> these priorities should naturally</w:t>
      </w:r>
      <w:r w:rsidR="00416F4F" w:rsidRPr="00517675">
        <w:rPr>
          <w:rFonts w:ascii="Open Sans" w:hAnsi="Open Sans" w:cs="Open Sans"/>
          <w:sz w:val="20"/>
          <w:szCs w:val="20"/>
        </w:rPr>
        <w:t xml:space="preserve"> lead to costs </w:t>
      </w:r>
      <w:r w:rsidR="009C3E38" w:rsidRPr="00517675">
        <w:rPr>
          <w:rFonts w:ascii="Open Sans" w:hAnsi="Open Sans" w:cs="Open Sans"/>
          <w:sz w:val="20"/>
          <w:szCs w:val="20"/>
        </w:rPr>
        <w:t>efficiencies,</w:t>
      </w:r>
      <w:r w:rsidR="00416F4F" w:rsidRPr="00517675">
        <w:rPr>
          <w:rFonts w:ascii="Open Sans" w:hAnsi="Open Sans" w:cs="Open Sans"/>
          <w:sz w:val="20"/>
          <w:szCs w:val="20"/>
        </w:rPr>
        <w:t xml:space="preserve"> but this </w:t>
      </w:r>
      <w:r w:rsidR="00FE642C">
        <w:rPr>
          <w:rFonts w:ascii="Open Sans" w:hAnsi="Open Sans" w:cs="Open Sans"/>
          <w:sz w:val="20"/>
          <w:szCs w:val="20"/>
        </w:rPr>
        <w:t>is likely to</w:t>
      </w:r>
      <w:r w:rsidR="00416F4F" w:rsidRPr="00517675">
        <w:rPr>
          <w:rFonts w:ascii="Open Sans" w:hAnsi="Open Sans" w:cs="Open Sans"/>
          <w:sz w:val="20"/>
          <w:szCs w:val="20"/>
        </w:rPr>
        <w:t xml:space="preserve"> </w:t>
      </w:r>
      <w:r w:rsidR="006831C1" w:rsidRPr="00517675">
        <w:rPr>
          <w:rFonts w:ascii="Open Sans" w:hAnsi="Open Sans" w:cs="Open Sans"/>
          <w:sz w:val="20"/>
          <w:szCs w:val="20"/>
        </w:rPr>
        <w:t xml:space="preserve">take some time. </w:t>
      </w:r>
    </w:p>
    <w:p w14:paraId="77C62558" w14:textId="2383725B"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3. How would introducing a price-based competition in 2025 for electrolytic projects, and potentially other non-CCUS low carbon hydrogen projects, impact projects investment decisions? </w:t>
      </w:r>
    </w:p>
    <w:p w14:paraId="552655B9" w14:textId="006BE690" w:rsidR="00527952" w:rsidRPr="00F80A09" w:rsidRDefault="00527952" w:rsidP="00527952">
      <w:pPr>
        <w:rPr>
          <w:rFonts w:ascii="Open Sans" w:hAnsi="Open Sans" w:cs="Open Sans"/>
          <w:sz w:val="20"/>
          <w:szCs w:val="20"/>
        </w:rPr>
      </w:pPr>
      <w:r w:rsidRPr="00F80A09">
        <w:rPr>
          <w:rFonts w:ascii="Open Sans" w:hAnsi="Open Sans" w:cs="Open Sans"/>
          <w:sz w:val="20"/>
          <w:szCs w:val="20"/>
        </w:rPr>
        <w:t xml:space="preserve">It is agreed that price based competitive allocation has worked successfully in the role out of renewable energy </w:t>
      </w:r>
      <w:r w:rsidR="00E21810" w:rsidRPr="00F80A09">
        <w:rPr>
          <w:rFonts w:ascii="Open Sans" w:hAnsi="Open Sans" w:cs="Open Sans"/>
          <w:sz w:val="20"/>
          <w:szCs w:val="20"/>
        </w:rPr>
        <w:t>market</w:t>
      </w:r>
      <w:r w:rsidR="00AA2798" w:rsidRPr="00F80A09">
        <w:rPr>
          <w:rFonts w:ascii="Open Sans" w:hAnsi="Open Sans" w:cs="Open Sans"/>
          <w:sz w:val="20"/>
          <w:szCs w:val="20"/>
        </w:rPr>
        <w:t xml:space="preserve">, </w:t>
      </w:r>
      <w:r w:rsidR="00D34F86" w:rsidRPr="00F80A09">
        <w:rPr>
          <w:rFonts w:ascii="Open Sans" w:hAnsi="Open Sans" w:cs="Open Sans"/>
          <w:sz w:val="20"/>
          <w:szCs w:val="20"/>
        </w:rPr>
        <w:t>particularly</w:t>
      </w:r>
      <w:r w:rsidR="00AA2798" w:rsidRPr="00F80A09">
        <w:rPr>
          <w:rFonts w:ascii="Open Sans" w:hAnsi="Open Sans" w:cs="Open Sans"/>
          <w:sz w:val="20"/>
          <w:szCs w:val="20"/>
        </w:rPr>
        <w:t xml:space="preserve"> </w:t>
      </w:r>
      <w:proofErr w:type="gramStart"/>
      <w:r w:rsidR="00AA2798" w:rsidRPr="00F80A09">
        <w:rPr>
          <w:rFonts w:ascii="Open Sans" w:hAnsi="Open Sans" w:cs="Open Sans"/>
          <w:sz w:val="20"/>
          <w:szCs w:val="20"/>
        </w:rPr>
        <w:t>off</w:t>
      </w:r>
      <w:r w:rsidR="00D34F86" w:rsidRPr="00F80A09">
        <w:rPr>
          <w:rFonts w:ascii="Open Sans" w:hAnsi="Open Sans" w:cs="Open Sans"/>
          <w:sz w:val="20"/>
          <w:szCs w:val="20"/>
        </w:rPr>
        <w:t>-</w:t>
      </w:r>
      <w:r w:rsidR="00AA2798" w:rsidRPr="00F80A09">
        <w:rPr>
          <w:rFonts w:ascii="Open Sans" w:hAnsi="Open Sans" w:cs="Open Sans"/>
          <w:sz w:val="20"/>
          <w:szCs w:val="20"/>
        </w:rPr>
        <w:t>shore</w:t>
      </w:r>
      <w:proofErr w:type="gramEnd"/>
      <w:r w:rsidR="00AA2798" w:rsidRPr="00F80A09">
        <w:rPr>
          <w:rFonts w:ascii="Open Sans" w:hAnsi="Open Sans" w:cs="Open Sans"/>
          <w:sz w:val="20"/>
          <w:szCs w:val="20"/>
        </w:rPr>
        <w:t xml:space="preserve"> wind</w:t>
      </w:r>
      <w:r w:rsidR="00D34F86" w:rsidRPr="00F80A09">
        <w:rPr>
          <w:rFonts w:ascii="Open Sans" w:hAnsi="Open Sans" w:cs="Open Sans"/>
          <w:sz w:val="20"/>
          <w:szCs w:val="20"/>
        </w:rPr>
        <w:t xml:space="preserve">, </w:t>
      </w:r>
      <w:r w:rsidRPr="00F80A09">
        <w:rPr>
          <w:rFonts w:ascii="Open Sans" w:hAnsi="Open Sans" w:cs="Open Sans"/>
          <w:sz w:val="20"/>
          <w:szCs w:val="20"/>
        </w:rPr>
        <w:t xml:space="preserve">however this was </w:t>
      </w:r>
      <w:r w:rsidR="00977C83" w:rsidRPr="00F80A09">
        <w:rPr>
          <w:rFonts w:ascii="Open Sans" w:hAnsi="Open Sans" w:cs="Open Sans"/>
          <w:sz w:val="20"/>
          <w:szCs w:val="20"/>
        </w:rPr>
        <w:t>introduced following</w:t>
      </w:r>
      <w:r w:rsidR="00E21810" w:rsidRPr="00F80A09">
        <w:rPr>
          <w:rFonts w:ascii="Open Sans" w:hAnsi="Open Sans" w:cs="Open Sans"/>
          <w:sz w:val="20"/>
          <w:szCs w:val="20"/>
        </w:rPr>
        <w:t xml:space="preserve"> a period of </w:t>
      </w:r>
      <w:r w:rsidR="002E4518" w:rsidRPr="00F80A09">
        <w:rPr>
          <w:rFonts w:ascii="Open Sans" w:hAnsi="Open Sans" w:cs="Open Sans"/>
          <w:sz w:val="20"/>
          <w:szCs w:val="20"/>
        </w:rPr>
        <w:t>successful delivery w</w:t>
      </w:r>
      <w:r w:rsidRPr="00F80A09">
        <w:rPr>
          <w:rFonts w:ascii="Open Sans" w:hAnsi="Open Sans" w:cs="Open Sans"/>
          <w:sz w:val="20"/>
          <w:szCs w:val="20"/>
        </w:rPr>
        <w:t xml:space="preserve">here significant economic benefits and supply chain development had already been allowed to materialise. The </w:t>
      </w:r>
      <w:r w:rsidR="00D34F86" w:rsidRPr="00F80A09">
        <w:rPr>
          <w:rFonts w:ascii="Open Sans" w:hAnsi="Open Sans" w:cs="Open Sans"/>
          <w:sz w:val="20"/>
          <w:szCs w:val="20"/>
        </w:rPr>
        <w:t>market</w:t>
      </w:r>
      <w:r w:rsidR="00F70F60" w:rsidRPr="00F80A09">
        <w:rPr>
          <w:rFonts w:ascii="Open Sans" w:hAnsi="Open Sans" w:cs="Open Sans"/>
          <w:sz w:val="20"/>
          <w:szCs w:val="20"/>
        </w:rPr>
        <w:t xml:space="preserve"> was allowed time to</w:t>
      </w:r>
      <w:r w:rsidRPr="00F80A09">
        <w:rPr>
          <w:rFonts w:ascii="Open Sans" w:hAnsi="Open Sans" w:cs="Open Sans"/>
          <w:sz w:val="20"/>
          <w:szCs w:val="20"/>
        </w:rPr>
        <w:t xml:space="preserve"> settle in before introducing </w:t>
      </w:r>
      <w:r w:rsidR="00BE45F8" w:rsidRPr="00F80A09">
        <w:rPr>
          <w:rFonts w:ascii="Open Sans" w:hAnsi="Open Sans" w:cs="Open Sans"/>
          <w:sz w:val="20"/>
          <w:szCs w:val="20"/>
        </w:rPr>
        <w:t xml:space="preserve">a price </w:t>
      </w:r>
      <w:r w:rsidRPr="00F80A09">
        <w:rPr>
          <w:rFonts w:ascii="Open Sans" w:hAnsi="Open Sans" w:cs="Open Sans"/>
          <w:sz w:val="20"/>
          <w:szCs w:val="20"/>
        </w:rPr>
        <w:t>mechanism for competition</w:t>
      </w:r>
      <w:r w:rsidR="00346420" w:rsidRPr="00F80A09">
        <w:rPr>
          <w:rFonts w:ascii="Open Sans" w:hAnsi="Open Sans" w:cs="Open Sans"/>
          <w:sz w:val="20"/>
          <w:szCs w:val="20"/>
        </w:rPr>
        <w:t xml:space="preserve"> </w:t>
      </w:r>
      <w:r w:rsidR="00F70F60" w:rsidRPr="00F80A09">
        <w:rPr>
          <w:rFonts w:ascii="Open Sans" w:hAnsi="Open Sans" w:cs="Open Sans"/>
          <w:sz w:val="20"/>
          <w:szCs w:val="20"/>
        </w:rPr>
        <w:t>to drive</w:t>
      </w:r>
      <w:r w:rsidR="00346420" w:rsidRPr="00F80A09">
        <w:rPr>
          <w:rFonts w:ascii="Open Sans" w:hAnsi="Open Sans" w:cs="Open Sans"/>
          <w:sz w:val="20"/>
          <w:szCs w:val="20"/>
        </w:rPr>
        <w:t xml:space="preserve"> costs savings</w:t>
      </w:r>
      <w:r w:rsidRPr="00F80A09">
        <w:rPr>
          <w:rFonts w:ascii="Open Sans" w:hAnsi="Open Sans" w:cs="Open Sans"/>
          <w:sz w:val="20"/>
          <w:szCs w:val="20"/>
        </w:rPr>
        <w:t xml:space="preserve">. The transportation network for electricity in these circumstances was mostly in place and unlike hydrogen a unit price better known. </w:t>
      </w:r>
    </w:p>
    <w:p w14:paraId="48E4E7B7" w14:textId="0ADA8A1A" w:rsidR="007D6113" w:rsidRDefault="00527952" w:rsidP="00B8535D">
      <w:pPr>
        <w:rPr>
          <w:rFonts w:ascii="Open Sans" w:hAnsi="Open Sans" w:cs="Open Sans"/>
          <w:sz w:val="20"/>
          <w:szCs w:val="20"/>
        </w:rPr>
      </w:pPr>
      <w:r w:rsidRPr="00F80A09">
        <w:rPr>
          <w:rFonts w:ascii="Open Sans" w:hAnsi="Open Sans" w:cs="Open Sans"/>
          <w:sz w:val="20"/>
          <w:szCs w:val="20"/>
        </w:rPr>
        <w:t>The concern</w:t>
      </w:r>
      <w:r w:rsidR="00F80A09">
        <w:rPr>
          <w:rFonts w:ascii="Open Sans" w:hAnsi="Open Sans" w:cs="Open Sans"/>
          <w:sz w:val="20"/>
          <w:szCs w:val="20"/>
        </w:rPr>
        <w:t xml:space="preserve"> is that</w:t>
      </w:r>
      <w:r w:rsidRPr="00F80A09">
        <w:rPr>
          <w:rFonts w:ascii="Open Sans" w:hAnsi="Open Sans" w:cs="Open Sans"/>
          <w:sz w:val="20"/>
          <w:szCs w:val="20"/>
        </w:rPr>
        <w:t xml:space="preserve"> a focus on monetary costs will limit the ability to engage new technologies and an alternative may be to assess on social value and carbon emissions balanced with a reduction in the cost criteria. Introducing these cost saving measures prematurely could drive away innovation from alternative hydrogen production sources which could be vital in ensuring a balanced network whilst also providing net zero opportunities. Investment in these projects might be deterred without the initial financial safety net of </w:t>
      </w:r>
      <w:r w:rsidR="00C60052" w:rsidRPr="00F80A09">
        <w:rPr>
          <w:rFonts w:ascii="Open Sans" w:hAnsi="Open Sans" w:cs="Open Sans"/>
          <w:sz w:val="20"/>
          <w:szCs w:val="20"/>
        </w:rPr>
        <w:t xml:space="preserve">a </w:t>
      </w:r>
      <w:r w:rsidR="000B36BB" w:rsidRPr="00F80A09">
        <w:rPr>
          <w:rFonts w:ascii="Open Sans" w:hAnsi="Open Sans" w:cs="Open Sans"/>
          <w:sz w:val="20"/>
          <w:szCs w:val="20"/>
        </w:rPr>
        <w:t>l</w:t>
      </w:r>
      <w:r w:rsidR="000B36BB">
        <w:rPr>
          <w:rFonts w:ascii="Open Sans" w:hAnsi="Open Sans" w:cs="Open Sans"/>
          <w:sz w:val="20"/>
          <w:szCs w:val="20"/>
        </w:rPr>
        <w:t xml:space="preserve">ess competitive </w:t>
      </w:r>
      <w:r w:rsidR="000B36BB" w:rsidRPr="00F80A09">
        <w:rPr>
          <w:rFonts w:ascii="Open Sans" w:hAnsi="Open Sans" w:cs="Open Sans"/>
          <w:sz w:val="20"/>
          <w:szCs w:val="20"/>
        </w:rPr>
        <w:t>subsidy</w:t>
      </w:r>
      <w:r w:rsidR="00C60052" w:rsidRPr="00F80A09">
        <w:rPr>
          <w:rFonts w:ascii="Open Sans" w:hAnsi="Open Sans" w:cs="Open Sans"/>
          <w:sz w:val="20"/>
          <w:szCs w:val="20"/>
        </w:rPr>
        <w:t xml:space="preserve"> system</w:t>
      </w:r>
      <w:r w:rsidRPr="00F80A09">
        <w:rPr>
          <w:rFonts w:ascii="Open Sans" w:hAnsi="Open Sans" w:cs="Open Sans"/>
          <w:sz w:val="20"/>
          <w:szCs w:val="20"/>
        </w:rPr>
        <w:t xml:space="preserve">. </w:t>
      </w:r>
      <w:r w:rsidRPr="00F80A09">
        <w:rPr>
          <w:rFonts w:ascii="Open Sans" w:hAnsi="Open Sans" w:cs="Open Sans"/>
          <w:sz w:val="20"/>
          <w:szCs w:val="20"/>
        </w:rPr>
        <w:lastRenderedPageBreak/>
        <w:t xml:space="preserve">This is especially the case when initial allocation rounds have been </w:t>
      </w:r>
      <w:r w:rsidR="008765FE" w:rsidRPr="00F80A09">
        <w:rPr>
          <w:rFonts w:ascii="Open Sans" w:hAnsi="Open Sans" w:cs="Open Sans"/>
          <w:sz w:val="20"/>
          <w:szCs w:val="20"/>
        </w:rPr>
        <w:t>restricted</w:t>
      </w:r>
      <w:r w:rsidRPr="00F80A09">
        <w:rPr>
          <w:rFonts w:ascii="Open Sans" w:hAnsi="Open Sans" w:cs="Open Sans"/>
          <w:sz w:val="20"/>
          <w:szCs w:val="20"/>
        </w:rPr>
        <w:t xml:space="preserve"> to electrolytic production projects</w:t>
      </w:r>
      <w:r w:rsidR="008765FE" w:rsidRPr="00F80A09">
        <w:rPr>
          <w:rFonts w:ascii="Open Sans" w:hAnsi="Open Sans" w:cs="Open Sans"/>
          <w:sz w:val="20"/>
          <w:szCs w:val="20"/>
        </w:rPr>
        <w:t xml:space="preserve">, </w:t>
      </w:r>
      <w:r w:rsidRPr="00F80A09">
        <w:rPr>
          <w:rFonts w:ascii="Open Sans" w:hAnsi="Open Sans" w:cs="Open Sans"/>
          <w:sz w:val="20"/>
          <w:szCs w:val="20"/>
        </w:rPr>
        <w:t xml:space="preserve">outside of the clusters. </w:t>
      </w:r>
    </w:p>
    <w:p w14:paraId="2EA904C3" w14:textId="1B87F9D4" w:rsidR="006F1439" w:rsidRPr="00F80A09" w:rsidRDefault="006F1439" w:rsidP="00B8535D">
      <w:pPr>
        <w:rPr>
          <w:rFonts w:ascii="Open Sans" w:hAnsi="Open Sans" w:cs="Open Sans"/>
          <w:sz w:val="20"/>
          <w:szCs w:val="20"/>
        </w:rPr>
      </w:pPr>
      <w:r>
        <w:rPr>
          <w:rFonts w:ascii="Open Sans" w:hAnsi="Open Sans" w:cs="Open Sans"/>
          <w:sz w:val="20"/>
          <w:szCs w:val="20"/>
        </w:rPr>
        <w:t xml:space="preserve">It is important to note that </w:t>
      </w:r>
      <w:r w:rsidR="00B70C4F">
        <w:rPr>
          <w:rFonts w:ascii="Open Sans" w:hAnsi="Open Sans" w:cs="Open Sans"/>
          <w:sz w:val="20"/>
          <w:szCs w:val="20"/>
        </w:rPr>
        <w:t xml:space="preserve">ramping up of future scheme and </w:t>
      </w:r>
      <w:r w:rsidR="006C02C9">
        <w:rPr>
          <w:rFonts w:ascii="Open Sans" w:hAnsi="Open Sans" w:cs="Open Sans"/>
          <w:sz w:val="20"/>
          <w:szCs w:val="20"/>
        </w:rPr>
        <w:t xml:space="preserve">policy support </w:t>
      </w:r>
      <w:r w:rsidR="00B70C4F">
        <w:rPr>
          <w:rFonts w:ascii="Open Sans" w:hAnsi="Open Sans" w:cs="Open Sans"/>
          <w:sz w:val="20"/>
          <w:szCs w:val="20"/>
        </w:rPr>
        <w:t xml:space="preserve">is important to </w:t>
      </w:r>
      <w:r w:rsidR="006C02C9">
        <w:rPr>
          <w:rFonts w:ascii="Open Sans" w:hAnsi="Open Sans" w:cs="Open Sans"/>
          <w:sz w:val="20"/>
          <w:szCs w:val="20"/>
        </w:rPr>
        <w:t xml:space="preserve">avoid waning investment. Delays in process causing uncertainly also don’t help. </w:t>
      </w:r>
      <w:r w:rsidR="002822EC">
        <w:rPr>
          <w:rFonts w:ascii="Open Sans" w:hAnsi="Open Sans" w:cs="Open Sans"/>
          <w:sz w:val="20"/>
          <w:szCs w:val="20"/>
        </w:rPr>
        <w:t xml:space="preserve">The competition from other ambitious finding schemes such as the US’s </w:t>
      </w:r>
      <w:r w:rsidR="006C3A3B">
        <w:rPr>
          <w:rFonts w:ascii="Open Sans" w:hAnsi="Open Sans" w:cs="Open Sans"/>
          <w:sz w:val="20"/>
          <w:szCs w:val="20"/>
        </w:rPr>
        <w:t xml:space="preserve">Inflation Reduction Act </w:t>
      </w:r>
      <w:r w:rsidR="004D697B">
        <w:rPr>
          <w:rFonts w:ascii="Open Sans" w:hAnsi="Open Sans" w:cs="Open Sans"/>
          <w:sz w:val="20"/>
          <w:szCs w:val="20"/>
        </w:rPr>
        <w:t xml:space="preserve">has the potential to capture the investment pot but </w:t>
      </w:r>
      <w:r w:rsidR="00195628">
        <w:rPr>
          <w:rFonts w:ascii="Open Sans" w:hAnsi="Open Sans" w:cs="Open Sans"/>
          <w:sz w:val="20"/>
          <w:szCs w:val="20"/>
        </w:rPr>
        <w:t xml:space="preserve">also the overarching economic benefits. </w:t>
      </w:r>
    </w:p>
    <w:p w14:paraId="53266748" w14:textId="5FD6A781" w:rsidR="005434C0" w:rsidRPr="00541E87" w:rsidRDefault="007D6113" w:rsidP="00B8535D">
      <w:pPr>
        <w:rPr>
          <w:rFonts w:ascii="Open Sans" w:hAnsi="Open Sans" w:cs="Open Sans"/>
          <w:color w:val="06926B"/>
          <w:sz w:val="24"/>
          <w:szCs w:val="24"/>
        </w:rPr>
      </w:pPr>
      <w:r w:rsidRPr="00541E87">
        <w:rPr>
          <w:rFonts w:ascii="Open Sans" w:hAnsi="Open Sans" w:cs="Open Sans"/>
          <w:color w:val="06926B"/>
          <w:sz w:val="24"/>
          <w:szCs w:val="24"/>
        </w:rPr>
        <w:t>Harnessing electricity system benefits:</w:t>
      </w:r>
    </w:p>
    <w:p w14:paraId="6907DEDE" w14:textId="77777777" w:rsidR="00287877" w:rsidRPr="00517675" w:rsidRDefault="005434C0" w:rsidP="00DE228D">
      <w:pPr>
        <w:rPr>
          <w:rFonts w:ascii="Open Sans" w:hAnsi="Open Sans" w:cs="Open Sans"/>
          <w:b/>
          <w:bCs/>
          <w:sz w:val="20"/>
          <w:szCs w:val="20"/>
        </w:rPr>
      </w:pPr>
      <w:r w:rsidRPr="00517675">
        <w:rPr>
          <w:rFonts w:ascii="Open Sans" w:hAnsi="Open Sans" w:cs="Open Sans"/>
          <w:b/>
          <w:bCs/>
          <w:sz w:val="20"/>
          <w:szCs w:val="20"/>
        </w:rPr>
        <w:t xml:space="preserve">4. Under what arrangements will electrolytic projects purchase electricity? How would introducing a price-based competition in 2025 impact this, and are these arrangements likely to change over time? </w:t>
      </w:r>
    </w:p>
    <w:p w14:paraId="41249EFF" w14:textId="7006299A" w:rsidR="00287877" w:rsidRPr="00517675" w:rsidRDefault="00F45F89" w:rsidP="00DE228D">
      <w:pPr>
        <w:rPr>
          <w:rFonts w:ascii="Open Sans" w:hAnsi="Open Sans" w:cs="Open Sans"/>
          <w:sz w:val="20"/>
          <w:szCs w:val="20"/>
        </w:rPr>
      </w:pPr>
      <w:r w:rsidRPr="00517675">
        <w:rPr>
          <w:rFonts w:ascii="Open Sans" w:hAnsi="Open Sans" w:cs="Open Sans"/>
          <w:sz w:val="20"/>
          <w:szCs w:val="20"/>
        </w:rPr>
        <w:t>Electricity</w:t>
      </w:r>
      <w:r w:rsidR="00D51370" w:rsidRPr="00517675">
        <w:rPr>
          <w:rFonts w:ascii="Open Sans" w:hAnsi="Open Sans" w:cs="Open Sans"/>
          <w:sz w:val="20"/>
          <w:szCs w:val="20"/>
        </w:rPr>
        <w:t xml:space="preserve"> markets are </w:t>
      </w:r>
      <w:r w:rsidRPr="00517675">
        <w:rPr>
          <w:rFonts w:ascii="Open Sans" w:hAnsi="Open Sans" w:cs="Open Sans"/>
          <w:sz w:val="20"/>
          <w:szCs w:val="20"/>
        </w:rPr>
        <w:t>chaotic</w:t>
      </w:r>
      <w:r w:rsidR="00D51370" w:rsidRPr="00517675">
        <w:rPr>
          <w:rFonts w:ascii="Open Sans" w:hAnsi="Open Sans" w:cs="Open Sans"/>
          <w:sz w:val="20"/>
          <w:szCs w:val="20"/>
        </w:rPr>
        <w:t xml:space="preserve">. </w:t>
      </w:r>
      <w:r w:rsidRPr="00517675">
        <w:rPr>
          <w:rFonts w:ascii="Open Sans" w:hAnsi="Open Sans" w:cs="Open Sans"/>
          <w:sz w:val="20"/>
          <w:szCs w:val="20"/>
        </w:rPr>
        <w:t>Electric</w:t>
      </w:r>
      <w:r w:rsidR="00D51370" w:rsidRPr="00517675">
        <w:rPr>
          <w:rFonts w:ascii="Open Sans" w:hAnsi="Open Sans" w:cs="Open Sans"/>
          <w:sz w:val="20"/>
          <w:szCs w:val="20"/>
        </w:rPr>
        <w:t xml:space="preserve"> levy is </w:t>
      </w:r>
      <w:r w:rsidRPr="00517675">
        <w:rPr>
          <w:rFonts w:ascii="Open Sans" w:hAnsi="Open Sans" w:cs="Open Sans"/>
          <w:sz w:val="20"/>
          <w:szCs w:val="20"/>
        </w:rPr>
        <w:t xml:space="preserve">extremely volatile at present and the climate change committee </w:t>
      </w:r>
      <w:r w:rsidR="009F0304">
        <w:rPr>
          <w:rFonts w:ascii="Open Sans" w:hAnsi="Open Sans" w:cs="Open Sans"/>
          <w:sz w:val="20"/>
          <w:szCs w:val="20"/>
        </w:rPr>
        <w:t xml:space="preserve">has indicated </w:t>
      </w:r>
      <w:r w:rsidR="00C00B0B">
        <w:rPr>
          <w:rFonts w:ascii="Open Sans" w:hAnsi="Open Sans" w:cs="Open Sans"/>
          <w:sz w:val="20"/>
          <w:szCs w:val="20"/>
        </w:rPr>
        <w:t>the picture is not good</w:t>
      </w:r>
      <w:r w:rsidRPr="00517675">
        <w:rPr>
          <w:rFonts w:ascii="Open Sans" w:hAnsi="Open Sans" w:cs="Open Sans"/>
          <w:sz w:val="20"/>
          <w:szCs w:val="20"/>
        </w:rPr>
        <w:t>. REMA could have profound impacts on ho</w:t>
      </w:r>
      <w:r w:rsidR="00550261" w:rsidRPr="00517675">
        <w:rPr>
          <w:rFonts w:ascii="Open Sans" w:hAnsi="Open Sans" w:cs="Open Sans"/>
          <w:sz w:val="20"/>
          <w:szCs w:val="20"/>
        </w:rPr>
        <w:t>w</w:t>
      </w:r>
      <w:r w:rsidRPr="00517675">
        <w:rPr>
          <w:rFonts w:ascii="Open Sans" w:hAnsi="Open Sans" w:cs="Open Sans"/>
          <w:sz w:val="20"/>
          <w:szCs w:val="20"/>
        </w:rPr>
        <w:t xml:space="preserve"> the electric market changes in the future. </w:t>
      </w:r>
      <w:r w:rsidR="00A27A83">
        <w:rPr>
          <w:rFonts w:ascii="Open Sans" w:hAnsi="Open Sans" w:cs="Open Sans"/>
          <w:sz w:val="20"/>
          <w:szCs w:val="20"/>
        </w:rPr>
        <w:t>A c</w:t>
      </w:r>
      <w:r w:rsidR="00C0625F" w:rsidRPr="00517675">
        <w:rPr>
          <w:rFonts w:ascii="Open Sans" w:hAnsi="Open Sans" w:cs="Open Sans"/>
          <w:sz w:val="20"/>
          <w:szCs w:val="20"/>
        </w:rPr>
        <w:t xml:space="preserve">ost competitive market </w:t>
      </w:r>
      <w:r w:rsidR="00C74EA4" w:rsidRPr="00517675">
        <w:rPr>
          <w:rFonts w:ascii="Open Sans" w:hAnsi="Open Sans" w:cs="Open Sans"/>
          <w:sz w:val="20"/>
          <w:szCs w:val="20"/>
        </w:rPr>
        <w:t>would be the same as if setting a strike price</w:t>
      </w:r>
      <w:r w:rsidR="00A27A83">
        <w:rPr>
          <w:rFonts w:ascii="Open Sans" w:hAnsi="Open Sans" w:cs="Open Sans"/>
          <w:sz w:val="20"/>
          <w:szCs w:val="20"/>
        </w:rPr>
        <w:t xml:space="preserve"> so the </w:t>
      </w:r>
      <w:r w:rsidR="00C74EA4" w:rsidRPr="00517675">
        <w:rPr>
          <w:rFonts w:ascii="Open Sans" w:hAnsi="Open Sans" w:cs="Open Sans"/>
          <w:sz w:val="20"/>
          <w:szCs w:val="20"/>
        </w:rPr>
        <w:t>approach would</w:t>
      </w:r>
      <w:r w:rsidR="00A27A83">
        <w:rPr>
          <w:rFonts w:ascii="Open Sans" w:hAnsi="Open Sans" w:cs="Open Sans"/>
          <w:sz w:val="20"/>
          <w:szCs w:val="20"/>
        </w:rPr>
        <w:t xml:space="preserve"> not</w:t>
      </w:r>
      <w:r w:rsidR="00C74EA4" w:rsidRPr="00517675">
        <w:rPr>
          <w:rFonts w:ascii="Open Sans" w:hAnsi="Open Sans" w:cs="Open Sans"/>
          <w:sz w:val="20"/>
          <w:szCs w:val="20"/>
        </w:rPr>
        <w:t xml:space="preserve"> therefore be very different. </w:t>
      </w:r>
      <w:r w:rsidR="004214E5" w:rsidRPr="00517675">
        <w:rPr>
          <w:rFonts w:ascii="Open Sans" w:hAnsi="Open Sans" w:cs="Open Sans"/>
          <w:sz w:val="20"/>
          <w:szCs w:val="20"/>
        </w:rPr>
        <w:t>The</w:t>
      </w:r>
      <w:r w:rsidR="00024FEF">
        <w:rPr>
          <w:rFonts w:ascii="Open Sans" w:hAnsi="Open Sans" w:cs="Open Sans"/>
          <w:sz w:val="20"/>
          <w:szCs w:val="20"/>
        </w:rPr>
        <w:t xml:space="preserve">re are notable benefits in providing a system </w:t>
      </w:r>
      <w:r w:rsidR="003B74C1">
        <w:rPr>
          <w:rFonts w:ascii="Open Sans" w:hAnsi="Open Sans" w:cs="Open Sans"/>
          <w:sz w:val="20"/>
          <w:szCs w:val="20"/>
        </w:rPr>
        <w:t>for</w:t>
      </w:r>
      <w:r w:rsidR="00024FEF">
        <w:rPr>
          <w:rFonts w:ascii="Open Sans" w:hAnsi="Open Sans" w:cs="Open Sans"/>
          <w:sz w:val="20"/>
          <w:szCs w:val="20"/>
        </w:rPr>
        <w:t xml:space="preserve"> allocation that is quicker and arguably the </w:t>
      </w:r>
      <w:r w:rsidR="004214E5" w:rsidRPr="00517675">
        <w:rPr>
          <w:rFonts w:ascii="Open Sans" w:hAnsi="Open Sans" w:cs="Open Sans"/>
          <w:sz w:val="20"/>
          <w:szCs w:val="20"/>
        </w:rPr>
        <w:t xml:space="preserve">auction price as </w:t>
      </w:r>
      <w:r w:rsidR="003B74C1">
        <w:rPr>
          <w:rFonts w:ascii="Open Sans" w:hAnsi="Open Sans" w:cs="Open Sans"/>
          <w:sz w:val="20"/>
          <w:szCs w:val="20"/>
        </w:rPr>
        <w:t>proposed by</w:t>
      </w:r>
      <w:r w:rsidR="004214E5" w:rsidRPr="00517675">
        <w:rPr>
          <w:rFonts w:ascii="Open Sans" w:hAnsi="Open Sans" w:cs="Open Sans"/>
          <w:sz w:val="20"/>
          <w:szCs w:val="20"/>
        </w:rPr>
        <w:t xml:space="preserve"> </w:t>
      </w:r>
      <w:r w:rsidR="00296454" w:rsidRPr="00517675">
        <w:rPr>
          <w:rFonts w:ascii="Open Sans" w:hAnsi="Open Sans" w:cs="Open Sans"/>
          <w:sz w:val="20"/>
          <w:szCs w:val="20"/>
        </w:rPr>
        <w:t>government this</w:t>
      </w:r>
      <w:r w:rsidR="004214E5" w:rsidRPr="00517675">
        <w:rPr>
          <w:rFonts w:ascii="Open Sans" w:hAnsi="Open Sans" w:cs="Open Sans"/>
          <w:sz w:val="20"/>
          <w:szCs w:val="20"/>
        </w:rPr>
        <w:t xml:space="preserve"> process may be quicker. </w:t>
      </w:r>
    </w:p>
    <w:p w14:paraId="36F819D7" w14:textId="5A53A6A2" w:rsidR="00C54729" w:rsidRPr="00517675" w:rsidRDefault="00067650" w:rsidP="00DE228D">
      <w:pPr>
        <w:rPr>
          <w:rFonts w:ascii="Open Sans" w:hAnsi="Open Sans" w:cs="Open Sans"/>
          <w:sz w:val="20"/>
          <w:szCs w:val="20"/>
        </w:rPr>
      </w:pPr>
      <w:r w:rsidRPr="00517675">
        <w:rPr>
          <w:rFonts w:ascii="Open Sans" w:hAnsi="Open Sans" w:cs="Open Sans"/>
          <w:sz w:val="20"/>
          <w:szCs w:val="20"/>
        </w:rPr>
        <w:t xml:space="preserve">There are so few </w:t>
      </w:r>
      <w:r w:rsidR="00296454" w:rsidRPr="00517675">
        <w:rPr>
          <w:rFonts w:ascii="Open Sans" w:hAnsi="Open Sans" w:cs="Open Sans"/>
          <w:sz w:val="20"/>
          <w:szCs w:val="20"/>
        </w:rPr>
        <w:t>developments</w:t>
      </w:r>
      <w:r w:rsidRPr="00517675">
        <w:rPr>
          <w:rFonts w:ascii="Open Sans" w:hAnsi="Open Sans" w:cs="Open Sans"/>
          <w:sz w:val="20"/>
          <w:szCs w:val="20"/>
        </w:rPr>
        <w:t xml:space="preserve"> and </w:t>
      </w:r>
      <w:r w:rsidR="00296454" w:rsidRPr="00517675">
        <w:rPr>
          <w:rFonts w:ascii="Open Sans" w:hAnsi="Open Sans" w:cs="Open Sans"/>
          <w:sz w:val="20"/>
          <w:szCs w:val="20"/>
        </w:rPr>
        <w:t>decisions</w:t>
      </w:r>
      <w:r w:rsidRPr="00517675">
        <w:rPr>
          <w:rFonts w:ascii="Open Sans" w:hAnsi="Open Sans" w:cs="Open Sans"/>
          <w:sz w:val="20"/>
          <w:szCs w:val="20"/>
        </w:rPr>
        <w:t xml:space="preserve"> on </w:t>
      </w:r>
      <w:r w:rsidR="00464208" w:rsidRPr="00517675">
        <w:rPr>
          <w:rFonts w:ascii="Open Sans" w:hAnsi="Open Sans" w:cs="Open Sans"/>
          <w:sz w:val="20"/>
          <w:szCs w:val="20"/>
        </w:rPr>
        <w:t>infrastructure,</w:t>
      </w:r>
      <w:r w:rsidR="00296454" w:rsidRPr="00517675">
        <w:rPr>
          <w:rFonts w:ascii="Open Sans" w:hAnsi="Open Sans" w:cs="Open Sans"/>
          <w:sz w:val="20"/>
          <w:szCs w:val="20"/>
        </w:rPr>
        <w:t xml:space="preserve"> so this is thought to be too early. </w:t>
      </w:r>
      <w:r w:rsidR="00CB07FC" w:rsidRPr="00517675">
        <w:rPr>
          <w:rFonts w:ascii="Open Sans" w:hAnsi="Open Sans" w:cs="Open Sans"/>
          <w:sz w:val="20"/>
          <w:szCs w:val="20"/>
        </w:rPr>
        <w:t xml:space="preserve">It isn’t just the production of hydrogen as there is a need to offload and create a </w:t>
      </w:r>
      <w:r w:rsidR="00464208" w:rsidRPr="00517675">
        <w:rPr>
          <w:rFonts w:ascii="Open Sans" w:hAnsi="Open Sans" w:cs="Open Sans"/>
          <w:sz w:val="20"/>
          <w:szCs w:val="20"/>
        </w:rPr>
        <w:t>functioning</w:t>
      </w:r>
      <w:r w:rsidR="00CB07FC" w:rsidRPr="00517675">
        <w:rPr>
          <w:rFonts w:ascii="Open Sans" w:hAnsi="Open Sans" w:cs="Open Sans"/>
          <w:sz w:val="20"/>
          <w:szCs w:val="20"/>
        </w:rPr>
        <w:t xml:space="preserve"> marker for the end use</w:t>
      </w:r>
      <w:r w:rsidR="00464208" w:rsidRPr="00517675">
        <w:rPr>
          <w:rFonts w:ascii="Open Sans" w:hAnsi="Open Sans" w:cs="Open Sans"/>
          <w:sz w:val="20"/>
          <w:szCs w:val="20"/>
        </w:rPr>
        <w:t xml:space="preserve"> and off</w:t>
      </w:r>
      <w:r w:rsidR="00137B6C" w:rsidRPr="00517675">
        <w:rPr>
          <w:rFonts w:ascii="Open Sans" w:hAnsi="Open Sans" w:cs="Open Sans"/>
          <w:sz w:val="20"/>
          <w:szCs w:val="20"/>
        </w:rPr>
        <w:t>-</w:t>
      </w:r>
      <w:r w:rsidR="00464208" w:rsidRPr="00517675">
        <w:rPr>
          <w:rFonts w:ascii="Open Sans" w:hAnsi="Open Sans" w:cs="Open Sans"/>
          <w:sz w:val="20"/>
          <w:szCs w:val="20"/>
        </w:rPr>
        <w:t xml:space="preserve">taker. CCUS </w:t>
      </w:r>
      <w:r w:rsidR="00B47DD9" w:rsidRPr="00517675">
        <w:rPr>
          <w:rFonts w:ascii="Open Sans" w:hAnsi="Open Sans" w:cs="Open Sans"/>
          <w:sz w:val="20"/>
          <w:szCs w:val="20"/>
        </w:rPr>
        <w:t xml:space="preserve">networks </w:t>
      </w:r>
      <w:r w:rsidR="00464208" w:rsidRPr="00517675">
        <w:rPr>
          <w:rFonts w:ascii="Open Sans" w:hAnsi="Open Sans" w:cs="Open Sans"/>
          <w:sz w:val="20"/>
          <w:szCs w:val="20"/>
        </w:rPr>
        <w:t xml:space="preserve">is also a factor in this decision. </w:t>
      </w:r>
      <w:r w:rsidR="00CB07FC" w:rsidRPr="00517675">
        <w:rPr>
          <w:rFonts w:ascii="Open Sans" w:hAnsi="Open Sans" w:cs="Open Sans"/>
          <w:sz w:val="20"/>
          <w:szCs w:val="20"/>
        </w:rPr>
        <w:t xml:space="preserve"> </w:t>
      </w:r>
      <w:r w:rsidR="003B51E8" w:rsidRPr="00517675">
        <w:rPr>
          <w:rFonts w:ascii="Open Sans" w:hAnsi="Open Sans" w:cs="Open Sans"/>
          <w:sz w:val="20"/>
          <w:szCs w:val="20"/>
        </w:rPr>
        <w:t>And how this will be f</w:t>
      </w:r>
      <w:r w:rsidR="002D7A3D" w:rsidRPr="00517675">
        <w:rPr>
          <w:rFonts w:ascii="Open Sans" w:hAnsi="Open Sans" w:cs="Open Sans"/>
          <w:sz w:val="20"/>
          <w:szCs w:val="20"/>
        </w:rPr>
        <w:t>u</w:t>
      </w:r>
      <w:r w:rsidR="003B51E8" w:rsidRPr="00517675">
        <w:rPr>
          <w:rFonts w:ascii="Open Sans" w:hAnsi="Open Sans" w:cs="Open Sans"/>
          <w:sz w:val="20"/>
          <w:szCs w:val="20"/>
        </w:rPr>
        <w:t>n</w:t>
      </w:r>
      <w:r w:rsidR="002D7A3D" w:rsidRPr="00517675">
        <w:rPr>
          <w:rFonts w:ascii="Open Sans" w:hAnsi="Open Sans" w:cs="Open Sans"/>
          <w:sz w:val="20"/>
          <w:szCs w:val="20"/>
        </w:rPr>
        <w:t>d</w:t>
      </w:r>
      <w:r w:rsidR="003B51E8" w:rsidRPr="00517675">
        <w:rPr>
          <w:rFonts w:ascii="Open Sans" w:hAnsi="Open Sans" w:cs="Open Sans"/>
          <w:sz w:val="20"/>
          <w:szCs w:val="20"/>
        </w:rPr>
        <w:t>ed is still uncertain</w:t>
      </w:r>
      <w:r w:rsidR="00137B6C" w:rsidRPr="00517675">
        <w:rPr>
          <w:rFonts w:ascii="Open Sans" w:hAnsi="Open Sans" w:cs="Open Sans"/>
          <w:sz w:val="20"/>
          <w:szCs w:val="20"/>
        </w:rPr>
        <w:t xml:space="preserve"> with the hydrogen levy now removed from the Energy Bill</w:t>
      </w:r>
      <w:r w:rsidR="003B51E8" w:rsidRPr="00517675">
        <w:rPr>
          <w:rFonts w:ascii="Open Sans" w:hAnsi="Open Sans" w:cs="Open Sans"/>
          <w:sz w:val="20"/>
          <w:szCs w:val="20"/>
        </w:rPr>
        <w:t xml:space="preserve">. </w:t>
      </w:r>
      <w:r w:rsidR="00F95685" w:rsidRPr="00517675">
        <w:rPr>
          <w:rFonts w:ascii="Open Sans" w:hAnsi="Open Sans" w:cs="Open Sans"/>
          <w:sz w:val="20"/>
          <w:szCs w:val="20"/>
        </w:rPr>
        <w:t xml:space="preserve">There is of course a </w:t>
      </w:r>
      <w:r w:rsidR="003B51E8" w:rsidRPr="00517675">
        <w:rPr>
          <w:rFonts w:ascii="Open Sans" w:hAnsi="Open Sans" w:cs="Open Sans"/>
          <w:sz w:val="20"/>
          <w:szCs w:val="20"/>
        </w:rPr>
        <w:t xml:space="preserve">need to drive </w:t>
      </w:r>
      <w:r w:rsidR="00F95685" w:rsidRPr="00517675">
        <w:rPr>
          <w:rFonts w:ascii="Open Sans" w:hAnsi="Open Sans" w:cs="Open Sans"/>
          <w:sz w:val="20"/>
          <w:szCs w:val="20"/>
        </w:rPr>
        <w:t xml:space="preserve">up </w:t>
      </w:r>
      <w:r w:rsidR="003711FD" w:rsidRPr="00517675">
        <w:rPr>
          <w:rFonts w:ascii="Open Sans" w:hAnsi="Open Sans" w:cs="Open Sans"/>
          <w:sz w:val="20"/>
          <w:szCs w:val="20"/>
        </w:rPr>
        <w:t xml:space="preserve">the overall production </w:t>
      </w:r>
      <w:r w:rsidR="00F95685" w:rsidRPr="00517675">
        <w:rPr>
          <w:rFonts w:ascii="Open Sans" w:hAnsi="Open Sans" w:cs="Open Sans"/>
          <w:sz w:val="20"/>
          <w:szCs w:val="20"/>
        </w:rPr>
        <w:t xml:space="preserve">to meet targets </w:t>
      </w:r>
      <w:r w:rsidR="003711FD" w:rsidRPr="00517675">
        <w:rPr>
          <w:rFonts w:ascii="Open Sans" w:hAnsi="Open Sans" w:cs="Open Sans"/>
          <w:sz w:val="20"/>
          <w:szCs w:val="20"/>
        </w:rPr>
        <w:t xml:space="preserve">but </w:t>
      </w:r>
      <w:r w:rsidR="00140F82" w:rsidRPr="00517675">
        <w:rPr>
          <w:rFonts w:ascii="Open Sans" w:hAnsi="Open Sans" w:cs="Open Sans"/>
          <w:sz w:val="20"/>
          <w:szCs w:val="20"/>
        </w:rPr>
        <w:t xml:space="preserve">we are </w:t>
      </w:r>
      <w:r w:rsidR="003711FD" w:rsidRPr="00517675">
        <w:rPr>
          <w:rFonts w:ascii="Open Sans" w:hAnsi="Open Sans" w:cs="Open Sans"/>
          <w:sz w:val="20"/>
          <w:szCs w:val="20"/>
        </w:rPr>
        <w:t xml:space="preserve">still </w:t>
      </w:r>
      <w:r w:rsidR="00140F82" w:rsidRPr="00517675">
        <w:rPr>
          <w:rFonts w:ascii="Open Sans" w:hAnsi="Open Sans" w:cs="Open Sans"/>
          <w:sz w:val="20"/>
          <w:szCs w:val="20"/>
        </w:rPr>
        <w:t xml:space="preserve">very much within the </w:t>
      </w:r>
      <w:r w:rsidR="003711FD" w:rsidRPr="00517675">
        <w:rPr>
          <w:rFonts w:ascii="Open Sans" w:hAnsi="Open Sans" w:cs="Open Sans"/>
          <w:sz w:val="20"/>
          <w:szCs w:val="20"/>
        </w:rPr>
        <w:t xml:space="preserve">within the innovation </w:t>
      </w:r>
      <w:proofErr w:type="gramStart"/>
      <w:r w:rsidR="003711FD" w:rsidRPr="00517675">
        <w:rPr>
          <w:rFonts w:ascii="Open Sans" w:hAnsi="Open Sans" w:cs="Open Sans"/>
          <w:sz w:val="20"/>
          <w:szCs w:val="20"/>
        </w:rPr>
        <w:t>phase</w:t>
      </w:r>
      <w:proofErr w:type="gramEnd"/>
      <w:r w:rsidR="003711FD" w:rsidRPr="00517675">
        <w:rPr>
          <w:rFonts w:ascii="Open Sans" w:hAnsi="Open Sans" w:cs="Open Sans"/>
          <w:sz w:val="20"/>
          <w:szCs w:val="20"/>
        </w:rPr>
        <w:t xml:space="preserve"> so this feels prema</w:t>
      </w:r>
      <w:r w:rsidR="002D7A3D" w:rsidRPr="00517675">
        <w:rPr>
          <w:rFonts w:ascii="Open Sans" w:hAnsi="Open Sans" w:cs="Open Sans"/>
          <w:sz w:val="20"/>
          <w:szCs w:val="20"/>
        </w:rPr>
        <w:t xml:space="preserve">ture. </w:t>
      </w:r>
    </w:p>
    <w:p w14:paraId="49DBEB2B" w14:textId="540C4055" w:rsidR="002D7A3D" w:rsidRPr="00517675" w:rsidRDefault="00C66481" w:rsidP="00DE228D">
      <w:pPr>
        <w:rPr>
          <w:rFonts w:ascii="Open Sans" w:hAnsi="Open Sans" w:cs="Open Sans"/>
          <w:sz w:val="20"/>
          <w:szCs w:val="20"/>
        </w:rPr>
      </w:pPr>
      <w:r>
        <w:rPr>
          <w:rFonts w:ascii="Open Sans" w:hAnsi="Open Sans" w:cs="Open Sans"/>
          <w:sz w:val="20"/>
          <w:szCs w:val="20"/>
        </w:rPr>
        <w:t xml:space="preserve">As already </w:t>
      </w:r>
      <w:r w:rsidR="007109D1">
        <w:rPr>
          <w:rFonts w:ascii="Open Sans" w:hAnsi="Open Sans" w:cs="Open Sans"/>
          <w:sz w:val="20"/>
          <w:szCs w:val="20"/>
        </w:rPr>
        <w:t>mentioned</w:t>
      </w:r>
      <w:r>
        <w:rPr>
          <w:rFonts w:ascii="Open Sans" w:hAnsi="Open Sans" w:cs="Open Sans"/>
          <w:sz w:val="20"/>
          <w:szCs w:val="20"/>
        </w:rPr>
        <w:t xml:space="preserve"> in the </w:t>
      </w:r>
      <w:r w:rsidR="007109D1">
        <w:rPr>
          <w:rFonts w:ascii="Open Sans" w:hAnsi="Open Sans" w:cs="Open Sans"/>
          <w:sz w:val="20"/>
          <w:szCs w:val="20"/>
        </w:rPr>
        <w:t>response</w:t>
      </w:r>
      <w:r>
        <w:rPr>
          <w:rFonts w:ascii="Open Sans" w:hAnsi="Open Sans" w:cs="Open Sans"/>
          <w:sz w:val="20"/>
          <w:szCs w:val="20"/>
        </w:rPr>
        <w:t xml:space="preserve"> to </w:t>
      </w:r>
      <w:r w:rsidR="007109D1">
        <w:rPr>
          <w:rFonts w:ascii="Open Sans" w:hAnsi="Open Sans" w:cs="Open Sans"/>
          <w:sz w:val="20"/>
          <w:szCs w:val="20"/>
        </w:rPr>
        <w:t>question</w:t>
      </w:r>
      <w:r>
        <w:rPr>
          <w:rFonts w:ascii="Open Sans" w:hAnsi="Open Sans" w:cs="Open Sans"/>
          <w:sz w:val="20"/>
          <w:szCs w:val="20"/>
        </w:rPr>
        <w:t xml:space="preserve"> </w:t>
      </w:r>
      <w:r w:rsidR="007109D1">
        <w:rPr>
          <w:rFonts w:ascii="Open Sans" w:hAnsi="Open Sans" w:cs="Open Sans"/>
          <w:sz w:val="20"/>
          <w:szCs w:val="20"/>
        </w:rPr>
        <w:t>3. c</w:t>
      </w:r>
      <w:r w:rsidR="002D7A3D" w:rsidRPr="00517675">
        <w:rPr>
          <w:rFonts w:ascii="Open Sans" w:hAnsi="Open Sans" w:cs="Open Sans"/>
          <w:sz w:val="20"/>
          <w:szCs w:val="20"/>
        </w:rPr>
        <w:t xml:space="preserve">ompetitive price mechanism has worked well within the </w:t>
      </w:r>
      <w:r w:rsidR="00D2399F" w:rsidRPr="00517675">
        <w:rPr>
          <w:rFonts w:ascii="Open Sans" w:hAnsi="Open Sans" w:cs="Open Sans"/>
          <w:sz w:val="20"/>
          <w:szCs w:val="20"/>
        </w:rPr>
        <w:t xml:space="preserve">electricity </w:t>
      </w:r>
      <w:r w:rsidR="00195628" w:rsidRPr="00517675">
        <w:rPr>
          <w:rFonts w:ascii="Open Sans" w:hAnsi="Open Sans" w:cs="Open Sans"/>
          <w:sz w:val="20"/>
          <w:szCs w:val="20"/>
        </w:rPr>
        <w:t>market,</w:t>
      </w:r>
      <w:r w:rsidR="00D2399F" w:rsidRPr="00517675">
        <w:rPr>
          <w:rFonts w:ascii="Open Sans" w:hAnsi="Open Sans" w:cs="Open Sans"/>
          <w:sz w:val="20"/>
          <w:szCs w:val="20"/>
        </w:rPr>
        <w:t xml:space="preserve"> but this was stabilise</w:t>
      </w:r>
      <w:r w:rsidR="00140F82" w:rsidRPr="00517675">
        <w:rPr>
          <w:rFonts w:ascii="Open Sans" w:hAnsi="Open Sans" w:cs="Open Sans"/>
          <w:sz w:val="20"/>
          <w:szCs w:val="20"/>
        </w:rPr>
        <w:t>d</w:t>
      </w:r>
      <w:r w:rsidR="00D2399F" w:rsidRPr="00517675">
        <w:rPr>
          <w:rFonts w:ascii="Open Sans" w:hAnsi="Open Sans" w:cs="Open Sans"/>
          <w:sz w:val="20"/>
          <w:szCs w:val="20"/>
        </w:rPr>
        <w:t xml:space="preserve"> for 20 years or so before moving to more competitive pricing. </w:t>
      </w:r>
      <w:r w:rsidR="00235F0A" w:rsidRPr="00517675">
        <w:rPr>
          <w:rFonts w:ascii="Open Sans" w:hAnsi="Open Sans" w:cs="Open Sans"/>
          <w:sz w:val="20"/>
          <w:szCs w:val="20"/>
        </w:rPr>
        <w:t>And this was with a pre</w:t>
      </w:r>
      <w:r w:rsidR="00D17968" w:rsidRPr="00517675">
        <w:rPr>
          <w:rFonts w:ascii="Open Sans" w:hAnsi="Open Sans" w:cs="Open Sans"/>
          <w:sz w:val="20"/>
          <w:szCs w:val="20"/>
        </w:rPr>
        <w:t>-existing</w:t>
      </w:r>
      <w:r w:rsidR="00235F0A" w:rsidRPr="00517675">
        <w:rPr>
          <w:rFonts w:ascii="Open Sans" w:hAnsi="Open Sans" w:cs="Open Sans"/>
          <w:sz w:val="20"/>
          <w:szCs w:val="20"/>
        </w:rPr>
        <w:t xml:space="preserve"> </w:t>
      </w:r>
      <w:r w:rsidR="00AF32BE" w:rsidRPr="00517675">
        <w:rPr>
          <w:rFonts w:ascii="Open Sans" w:hAnsi="Open Sans" w:cs="Open Sans"/>
          <w:sz w:val="20"/>
          <w:szCs w:val="20"/>
        </w:rPr>
        <w:t>infrastructure</w:t>
      </w:r>
      <w:r w:rsidR="00D17968" w:rsidRPr="00517675">
        <w:rPr>
          <w:rFonts w:ascii="Open Sans" w:hAnsi="Open Sans" w:cs="Open Sans"/>
          <w:sz w:val="20"/>
          <w:szCs w:val="20"/>
        </w:rPr>
        <w:t xml:space="preserve"> not creating constraints to </w:t>
      </w:r>
      <w:proofErr w:type="gramStart"/>
      <w:r w:rsidR="00D17968" w:rsidRPr="00517675">
        <w:rPr>
          <w:rFonts w:ascii="Open Sans" w:hAnsi="Open Sans" w:cs="Open Sans"/>
          <w:sz w:val="20"/>
          <w:szCs w:val="20"/>
        </w:rPr>
        <w:t>off</w:t>
      </w:r>
      <w:r w:rsidR="00140F82" w:rsidRPr="00517675">
        <w:rPr>
          <w:rFonts w:ascii="Open Sans" w:hAnsi="Open Sans" w:cs="Open Sans"/>
          <w:sz w:val="20"/>
          <w:szCs w:val="20"/>
        </w:rPr>
        <w:t>-</w:t>
      </w:r>
      <w:r w:rsidR="00D17968" w:rsidRPr="00517675">
        <w:rPr>
          <w:rFonts w:ascii="Open Sans" w:hAnsi="Open Sans" w:cs="Open Sans"/>
          <w:sz w:val="20"/>
          <w:szCs w:val="20"/>
        </w:rPr>
        <w:t>takers</w:t>
      </w:r>
      <w:proofErr w:type="gramEnd"/>
      <w:r w:rsidR="00D17968" w:rsidRPr="00517675">
        <w:rPr>
          <w:rFonts w:ascii="Open Sans" w:hAnsi="Open Sans" w:cs="Open Sans"/>
          <w:sz w:val="20"/>
          <w:szCs w:val="20"/>
        </w:rPr>
        <w:t xml:space="preserve">. </w:t>
      </w:r>
    </w:p>
    <w:p w14:paraId="45616951" w14:textId="6DFDEAC6"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5. Which current and future electricity markets do electrolytic projects seek to participate in? How could changes to electricity markets or signals impact this? </w:t>
      </w:r>
    </w:p>
    <w:p w14:paraId="588A8031" w14:textId="684DF7C1" w:rsidR="008239A8" w:rsidRDefault="007C622A" w:rsidP="00B8535D">
      <w:pPr>
        <w:rPr>
          <w:rFonts w:ascii="Open Sans" w:hAnsi="Open Sans" w:cs="Open Sans"/>
          <w:sz w:val="20"/>
          <w:szCs w:val="20"/>
        </w:rPr>
      </w:pPr>
      <w:r w:rsidRPr="00517675">
        <w:rPr>
          <w:rFonts w:ascii="Open Sans" w:hAnsi="Open Sans" w:cs="Open Sans"/>
          <w:sz w:val="20"/>
          <w:szCs w:val="20"/>
        </w:rPr>
        <w:t xml:space="preserve">There </w:t>
      </w:r>
      <w:r w:rsidR="00A7231D" w:rsidRPr="00517675">
        <w:rPr>
          <w:rFonts w:ascii="Open Sans" w:hAnsi="Open Sans" w:cs="Open Sans"/>
          <w:sz w:val="20"/>
          <w:szCs w:val="20"/>
        </w:rPr>
        <w:t xml:space="preserve">is </w:t>
      </w:r>
      <w:r w:rsidR="009E6D6F">
        <w:rPr>
          <w:rFonts w:ascii="Open Sans" w:hAnsi="Open Sans" w:cs="Open Sans"/>
          <w:sz w:val="20"/>
          <w:szCs w:val="20"/>
        </w:rPr>
        <w:t xml:space="preserve">significant </w:t>
      </w:r>
      <w:r w:rsidR="00A7231D" w:rsidRPr="00517675">
        <w:rPr>
          <w:rFonts w:ascii="Open Sans" w:hAnsi="Open Sans" w:cs="Open Sans"/>
          <w:sz w:val="20"/>
          <w:szCs w:val="20"/>
        </w:rPr>
        <w:t xml:space="preserve">value </w:t>
      </w:r>
      <w:r w:rsidR="0024256F" w:rsidRPr="00517675">
        <w:rPr>
          <w:rFonts w:ascii="Open Sans" w:hAnsi="Open Sans" w:cs="Open Sans"/>
          <w:sz w:val="20"/>
          <w:szCs w:val="20"/>
        </w:rPr>
        <w:t xml:space="preserve">in hydrogen </w:t>
      </w:r>
      <w:r w:rsidR="00AE5E77">
        <w:rPr>
          <w:rFonts w:ascii="Open Sans" w:hAnsi="Open Sans" w:cs="Open Sans"/>
          <w:sz w:val="20"/>
          <w:szCs w:val="20"/>
        </w:rPr>
        <w:t xml:space="preserve">production </w:t>
      </w:r>
      <w:r w:rsidR="00F23DCC">
        <w:rPr>
          <w:rFonts w:ascii="Open Sans" w:hAnsi="Open Sans" w:cs="Open Sans"/>
          <w:sz w:val="20"/>
          <w:szCs w:val="20"/>
        </w:rPr>
        <w:t>being</w:t>
      </w:r>
      <w:r w:rsidR="00AE5E77">
        <w:rPr>
          <w:rFonts w:ascii="Open Sans" w:hAnsi="Open Sans" w:cs="Open Sans"/>
          <w:sz w:val="20"/>
          <w:szCs w:val="20"/>
        </w:rPr>
        <w:t xml:space="preserve"> used to </w:t>
      </w:r>
      <w:r w:rsidR="00F23DCC">
        <w:rPr>
          <w:rFonts w:ascii="Open Sans" w:hAnsi="Open Sans" w:cs="Open Sans"/>
          <w:sz w:val="20"/>
          <w:szCs w:val="20"/>
        </w:rPr>
        <w:t xml:space="preserve">alleviate network </w:t>
      </w:r>
      <w:r w:rsidR="008B6EEE">
        <w:rPr>
          <w:rFonts w:ascii="Open Sans" w:hAnsi="Open Sans" w:cs="Open Sans"/>
          <w:sz w:val="20"/>
          <w:szCs w:val="20"/>
        </w:rPr>
        <w:t>constraints</w:t>
      </w:r>
      <w:r w:rsidR="00F23DCC">
        <w:rPr>
          <w:rFonts w:ascii="Open Sans" w:hAnsi="Open Sans" w:cs="Open Sans"/>
          <w:sz w:val="20"/>
          <w:szCs w:val="20"/>
        </w:rPr>
        <w:t xml:space="preserve"> and avoiding</w:t>
      </w:r>
      <w:r w:rsidR="00E7615B">
        <w:rPr>
          <w:rFonts w:ascii="Open Sans" w:hAnsi="Open Sans" w:cs="Open Sans"/>
          <w:sz w:val="20"/>
          <w:szCs w:val="20"/>
        </w:rPr>
        <w:t xml:space="preserve"> curtailment in the </w:t>
      </w:r>
      <w:r w:rsidR="001B60A1">
        <w:rPr>
          <w:rFonts w:ascii="Open Sans" w:hAnsi="Open Sans" w:cs="Open Sans"/>
          <w:sz w:val="20"/>
          <w:szCs w:val="20"/>
        </w:rPr>
        <w:t>renewable</w:t>
      </w:r>
      <w:r w:rsidR="00E7615B">
        <w:rPr>
          <w:rFonts w:ascii="Open Sans" w:hAnsi="Open Sans" w:cs="Open Sans"/>
          <w:sz w:val="20"/>
          <w:szCs w:val="20"/>
        </w:rPr>
        <w:t xml:space="preserve"> energy markets </w:t>
      </w:r>
      <w:r w:rsidR="0024256F" w:rsidRPr="00517675">
        <w:rPr>
          <w:rFonts w:ascii="Open Sans" w:hAnsi="Open Sans" w:cs="Open Sans"/>
          <w:sz w:val="20"/>
          <w:szCs w:val="20"/>
        </w:rPr>
        <w:t xml:space="preserve">as this would help to </w:t>
      </w:r>
      <w:r w:rsidR="00230520" w:rsidRPr="00517675">
        <w:rPr>
          <w:rFonts w:ascii="Open Sans" w:hAnsi="Open Sans" w:cs="Open Sans"/>
          <w:sz w:val="20"/>
          <w:szCs w:val="20"/>
        </w:rPr>
        <w:t>ramp</w:t>
      </w:r>
      <w:r w:rsidR="0024256F" w:rsidRPr="00517675">
        <w:rPr>
          <w:rFonts w:ascii="Open Sans" w:hAnsi="Open Sans" w:cs="Open Sans"/>
          <w:sz w:val="20"/>
          <w:szCs w:val="20"/>
        </w:rPr>
        <w:t xml:space="preserve"> up production </w:t>
      </w:r>
      <w:r w:rsidR="00E57D59" w:rsidRPr="00517675">
        <w:rPr>
          <w:rFonts w:ascii="Open Sans" w:hAnsi="Open Sans" w:cs="Open Sans"/>
          <w:sz w:val="20"/>
          <w:szCs w:val="20"/>
        </w:rPr>
        <w:t xml:space="preserve">whilst also </w:t>
      </w:r>
      <w:r w:rsidR="0024256F" w:rsidRPr="00517675">
        <w:rPr>
          <w:rFonts w:ascii="Open Sans" w:hAnsi="Open Sans" w:cs="Open Sans"/>
          <w:sz w:val="20"/>
          <w:szCs w:val="20"/>
        </w:rPr>
        <w:t>decarbonis</w:t>
      </w:r>
      <w:r w:rsidR="00E57D59" w:rsidRPr="00517675">
        <w:rPr>
          <w:rFonts w:ascii="Open Sans" w:hAnsi="Open Sans" w:cs="Open Sans"/>
          <w:sz w:val="20"/>
          <w:szCs w:val="20"/>
        </w:rPr>
        <w:t>ing</w:t>
      </w:r>
      <w:r w:rsidR="0024256F" w:rsidRPr="00517675">
        <w:rPr>
          <w:rFonts w:ascii="Open Sans" w:hAnsi="Open Sans" w:cs="Open Sans"/>
          <w:sz w:val="20"/>
          <w:szCs w:val="20"/>
        </w:rPr>
        <w:t xml:space="preserve"> the </w:t>
      </w:r>
      <w:r w:rsidR="00230520" w:rsidRPr="00517675">
        <w:rPr>
          <w:rFonts w:ascii="Open Sans" w:hAnsi="Open Sans" w:cs="Open Sans"/>
          <w:sz w:val="20"/>
          <w:szCs w:val="20"/>
        </w:rPr>
        <w:t>energy</w:t>
      </w:r>
      <w:r w:rsidRPr="00517675">
        <w:rPr>
          <w:rFonts w:ascii="Open Sans" w:hAnsi="Open Sans" w:cs="Open Sans"/>
          <w:sz w:val="20"/>
          <w:szCs w:val="20"/>
        </w:rPr>
        <w:t xml:space="preserve"> </w:t>
      </w:r>
      <w:r w:rsidR="0018092A" w:rsidRPr="00517675">
        <w:rPr>
          <w:rFonts w:ascii="Open Sans" w:hAnsi="Open Sans" w:cs="Open Sans"/>
          <w:sz w:val="20"/>
          <w:szCs w:val="20"/>
        </w:rPr>
        <w:t>system</w:t>
      </w:r>
      <w:r w:rsidR="006935A4" w:rsidRPr="00517675">
        <w:rPr>
          <w:rFonts w:ascii="Open Sans" w:hAnsi="Open Sans" w:cs="Open Sans"/>
          <w:sz w:val="20"/>
          <w:szCs w:val="20"/>
        </w:rPr>
        <w:t xml:space="preserve">, </w:t>
      </w:r>
      <w:r w:rsidR="00230520" w:rsidRPr="00517675">
        <w:rPr>
          <w:rFonts w:ascii="Open Sans" w:hAnsi="Open Sans" w:cs="Open Sans"/>
          <w:sz w:val="20"/>
          <w:szCs w:val="20"/>
        </w:rPr>
        <w:t xml:space="preserve">vital to achieve </w:t>
      </w:r>
      <w:r w:rsidR="0018092A" w:rsidRPr="00517675">
        <w:rPr>
          <w:rFonts w:ascii="Open Sans" w:hAnsi="Open Sans" w:cs="Open Sans"/>
          <w:sz w:val="20"/>
          <w:szCs w:val="20"/>
        </w:rPr>
        <w:t>overall</w:t>
      </w:r>
      <w:r w:rsidR="00230520" w:rsidRPr="00517675">
        <w:rPr>
          <w:rFonts w:ascii="Open Sans" w:hAnsi="Open Sans" w:cs="Open Sans"/>
          <w:sz w:val="20"/>
          <w:szCs w:val="20"/>
        </w:rPr>
        <w:t xml:space="preserve"> net zero targets. </w:t>
      </w:r>
      <w:r w:rsidR="0018092A" w:rsidRPr="00517675">
        <w:rPr>
          <w:rFonts w:ascii="Open Sans" w:hAnsi="Open Sans" w:cs="Open Sans"/>
          <w:sz w:val="20"/>
          <w:szCs w:val="20"/>
        </w:rPr>
        <w:t>However,</w:t>
      </w:r>
      <w:r w:rsidR="00230520" w:rsidRPr="00517675">
        <w:rPr>
          <w:rFonts w:ascii="Open Sans" w:hAnsi="Open Sans" w:cs="Open Sans"/>
          <w:sz w:val="20"/>
          <w:szCs w:val="20"/>
        </w:rPr>
        <w:t xml:space="preserve"> </w:t>
      </w:r>
      <w:r w:rsidR="00163D80">
        <w:rPr>
          <w:rFonts w:ascii="Open Sans" w:hAnsi="Open Sans" w:cs="Open Sans"/>
          <w:sz w:val="20"/>
          <w:szCs w:val="20"/>
        </w:rPr>
        <w:t xml:space="preserve">while the access </w:t>
      </w:r>
      <w:r w:rsidR="00F25F6B">
        <w:rPr>
          <w:rFonts w:ascii="Open Sans" w:hAnsi="Open Sans" w:cs="Open Sans"/>
          <w:sz w:val="20"/>
          <w:szCs w:val="20"/>
        </w:rPr>
        <w:t>power</w:t>
      </w:r>
      <w:r w:rsidR="00163D80">
        <w:rPr>
          <w:rFonts w:ascii="Open Sans" w:hAnsi="Open Sans" w:cs="Open Sans"/>
          <w:sz w:val="20"/>
          <w:szCs w:val="20"/>
        </w:rPr>
        <w:t xml:space="preserve"> is itself ramping up to 2030 targets this will restrict the </w:t>
      </w:r>
      <w:r w:rsidR="006935A4" w:rsidRPr="00517675">
        <w:rPr>
          <w:rFonts w:ascii="Open Sans" w:hAnsi="Open Sans" w:cs="Open Sans"/>
          <w:sz w:val="20"/>
          <w:szCs w:val="20"/>
        </w:rPr>
        <w:t xml:space="preserve">access to </w:t>
      </w:r>
      <w:r w:rsidR="00F25F6B">
        <w:rPr>
          <w:rFonts w:ascii="Open Sans" w:hAnsi="Open Sans" w:cs="Open Sans"/>
          <w:sz w:val="20"/>
          <w:szCs w:val="20"/>
        </w:rPr>
        <w:t xml:space="preserve">energy and potentially limit production. This may </w:t>
      </w:r>
      <w:r w:rsidR="009244A0">
        <w:rPr>
          <w:rFonts w:ascii="Open Sans" w:hAnsi="Open Sans" w:cs="Open Sans"/>
          <w:sz w:val="20"/>
          <w:szCs w:val="20"/>
        </w:rPr>
        <w:t xml:space="preserve">require flexibility in the system to avoid investment constraints. </w:t>
      </w:r>
    </w:p>
    <w:p w14:paraId="747198AC" w14:textId="5FC80CA2" w:rsidR="005434C0" w:rsidRDefault="009244A0" w:rsidP="00B8535D">
      <w:pPr>
        <w:rPr>
          <w:rFonts w:ascii="Open Sans" w:hAnsi="Open Sans" w:cs="Open Sans"/>
          <w:sz w:val="20"/>
          <w:szCs w:val="20"/>
        </w:rPr>
      </w:pPr>
      <w:r>
        <w:rPr>
          <w:rFonts w:ascii="Open Sans" w:hAnsi="Open Sans" w:cs="Open Sans"/>
          <w:sz w:val="20"/>
          <w:szCs w:val="20"/>
        </w:rPr>
        <w:t>F</w:t>
      </w:r>
      <w:r w:rsidR="006935A4" w:rsidRPr="00517675">
        <w:rPr>
          <w:rFonts w:ascii="Open Sans" w:hAnsi="Open Sans" w:cs="Open Sans"/>
          <w:sz w:val="20"/>
          <w:szCs w:val="20"/>
        </w:rPr>
        <w:t xml:space="preserve">uture electricity markets </w:t>
      </w:r>
      <w:r w:rsidR="00CB4AA6">
        <w:rPr>
          <w:rFonts w:ascii="Open Sans" w:hAnsi="Open Sans" w:cs="Open Sans"/>
          <w:sz w:val="20"/>
          <w:szCs w:val="20"/>
        </w:rPr>
        <w:t xml:space="preserve">will </w:t>
      </w:r>
      <w:r w:rsidR="00A14F13">
        <w:rPr>
          <w:rFonts w:ascii="Open Sans" w:hAnsi="Open Sans" w:cs="Open Sans"/>
          <w:sz w:val="20"/>
          <w:szCs w:val="20"/>
        </w:rPr>
        <w:t>depend on location and access to the grid connections</w:t>
      </w:r>
      <w:r w:rsidR="00D0756B">
        <w:rPr>
          <w:rFonts w:ascii="Open Sans" w:hAnsi="Open Sans" w:cs="Open Sans"/>
          <w:sz w:val="20"/>
          <w:szCs w:val="20"/>
        </w:rPr>
        <w:t xml:space="preserve"> and </w:t>
      </w:r>
      <w:r w:rsidR="00EF51C0">
        <w:rPr>
          <w:rFonts w:ascii="Open Sans" w:hAnsi="Open Sans" w:cs="Open Sans"/>
          <w:sz w:val="20"/>
          <w:szCs w:val="20"/>
        </w:rPr>
        <w:t xml:space="preserve">an </w:t>
      </w:r>
      <w:r w:rsidR="00C14B49">
        <w:rPr>
          <w:rFonts w:ascii="Open Sans" w:hAnsi="Open Sans" w:cs="Open Sans"/>
          <w:sz w:val="20"/>
          <w:szCs w:val="20"/>
        </w:rPr>
        <w:t>`</w:t>
      </w:r>
      <w:r w:rsidR="00D0756B">
        <w:rPr>
          <w:rFonts w:ascii="Open Sans" w:hAnsi="Open Sans" w:cs="Open Sans"/>
          <w:sz w:val="20"/>
          <w:szCs w:val="20"/>
        </w:rPr>
        <w:t>additionality</w:t>
      </w:r>
      <w:r w:rsidR="00C14B49">
        <w:rPr>
          <w:rFonts w:ascii="Open Sans" w:hAnsi="Open Sans" w:cs="Open Sans"/>
          <w:sz w:val="20"/>
          <w:szCs w:val="20"/>
        </w:rPr>
        <w:t>`</w:t>
      </w:r>
      <w:r w:rsidR="00D0756B">
        <w:rPr>
          <w:rFonts w:ascii="Open Sans" w:hAnsi="Open Sans" w:cs="Open Sans"/>
          <w:sz w:val="20"/>
          <w:szCs w:val="20"/>
        </w:rPr>
        <w:t xml:space="preserve"> criteria may be less restrictive in the future</w:t>
      </w:r>
      <w:r w:rsidR="0089019E">
        <w:rPr>
          <w:rFonts w:ascii="Open Sans" w:hAnsi="Open Sans" w:cs="Open Sans"/>
          <w:sz w:val="20"/>
          <w:szCs w:val="20"/>
        </w:rPr>
        <w:t>,</w:t>
      </w:r>
      <w:r w:rsidR="00EF51C0">
        <w:rPr>
          <w:rFonts w:ascii="Open Sans" w:hAnsi="Open Sans" w:cs="Open Sans"/>
          <w:sz w:val="20"/>
          <w:szCs w:val="20"/>
        </w:rPr>
        <w:t xml:space="preserve"> especially with decisions being made on hydrogen blending. </w:t>
      </w:r>
      <w:r w:rsidR="0089019E">
        <w:rPr>
          <w:rFonts w:ascii="Open Sans" w:hAnsi="Open Sans" w:cs="Open Sans"/>
          <w:sz w:val="20"/>
          <w:szCs w:val="20"/>
        </w:rPr>
        <w:t xml:space="preserve"> A</w:t>
      </w:r>
      <w:r w:rsidR="00E21F64">
        <w:rPr>
          <w:rFonts w:ascii="Open Sans" w:hAnsi="Open Sans" w:cs="Open Sans"/>
          <w:sz w:val="20"/>
          <w:szCs w:val="20"/>
        </w:rPr>
        <w:t>s the</w:t>
      </w:r>
      <w:r w:rsidR="00D1280E">
        <w:rPr>
          <w:rFonts w:ascii="Open Sans" w:hAnsi="Open Sans" w:cs="Open Sans"/>
          <w:sz w:val="20"/>
          <w:szCs w:val="20"/>
        </w:rPr>
        <w:t xml:space="preserve"> </w:t>
      </w:r>
      <w:r w:rsidR="00E21F64">
        <w:rPr>
          <w:rFonts w:ascii="Open Sans" w:hAnsi="Open Sans" w:cs="Open Sans"/>
          <w:sz w:val="20"/>
          <w:szCs w:val="20"/>
        </w:rPr>
        <w:t xml:space="preserve">costs </w:t>
      </w:r>
      <w:r w:rsidR="00D1280E">
        <w:rPr>
          <w:rFonts w:ascii="Open Sans" w:hAnsi="Open Sans" w:cs="Open Sans"/>
          <w:sz w:val="20"/>
          <w:szCs w:val="20"/>
        </w:rPr>
        <w:t>s</w:t>
      </w:r>
      <w:r w:rsidR="00E21F64">
        <w:rPr>
          <w:rFonts w:ascii="Open Sans" w:hAnsi="Open Sans" w:cs="Open Sans"/>
          <w:sz w:val="20"/>
          <w:szCs w:val="20"/>
        </w:rPr>
        <w:t xml:space="preserve">avings in the renewable energy production </w:t>
      </w:r>
      <w:r w:rsidR="00BB7D8E">
        <w:rPr>
          <w:rFonts w:ascii="Open Sans" w:hAnsi="Open Sans" w:cs="Open Sans"/>
          <w:sz w:val="20"/>
          <w:szCs w:val="20"/>
        </w:rPr>
        <w:t xml:space="preserve">increase </w:t>
      </w:r>
      <w:r w:rsidR="009B16B2">
        <w:rPr>
          <w:rFonts w:ascii="Open Sans" w:hAnsi="Open Sans" w:cs="Open Sans"/>
          <w:sz w:val="20"/>
          <w:szCs w:val="20"/>
        </w:rPr>
        <w:t xml:space="preserve">with </w:t>
      </w:r>
      <w:r w:rsidR="00BB7D8E">
        <w:rPr>
          <w:rFonts w:ascii="Open Sans" w:hAnsi="Open Sans" w:cs="Open Sans"/>
          <w:sz w:val="20"/>
          <w:szCs w:val="20"/>
        </w:rPr>
        <w:t xml:space="preserve">2030 </w:t>
      </w:r>
      <w:r w:rsidR="00B02804">
        <w:rPr>
          <w:rFonts w:ascii="Open Sans" w:hAnsi="Open Sans" w:cs="Open Sans"/>
          <w:sz w:val="20"/>
          <w:szCs w:val="20"/>
        </w:rPr>
        <w:t xml:space="preserve">targets </w:t>
      </w:r>
      <w:r w:rsidR="00BB7D8E">
        <w:rPr>
          <w:rFonts w:ascii="Open Sans" w:hAnsi="Open Sans" w:cs="Open Sans"/>
          <w:sz w:val="20"/>
          <w:szCs w:val="20"/>
        </w:rPr>
        <w:t xml:space="preserve">and beyond, there will be more access to additional energy sources to </w:t>
      </w:r>
      <w:r w:rsidR="00D1280E">
        <w:rPr>
          <w:rFonts w:ascii="Open Sans" w:hAnsi="Open Sans" w:cs="Open Sans"/>
          <w:sz w:val="20"/>
          <w:szCs w:val="20"/>
        </w:rPr>
        <w:t xml:space="preserve">drive down input costs and </w:t>
      </w:r>
      <w:r w:rsidR="00776245">
        <w:rPr>
          <w:rFonts w:ascii="Open Sans" w:hAnsi="Open Sans" w:cs="Open Sans"/>
          <w:sz w:val="20"/>
          <w:szCs w:val="20"/>
        </w:rPr>
        <w:t xml:space="preserve">prevent a conflict for </w:t>
      </w:r>
      <w:r w:rsidR="0028160B">
        <w:rPr>
          <w:rFonts w:ascii="Open Sans" w:hAnsi="Open Sans" w:cs="Open Sans"/>
          <w:sz w:val="20"/>
          <w:szCs w:val="20"/>
        </w:rPr>
        <w:t xml:space="preserve">renewable sources </w:t>
      </w:r>
      <w:r w:rsidR="005F324F">
        <w:rPr>
          <w:rFonts w:ascii="Open Sans" w:hAnsi="Open Sans" w:cs="Open Sans"/>
          <w:sz w:val="20"/>
          <w:szCs w:val="20"/>
        </w:rPr>
        <w:t>being</w:t>
      </w:r>
      <w:r w:rsidR="0028160B">
        <w:rPr>
          <w:rFonts w:ascii="Open Sans" w:hAnsi="Open Sans" w:cs="Open Sans"/>
          <w:sz w:val="20"/>
          <w:szCs w:val="20"/>
        </w:rPr>
        <w:t xml:space="preserve"> used </w:t>
      </w:r>
      <w:r w:rsidR="00D17716">
        <w:rPr>
          <w:rFonts w:ascii="Open Sans" w:hAnsi="Open Sans" w:cs="Open Sans"/>
          <w:sz w:val="20"/>
          <w:szCs w:val="20"/>
        </w:rPr>
        <w:t>for hydrogen production</w:t>
      </w:r>
      <w:r w:rsidR="0028160B">
        <w:rPr>
          <w:rFonts w:ascii="Open Sans" w:hAnsi="Open Sans" w:cs="Open Sans"/>
          <w:sz w:val="20"/>
          <w:szCs w:val="20"/>
        </w:rPr>
        <w:t xml:space="preserve"> away from </w:t>
      </w:r>
      <w:r w:rsidR="00111554">
        <w:rPr>
          <w:rFonts w:ascii="Open Sans" w:hAnsi="Open Sans" w:cs="Open Sans"/>
          <w:sz w:val="20"/>
          <w:szCs w:val="20"/>
        </w:rPr>
        <w:t>direct</w:t>
      </w:r>
      <w:r w:rsidR="005F324F">
        <w:rPr>
          <w:rFonts w:ascii="Open Sans" w:hAnsi="Open Sans" w:cs="Open Sans"/>
          <w:sz w:val="20"/>
          <w:szCs w:val="20"/>
        </w:rPr>
        <w:t xml:space="preserve"> electricity users. </w:t>
      </w:r>
      <w:proofErr w:type="gramStart"/>
      <w:r w:rsidR="00625956">
        <w:rPr>
          <w:rFonts w:ascii="Open Sans" w:hAnsi="Open Sans" w:cs="Open Sans"/>
          <w:sz w:val="20"/>
          <w:szCs w:val="20"/>
        </w:rPr>
        <w:t>A</w:t>
      </w:r>
      <w:proofErr w:type="gramEnd"/>
      <w:r w:rsidR="00625956">
        <w:rPr>
          <w:rFonts w:ascii="Open Sans" w:hAnsi="Open Sans" w:cs="Open Sans"/>
          <w:sz w:val="20"/>
          <w:szCs w:val="20"/>
        </w:rPr>
        <w:t xml:space="preserve"> </w:t>
      </w:r>
      <w:r w:rsidR="00111554">
        <w:rPr>
          <w:rFonts w:ascii="Open Sans" w:hAnsi="Open Sans" w:cs="Open Sans"/>
          <w:sz w:val="20"/>
          <w:szCs w:val="20"/>
        </w:rPr>
        <w:t xml:space="preserve">argument </w:t>
      </w:r>
      <w:r w:rsidR="002C2379">
        <w:rPr>
          <w:rFonts w:ascii="Open Sans" w:hAnsi="Open Sans" w:cs="Open Sans"/>
          <w:sz w:val="20"/>
          <w:szCs w:val="20"/>
        </w:rPr>
        <w:t xml:space="preserve">used </w:t>
      </w:r>
      <w:r w:rsidR="00D17716">
        <w:rPr>
          <w:rFonts w:ascii="Open Sans" w:hAnsi="Open Sans" w:cs="Open Sans"/>
          <w:sz w:val="20"/>
          <w:szCs w:val="20"/>
        </w:rPr>
        <w:t xml:space="preserve">against the introduction of the hydrogen levy. </w:t>
      </w:r>
    </w:p>
    <w:p w14:paraId="08900F3A" w14:textId="0FA2DD8E" w:rsidR="00DF06F0" w:rsidRPr="00517675" w:rsidRDefault="00DF06F0" w:rsidP="00B8535D">
      <w:pPr>
        <w:rPr>
          <w:rFonts w:ascii="Open Sans" w:hAnsi="Open Sans" w:cs="Open Sans"/>
          <w:sz w:val="20"/>
          <w:szCs w:val="20"/>
        </w:rPr>
      </w:pPr>
      <w:r w:rsidRPr="00DF06F0">
        <w:rPr>
          <w:rFonts w:ascii="Open Sans" w:hAnsi="Open Sans" w:cs="Open Sans"/>
          <w:sz w:val="20"/>
          <w:szCs w:val="20"/>
          <w:highlight w:val="yellow"/>
        </w:rPr>
        <w:lastRenderedPageBreak/>
        <w:t xml:space="preserve">Members comments </w:t>
      </w:r>
      <w:r w:rsidR="002C2379" w:rsidRPr="00DF06F0">
        <w:rPr>
          <w:rFonts w:ascii="Open Sans" w:hAnsi="Open Sans" w:cs="Open Sans"/>
          <w:sz w:val="20"/>
          <w:szCs w:val="20"/>
          <w:highlight w:val="yellow"/>
        </w:rPr>
        <w:t>required.</w:t>
      </w:r>
    </w:p>
    <w:p w14:paraId="658DE74B" w14:textId="77777777"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6. How could electrolytic projects look to configure themselves and operate to deliver ‘harnessing electricity system benefits’ as set out in Chapter 2? Do you think these configurations/operating models could be feasible and commercially viable, and if not, why? </w:t>
      </w:r>
    </w:p>
    <w:p w14:paraId="53850761" w14:textId="5CC9B211" w:rsidR="006E3C4C" w:rsidRDefault="004D4AD1" w:rsidP="00B8535D">
      <w:pPr>
        <w:rPr>
          <w:rFonts w:ascii="Open Sans" w:hAnsi="Open Sans" w:cs="Open Sans"/>
          <w:sz w:val="20"/>
          <w:szCs w:val="20"/>
        </w:rPr>
      </w:pPr>
      <w:r w:rsidRPr="00AF5419">
        <w:rPr>
          <w:rFonts w:ascii="Open Sans" w:hAnsi="Open Sans" w:cs="Open Sans"/>
          <w:sz w:val="20"/>
          <w:szCs w:val="20"/>
        </w:rPr>
        <w:t xml:space="preserve">As mentioned in Question 5 </w:t>
      </w:r>
      <w:r w:rsidR="0010410A" w:rsidRPr="00AF5419">
        <w:rPr>
          <w:rFonts w:ascii="Open Sans" w:hAnsi="Open Sans" w:cs="Open Sans"/>
          <w:sz w:val="20"/>
          <w:szCs w:val="20"/>
        </w:rPr>
        <w:t xml:space="preserve">there </w:t>
      </w:r>
      <w:r w:rsidR="003109F6">
        <w:rPr>
          <w:rFonts w:ascii="Open Sans" w:hAnsi="Open Sans" w:cs="Open Sans"/>
          <w:sz w:val="20"/>
          <w:szCs w:val="20"/>
        </w:rPr>
        <w:t>can be</w:t>
      </w:r>
      <w:r w:rsidR="0010410A" w:rsidRPr="00AF5419">
        <w:rPr>
          <w:rFonts w:ascii="Open Sans" w:hAnsi="Open Sans" w:cs="Open Sans"/>
          <w:sz w:val="20"/>
          <w:szCs w:val="20"/>
        </w:rPr>
        <w:t xml:space="preserve"> significant benefit</w:t>
      </w:r>
      <w:r w:rsidR="003109F6">
        <w:rPr>
          <w:rFonts w:ascii="Open Sans" w:hAnsi="Open Sans" w:cs="Open Sans"/>
          <w:sz w:val="20"/>
          <w:szCs w:val="20"/>
        </w:rPr>
        <w:t>s</w:t>
      </w:r>
      <w:r w:rsidR="0010410A" w:rsidRPr="00AF5419">
        <w:rPr>
          <w:rFonts w:ascii="Open Sans" w:hAnsi="Open Sans" w:cs="Open Sans"/>
          <w:sz w:val="20"/>
          <w:szCs w:val="20"/>
        </w:rPr>
        <w:t xml:space="preserve"> to </w:t>
      </w:r>
      <w:r w:rsidR="0006472B" w:rsidRPr="00AF5419">
        <w:rPr>
          <w:rFonts w:ascii="Open Sans" w:hAnsi="Open Sans" w:cs="Open Sans"/>
          <w:sz w:val="20"/>
          <w:szCs w:val="20"/>
        </w:rPr>
        <w:t>configur</w:t>
      </w:r>
      <w:r w:rsidR="003109F6">
        <w:rPr>
          <w:rFonts w:ascii="Open Sans" w:hAnsi="Open Sans" w:cs="Open Sans"/>
          <w:sz w:val="20"/>
          <w:szCs w:val="20"/>
        </w:rPr>
        <w:t>ing</w:t>
      </w:r>
      <w:r w:rsidR="0006472B" w:rsidRPr="00AF5419">
        <w:rPr>
          <w:rFonts w:ascii="Open Sans" w:hAnsi="Open Sans" w:cs="Open Sans"/>
          <w:sz w:val="20"/>
          <w:szCs w:val="20"/>
        </w:rPr>
        <w:t xml:space="preserve"> electrolytic </w:t>
      </w:r>
      <w:r w:rsidR="0010410A" w:rsidRPr="00AF5419">
        <w:rPr>
          <w:rFonts w:ascii="Open Sans" w:hAnsi="Open Sans" w:cs="Open Sans"/>
          <w:sz w:val="20"/>
          <w:szCs w:val="20"/>
        </w:rPr>
        <w:t xml:space="preserve">operations to </w:t>
      </w:r>
      <w:r w:rsidR="006D48C1" w:rsidRPr="00AF5419">
        <w:rPr>
          <w:rFonts w:ascii="Open Sans" w:hAnsi="Open Sans" w:cs="Open Sans"/>
          <w:sz w:val="20"/>
          <w:szCs w:val="20"/>
        </w:rPr>
        <w:t xml:space="preserve">provide grid balancing and avoid curtailment. </w:t>
      </w:r>
      <w:r w:rsidR="00D17716" w:rsidRPr="00AF5419">
        <w:rPr>
          <w:rFonts w:ascii="Open Sans" w:hAnsi="Open Sans" w:cs="Open Sans"/>
          <w:sz w:val="20"/>
          <w:szCs w:val="20"/>
        </w:rPr>
        <w:t>However,</w:t>
      </w:r>
      <w:r w:rsidR="006D48C1" w:rsidRPr="00AF5419">
        <w:rPr>
          <w:rFonts w:ascii="Open Sans" w:hAnsi="Open Sans" w:cs="Open Sans"/>
          <w:sz w:val="20"/>
          <w:szCs w:val="20"/>
        </w:rPr>
        <w:t xml:space="preserve"> the </w:t>
      </w:r>
      <w:r w:rsidR="00747CFE" w:rsidRPr="00AF5419">
        <w:rPr>
          <w:rFonts w:ascii="Open Sans" w:hAnsi="Open Sans" w:cs="Open Sans"/>
          <w:sz w:val="20"/>
          <w:szCs w:val="20"/>
        </w:rPr>
        <w:t>concern</w:t>
      </w:r>
      <w:r w:rsidR="006D48C1" w:rsidRPr="00AF5419">
        <w:rPr>
          <w:rFonts w:ascii="Open Sans" w:hAnsi="Open Sans" w:cs="Open Sans"/>
          <w:sz w:val="20"/>
          <w:szCs w:val="20"/>
        </w:rPr>
        <w:t xml:space="preserve"> would be </w:t>
      </w:r>
      <w:r w:rsidR="00DC070E" w:rsidRPr="00AF5419">
        <w:rPr>
          <w:rFonts w:ascii="Open Sans" w:hAnsi="Open Sans" w:cs="Open Sans"/>
          <w:sz w:val="20"/>
          <w:szCs w:val="20"/>
        </w:rPr>
        <w:t xml:space="preserve">if electrolytic projects are restricted only to excess power that the ability to </w:t>
      </w:r>
      <w:r w:rsidR="00747CFE" w:rsidRPr="00AF5419">
        <w:rPr>
          <w:rFonts w:ascii="Open Sans" w:hAnsi="Open Sans" w:cs="Open Sans"/>
          <w:sz w:val="20"/>
          <w:szCs w:val="20"/>
        </w:rPr>
        <w:t xml:space="preserve">maintain a high enough production would be </w:t>
      </w:r>
      <w:r w:rsidR="00AF5419" w:rsidRPr="00AF5419">
        <w:rPr>
          <w:rFonts w:ascii="Open Sans" w:hAnsi="Open Sans" w:cs="Open Sans"/>
          <w:sz w:val="20"/>
          <w:szCs w:val="20"/>
        </w:rPr>
        <w:t xml:space="preserve">limited and diminish investment potential. </w:t>
      </w:r>
      <w:r w:rsidR="000E0D33">
        <w:rPr>
          <w:rFonts w:ascii="Open Sans" w:hAnsi="Open Sans" w:cs="Open Sans"/>
          <w:sz w:val="20"/>
          <w:szCs w:val="20"/>
        </w:rPr>
        <w:t xml:space="preserve">There would need to be incentives to balance any restrictions. </w:t>
      </w:r>
    </w:p>
    <w:p w14:paraId="6A7A00A9" w14:textId="1C695F14" w:rsidR="005434C0" w:rsidRPr="007D189C" w:rsidRDefault="008A0A93" w:rsidP="00B8535D">
      <w:pPr>
        <w:rPr>
          <w:rFonts w:ascii="Open Sans" w:hAnsi="Open Sans" w:cs="Open Sans"/>
          <w:b/>
          <w:bCs/>
          <w:sz w:val="20"/>
          <w:szCs w:val="20"/>
        </w:rPr>
      </w:pPr>
      <w:r>
        <w:rPr>
          <w:rFonts w:ascii="Open Sans" w:hAnsi="Open Sans" w:cs="Open Sans"/>
          <w:sz w:val="20"/>
          <w:szCs w:val="20"/>
        </w:rPr>
        <w:t>Obviously,</w:t>
      </w:r>
      <w:r w:rsidR="0060521F">
        <w:rPr>
          <w:rFonts w:ascii="Open Sans" w:hAnsi="Open Sans" w:cs="Open Sans"/>
          <w:sz w:val="20"/>
          <w:szCs w:val="20"/>
        </w:rPr>
        <w:t xml:space="preserve"> the amount of </w:t>
      </w:r>
      <w:r w:rsidR="00FA3A98">
        <w:rPr>
          <w:rFonts w:ascii="Open Sans" w:hAnsi="Open Sans" w:cs="Open Sans"/>
          <w:sz w:val="20"/>
          <w:szCs w:val="20"/>
        </w:rPr>
        <w:t xml:space="preserve">accessible power </w:t>
      </w:r>
      <w:r w:rsidR="00384954">
        <w:rPr>
          <w:rFonts w:ascii="Open Sans" w:hAnsi="Open Sans" w:cs="Open Sans"/>
          <w:sz w:val="20"/>
          <w:szCs w:val="20"/>
        </w:rPr>
        <w:t xml:space="preserve">would be best in certain Zones as depicted </w:t>
      </w:r>
      <w:r w:rsidR="0078624E">
        <w:rPr>
          <w:rFonts w:ascii="Open Sans" w:hAnsi="Open Sans" w:cs="Open Sans"/>
          <w:sz w:val="20"/>
          <w:szCs w:val="20"/>
        </w:rPr>
        <w:t>in</w:t>
      </w:r>
      <w:r w:rsidR="00384954">
        <w:rPr>
          <w:rFonts w:ascii="Open Sans" w:hAnsi="Open Sans" w:cs="Open Sans"/>
          <w:sz w:val="20"/>
          <w:szCs w:val="20"/>
        </w:rPr>
        <w:t xml:space="preserve"> Figure 1</w:t>
      </w:r>
      <w:r w:rsidR="00A16E28">
        <w:rPr>
          <w:rFonts w:ascii="Open Sans" w:hAnsi="Open Sans" w:cs="Open Sans"/>
          <w:sz w:val="20"/>
          <w:szCs w:val="20"/>
        </w:rPr>
        <w:t xml:space="preserve">, so locational benefits will be strongest where </w:t>
      </w:r>
      <w:r w:rsidR="00A31E3D">
        <w:rPr>
          <w:rFonts w:ascii="Open Sans" w:hAnsi="Open Sans" w:cs="Open Sans"/>
          <w:sz w:val="20"/>
          <w:szCs w:val="20"/>
        </w:rPr>
        <w:t>projects</w:t>
      </w:r>
      <w:r w:rsidR="00A16E28">
        <w:rPr>
          <w:rFonts w:ascii="Open Sans" w:hAnsi="Open Sans" w:cs="Open Sans"/>
          <w:sz w:val="20"/>
          <w:szCs w:val="20"/>
        </w:rPr>
        <w:t xml:space="preserve"> are set in zones </w:t>
      </w:r>
      <w:r w:rsidR="00A31E3D">
        <w:rPr>
          <w:rFonts w:ascii="Open Sans" w:hAnsi="Open Sans" w:cs="Open Sans"/>
          <w:sz w:val="20"/>
          <w:szCs w:val="20"/>
        </w:rPr>
        <w:t>A-C</w:t>
      </w:r>
      <w:r w:rsidR="0078624E">
        <w:rPr>
          <w:rFonts w:ascii="Open Sans" w:hAnsi="Open Sans" w:cs="Open Sans"/>
          <w:sz w:val="20"/>
          <w:szCs w:val="20"/>
        </w:rPr>
        <w:t xml:space="preserve">. </w:t>
      </w:r>
      <w:proofErr w:type="gramStart"/>
      <w:r w:rsidR="0078624E">
        <w:rPr>
          <w:rFonts w:ascii="Open Sans" w:hAnsi="Open Sans" w:cs="Open Sans"/>
          <w:sz w:val="20"/>
          <w:szCs w:val="20"/>
        </w:rPr>
        <w:t>H</w:t>
      </w:r>
      <w:r w:rsidR="00A31E3D">
        <w:rPr>
          <w:rFonts w:ascii="Open Sans" w:hAnsi="Open Sans" w:cs="Open Sans"/>
          <w:sz w:val="20"/>
          <w:szCs w:val="20"/>
        </w:rPr>
        <w:t>owever</w:t>
      </w:r>
      <w:proofErr w:type="gramEnd"/>
      <w:r w:rsidR="00A31E3D">
        <w:rPr>
          <w:rFonts w:ascii="Open Sans" w:hAnsi="Open Sans" w:cs="Open Sans"/>
          <w:sz w:val="20"/>
          <w:szCs w:val="20"/>
        </w:rPr>
        <w:t xml:space="preserve"> </w:t>
      </w:r>
      <w:r w:rsidR="006B6465">
        <w:rPr>
          <w:rFonts w:ascii="Open Sans" w:hAnsi="Open Sans" w:cs="Open Sans"/>
          <w:sz w:val="20"/>
          <w:szCs w:val="20"/>
        </w:rPr>
        <w:t>p</w:t>
      </w:r>
      <w:r w:rsidR="006E3C4C" w:rsidRPr="00517675">
        <w:rPr>
          <w:rFonts w:ascii="Open Sans" w:hAnsi="Open Sans" w:cs="Open Sans"/>
          <w:sz w:val="20"/>
          <w:szCs w:val="20"/>
        </w:rPr>
        <w:t xml:space="preserve">rojects for some grid networks can link projects directly to high energy industrial systems such as the South Wales </w:t>
      </w:r>
      <w:r w:rsidR="006B6465">
        <w:rPr>
          <w:rFonts w:ascii="Open Sans" w:hAnsi="Open Sans" w:cs="Open Sans"/>
          <w:sz w:val="20"/>
          <w:szCs w:val="20"/>
        </w:rPr>
        <w:t xml:space="preserve">industrial </w:t>
      </w:r>
      <w:r w:rsidR="002B7EFB">
        <w:rPr>
          <w:rFonts w:ascii="Open Sans" w:hAnsi="Open Sans" w:cs="Open Sans"/>
          <w:sz w:val="20"/>
          <w:szCs w:val="20"/>
        </w:rPr>
        <w:t>cluster</w:t>
      </w:r>
      <w:r w:rsidR="00383225">
        <w:rPr>
          <w:rFonts w:ascii="Open Sans" w:hAnsi="Open Sans" w:cs="Open Sans"/>
          <w:sz w:val="20"/>
          <w:szCs w:val="20"/>
        </w:rPr>
        <w:t xml:space="preserve"> which I currently in a zone F. The locational </w:t>
      </w:r>
      <w:r w:rsidR="00732C5C">
        <w:rPr>
          <w:rFonts w:ascii="Open Sans" w:hAnsi="Open Sans" w:cs="Open Sans"/>
          <w:sz w:val="20"/>
          <w:szCs w:val="20"/>
        </w:rPr>
        <w:t xml:space="preserve">benefits should also be from the point of </w:t>
      </w:r>
      <w:proofErr w:type="spellStart"/>
      <w:r w:rsidR="00732C5C">
        <w:rPr>
          <w:rFonts w:ascii="Open Sans" w:hAnsi="Open Sans" w:cs="Open Sans"/>
          <w:sz w:val="20"/>
          <w:szCs w:val="20"/>
        </w:rPr>
        <w:t>offtakers</w:t>
      </w:r>
      <w:proofErr w:type="spellEnd"/>
      <w:r w:rsidR="00732C5C">
        <w:rPr>
          <w:rFonts w:ascii="Open Sans" w:hAnsi="Open Sans" w:cs="Open Sans"/>
          <w:sz w:val="20"/>
          <w:szCs w:val="20"/>
        </w:rPr>
        <w:t xml:space="preserve"> and need rather than access to </w:t>
      </w:r>
      <w:r w:rsidR="002E3D9B">
        <w:rPr>
          <w:rFonts w:ascii="Open Sans" w:hAnsi="Open Sans" w:cs="Open Sans"/>
          <w:sz w:val="20"/>
          <w:szCs w:val="20"/>
        </w:rPr>
        <w:t>renewable power sources and efforts to tie in the construction of power sources to service th</w:t>
      </w:r>
      <w:r>
        <w:rPr>
          <w:rFonts w:ascii="Open Sans" w:hAnsi="Open Sans" w:cs="Open Sans"/>
          <w:sz w:val="20"/>
          <w:szCs w:val="20"/>
        </w:rPr>
        <w:t xml:space="preserve">em. </w:t>
      </w:r>
      <w:r w:rsidR="005840B7">
        <w:rPr>
          <w:rFonts w:ascii="Open Sans" w:hAnsi="Open Sans" w:cs="Open Sans"/>
          <w:sz w:val="20"/>
          <w:szCs w:val="20"/>
        </w:rPr>
        <w:t>Altho</w:t>
      </w:r>
      <w:r w:rsidR="00926870">
        <w:rPr>
          <w:rFonts w:ascii="Open Sans" w:hAnsi="Open Sans" w:cs="Open Sans"/>
          <w:sz w:val="20"/>
          <w:szCs w:val="20"/>
        </w:rPr>
        <w:t xml:space="preserve">ugh there is </w:t>
      </w:r>
      <w:proofErr w:type="gramStart"/>
      <w:r w:rsidR="00926870">
        <w:rPr>
          <w:rFonts w:ascii="Open Sans" w:hAnsi="Open Sans" w:cs="Open Sans"/>
          <w:sz w:val="20"/>
          <w:szCs w:val="20"/>
        </w:rPr>
        <w:t>benefit</w:t>
      </w:r>
      <w:proofErr w:type="gramEnd"/>
      <w:r w:rsidR="00926870">
        <w:rPr>
          <w:rFonts w:ascii="Open Sans" w:hAnsi="Open Sans" w:cs="Open Sans"/>
          <w:sz w:val="20"/>
          <w:szCs w:val="20"/>
        </w:rPr>
        <w:t xml:space="preserve"> to setting locational </w:t>
      </w:r>
      <w:r w:rsidR="005C2A6C">
        <w:rPr>
          <w:rFonts w:ascii="Open Sans" w:hAnsi="Open Sans" w:cs="Open Sans"/>
          <w:sz w:val="20"/>
          <w:szCs w:val="20"/>
        </w:rPr>
        <w:t>configurations, t</w:t>
      </w:r>
      <w:r w:rsidR="00A663C8">
        <w:rPr>
          <w:rFonts w:ascii="Open Sans" w:hAnsi="Open Sans" w:cs="Open Sans"/>
          <w:sz w:val="20"/>
          <w:szCs w:val="20"/>
        </w:rPr>
        <w:t xml:space="preserve">here is also the possibility that </w:t>
      </w:r>
      <w:r w:rsidR="002B2129">
        <w:rPr>
          <w:rFonts w:ascii="Open Sans" w:hAnsi="Open Sans" w:cs="Open Sans"/>
          <w:sz w:val="20"/>
          <w:szCs w:val="20"/>
        </w:rPr>
        <w:t>restricti</w:t>
      </w:r>
      <w:r w:rsidR="005C2A6C">
        <w:rPr>
          <w:rFonts w:ascii="Open Sans" w:hAnsi="Open Sans" w:cs="Open Sans"/>
          <w:sz w:val="20"/>
          <w:szCs w:val="20"/>
        </w:rPr>
        <w:t xml:space="preserve">ons will limit projects </w:t>
      </w:r>
      <w:r w:rsidR="00AC6C17">
        <w:rPr>
          <w:rFonts w:ascii="Open Sans" w:hAnsi="Open Sans" w:cs="Open Sans"/>
          <w:sz w:val="20"/>
          <w:szCs w:val="20"/>
        </w:rPr>
        <w:t xml:space="preserve">such as with additionality. </w:t>
      </w:r>
    </w:p>
    <w:p w14:paraId="231BDF37" w14:textId="77777777"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7. Do you have evidence on potential demand for low carbon hydrogen production in locations in the UK that are optimal from an electricity system benefits perspective? Please refer to the map in Chapter 2 (‘Figure 1’). Economic benefits and supply chain development: </w:t>
      </w:r>
    </w:p>
    <w:p w14:paraId="5719B3C9" w14:textId="77777777" w:rsidR="002C2379" w:rsidRPr="00517675" w:rsidRDefault="002C2379" w:rsidP="002C2379">
      <w:pPr>
        <w:rPr>
          <w:rFonts w:ascii="Open Sans" w:hAnsi="Open Sans" w:cs="Open Sans"/>
          <w:sz w:val="20"/>
          <w:szCs w:val="20"/>
        </w:rPr>
      </w:pPr>
      <w:r w:rsidRPr="00DF06F0">
        <w:rPr>
          <w:rFonts w:ascii="Open Sans" w:hAnsi="Open Sans" w:cs="Open Sans"/>
          <w:sz w:val="20"/>
          <w:szCs w:val="20"/>
          <w:highlight w:val="yellow"/>
        </w:rPr>
        <w:t>Members comments required.</w:t>
      </w:r>
    </w:p>
    <w:p w14:paraId="6A938037" w14:textId="77777777"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8. How would introducing a price-based competition in 2025 for electrolytic projects, and potentially other non-CCUS low carbon hydrogen projects, impact economic benefits and supply chain development? </w:t>
      </w:r>
    </w:p>
    <w:p w14:paraId="2FE13B8E" w14:textId="32C22448" w:rsidR="00F74616" w:rsidRDefault="0053603B" w:rsidP="00DE228D">
      <w:pPr>
        <w:rPr>
          <w:rFonts w:ascii="Open Sans" w:hAnsi="Open Sans" w:cs="Open Sans"/>
          <w:sz w:val="20"/>
          <w:szCs w:val="20"/>
        </w:rPr>
      </w:pPr>
      <w:r w:rsidRPr="00271943">
        <w:rPr>
          <w:rFonts w:ascii="Open Sans" w:hAnsi="Open Sans" w:cs="Open Sans"/>
          <w:sz w:val="20"/>
          <w:szCs w:val="20"/>
        </w:rPr>
        <w:t xml:space="preserve">It is </w:t>
      </w:r>
      <w:r w:rsidR="00271943" w:rsidRPr="00271943">
        <w:rPr>
          <w:rFonts w:ascii="Open Sans" w:hAnsi="Open Sans" w:cs="Open Sans"/>
          <w:sz w:val="20"/>
          <w:szCs w:val="20"/>
        </w:rPr>
        <w:t>encourag</w:t>
      </w:r>
      <w:r w:rsidR="00275C5D">
        <w:rPr>
          <w:rFonts w:ascii="Open Sans" w:hAnsi="Open Sans" w:cs="Open Sans"/>
          <w:sz w:val="20"/>
          <w:szCs w:val="20"/>
        </w:rPr>
        <w:t>ing</w:t>
      </w:r>
      <w:r w:rsidRPr="00271943">
        <w:rPr>
          <w:rFonts w:ascii="Open Sans" w:hAnsi="Open Sans" w:cs="Open Sans"/>
          <w:sz w:val="20"/>
          <w:szCs w:val="20"/>
        </w:rPr>
        <w:t xml:space="preserve"> that the </w:t>
      </w:r>
      <w:r w:rsidR="00271943" w:rsidRPr="00271943">
        <w:rPr>
          <w:rFonts w:ascii="Open Sans" w:hAnsi="Open Sans" w:cs="Open Sans"/>
          <w:sz w:val="20"/>
          <w:szCs w:val="20"/>
        </w:rPr>
        <w:t>government</w:t>
      </w:r>
      <w:r w:rsidRPr="00271943">
        <w:rPr>
          <w:rFonts w:ascii="Open Sans" w:hAnsi="Open Sans" w:cs="Open Sans"/>
          <w:sz w:val="20"/>
          <w:szCs w:val="20"/>
        </w:rPr>
        <w:t xml:space="preserve"> </w:t>
      </w:r>
      <w:r w:rsidR="00671296" w:rsidRPr="00271943">
        <w:rPr>
          <w:rFonts w:ascii="Open Sans" w:hAnsi="Open Sans" w:cs="Open Sans"/>
          <w:sz w:val="20"/>
          <w:szCs w:val="20"/>
        </w:rPr>
        <w:t xml:space="preserve">particularly </w:t>
      </w:r>
      <w:r w:rsidR="00671296">
        <w:rPr>
          <w:rFonts w:ascii="Open Sans" w:hAnsi="Open Sans" w:cs="Open Sans"/>
          <w:sz w:val="20"/>
          <w:szCs w:val="20"/>
        </w:rPr>
        <w:t xml:space="preserve">recognizes missed opportunities from the offshore wind, </w:t>
      </w:r>
      <w:r w:rsidR="00FE2A49">
        <w:rPr>
          <w:rFonts w:ascii="Open Sans" w:hAnsi="Open Sans" w:cs="Open Sans"/>
          <w:sz w:val="20"/>
          <w:szCs w:val="20"/>
        </w:rPr>
        <w:t xml:space="preserve">and therefore has stated a </w:t>
      </w:r>
      <w:r w:rsidRPr="00271943">
        <w:rPr>
          <w:rFonts w:ascii="Open Sans" w:hAnsi="Open Sans" w:cs="Open Sans"/>
          <w:sz w:val="20"/>
          <w:szCs w:val="20"/>
        </w:rPr>
        <w:t xml:space="preserve">need to ensure the </w:t>
      </w:r>
      <w:r w:rsidR="00271943" w:rsidRPr="00271943">
        <w:rPr>
          <w:rFonts w:ascii="Open Sans" w:hAnsi="Open Sans" w:cs="Open Sans"/>
          <w:sz w:val="20"/>
          <w:szCs w:val="20"/>
        </w:rPr>
        <w:t>constraints</w:t>
      </w:r>
      <w:r w:rsidRPr="00271943">
        <w:rPr>
          <w:rFonts w:ascii="Open Sans" w:hAnsi="Open Sans" w:cs="Open Sans"/>
          <w:sz w:val="20"/>
          <w:szCs w:val="20"/>
        </w:rPr>
        <w:t xml:space="preserve"> that </w:t>
      </w:r>
      <w:r w:rsidR="00D91286" w:rsidRPr="00271943">
        <w:rPr>
          <w:rFonts w:ascii="Open Sans" w:hAnsi="Open Sans" w:cs="Open Sans"/>
          <w:sz w:val="20"/>
          <w:szCs w:val="20"/>
        </w:rPr>
        <w:t xml:space="preserve">a supply chain can have on the ability to </w:t>
      </w:r>
      <w:r w:rsidR="00CE0688" w:rsidRPr="00271943">
        <w:rPr>
          <w:rFonts w:ascii="Open Sans" w:hAnsi="Open Sans" w:cs="Open Sans"/>
          <w:sz w:val="20"/>
          <w:szCs w:val="20"/>
        </w:rPr>
        <w:t>roll</w:t>
      </w:r>
      <w:r w:rsidR="00D91286" w:rsidRPr="00271943">
        <w:rPr>
          <w:rFonts w:ascii="Open Sans" w:hAnsi="Open Sans" w:cs="Open Sans"/>
          <w:sz w:val="20"/>
          <w:szCs w:val="20"/>
        </w:rPr>
        <w:t xml:space="preserve"> out </w:t>
      </w:r>
      <w:r w:rsidR="00445FC4" w:rsidRPr="00271943">
        <w:rPr>
          <w:rFonts w:ascii="Open Sans" w:hAnsi="Open Sans" w:cs="Open Sans"/>
          <w:sz w:val="20"/>
          <w:szCs w:val="20"/>
        </w:rPr>
        <w:t xml:space="preserve">the low carbon hydrogen economy </w:t>
      </w:r>
      <w:r w:rsidR="00CF4EB0" w:rsidRPr="00271943">
        <w:rPr>
          <w:rFonts w:ascii="Open Sans" w:hAnsi="Open Sans" w:cs="Open Sans"/>
          <w:sz w:val="20"/>
          <w:szCs w:val="20"/>
        </w:rPr>
        <w:t>successfully</w:t>
      </w:r>
      <w:r w:rsidR="00CF4EB0">
        <w:rPr>
          <w:rFonts w:ascii="Open Sans" w:hAnsi="Open Sans" w:cs="Open Sans"/>
          <w:sz w:val="20"/>
          <w:szCs w:val="20"/>
        </w:rPr>
        <w:t xml:space="preserve">. </w:t>
      </w:r>
      <w:r w:rsidR="002D4D93">
        <w:rPr>
          <w:rFonts w:ascii="Open Sans" w:hAnsi="Open Sans" w:cs="Open Sans"/>
          <w:sz w:val="20"/>
          <w:szCs w:val="20"/>
        </w:rPr>
        <w:t>Green skills</w:t>
      </w:r>
      <w:r w:rsidR="00CF4EB0">
        <w:rPr>
          <w:rFonts w:ascii="Open Sans" w:hAnsi="Open Sans" w:cs="Open Sans"/>
          <w:sz w:val="20"/>
          <w:szCs w:val="20"/>
        </w:rPr>
        <w:t>,</w:t>
      </w:r>
      <w:r w:rsidR="002D4D93">
        <w:rPr>
          <w:rFonts w:ascii="Open Sans" w:hAnsi="Open Sans" w:cs="Open Sans"/>
          <w:sz w:val="20"/>
          <w:szCs w:val="20"/>
        </w:rPr>
        <w:t xml:space="preserve"> through renewable ene</w:t>
      </w:r>
      <w:r w:rsidR="004C2B51">
        <w:rPr>
          <w:rFonts w:ascii="Open Sans" w:hAnsi="Open Sans" w:cs="Open Sans"/>
          <w:sz w:val="20"/>
          <w:szCs w:val="20"/>
        </w:rPr>
        <w:t>rgy and clean technology growth</w:t>
      </w:r>
      <w:r w:rsidR="00CF4EB0">
        <w:rPr>
          <w:rFonts w:ascii="Open Sans" w:hAnsi="Open Sans" w:cs="Open Sans"/>
          <w:sz w:val="20"/>
          <w:szCs w:val="20"/>
        </w:rPr>
        <w:t>,</w:t>
      </w:r>
      <w:r w:rsidR="004C2B51">
        <w:rPr>
          <w:rFonts w:ascii="Open Sans" w:hAnsi="Open Sans" w:cs="Open Sans"/>
          <w:sz w:val="20"/>
          <w:szCs w:val="20"/>
        </w:rPr>
        <w:t xml:space="preserve"> </w:t>
      </w:r>
      <w:r w:rsidR="005268D2">
        <w:rPr>
          <w:rFonts w:ascii="Open Sans" w:hAnsi="Open Sans" w:cs="Open Sans"/>
          <w:sz w:val="20"/>
          <w:szCs w:val="20"/>
        </w:rPr>
        <w:t>have</w:t>
      </w:r>
      <w:r w:rsidR="004C2B51">
        <w:rPr>
          <w:rFonts w:ascii="Open Sans" w:hAnsi="Open Sans" w:cs="Open Sans"/>
          <w:sz w:val="20"/>
          <w:szCs w:val="20"/>
        </w:rPr>
        <w:t xml:space="preserve"> been documented through work the REA have completed with </w:t>
      </w:r>
      <w:proofErr w:type="spellStart"/>
      <w:r w:rsidR="00F74616">
        <w:rPr>
          <w:rFonts w:ascii="Open Sans" w:hAnsi="Open Sans" w:cs="Open Sans"/>
          <w:sz w:val="20"/>
          <w:szCs w:val="20"/>
        </w:rPr>
        <w:t>Innovas</w:t>
      </w:r>
      <w:proofErr w:type="spellEnd"/>
      <w:r w:rsidR="00F74616">
        <w:rPr>
          <w:rFonts w:ascii="Open Sans" w:hAnsi="Open Sans" w:cs="Open Sans"/>
          <w:sz w:val="20"/>
          <w:szCs w:val="20"/>
        </w:rPr>
        <w:t xml:space="preserve"> and reported in our annual report, more recently the Review 22. This </w:t>
      </w:r>
      <w:r w:rsidR="00D17F0E">
        <w:rPr>
          <w:rFonts w:ascii="Open Sans" w:hAnsi="Open Sans" w:cs="Open Sans"/>
          <w:sz w:val="20"/>
          <w:szCs w:val="20"/>
        </w:rPr>
        <w:t>document</w:t>
      </w:r>
      <w:r w:rsidR="00F74616">
        <w:rPr>
          <w:rFonts w:ascii="Open Sans" w:hAnsi="Open Sans" w:cs="Open Sans"/>
          <w:sz w:val="20"/>
          <w:szCs w:val="20"/>
        </w:rPr>
        <w:t xml:space="preserve"> sets out the </w:t>
      </w:r>
      <w:r w:rsidR="00D17F0E">
        <w:rPr>
          <w:rFonts w:ascii="Open Sans" w:hAnsi="Open Sans" w:cs="Open Sans"/>
          <w:sz w:val="20"/>
          <w:szCs w:val="20"/>
        </w:rPr>
        <w:t>deployment</w:t>
      </w:r>
      <w:r w:rsidR="00F74616">
        <w:rPr>
          <w:rFonts w:ascii="Open Sans" w:hAnsi="Open Sans" w:cs="Open Sans"/>
          <w:sz w:val="20"/>
          <w:szCs w:val="20"/>
        </w:rPr>
        <w:t xml:space="preserve"> and skills growth </w:t>
      </w:r>
      <w:r w:rsidR="00574530">
        <w:rPr>
          <w:rFonts w:ascii="Open Sans" w:hAnsi="Open Sans" w:cs="Open Sans"/>
          <w:sz w:val="20"/>
          <w:szCs w:val="20"/>
        </w:rPr>
        <w:t>expected as</w:t>
      </w:r>
      <w:r w:rsidR="00F74616">
        <w:rPr>
          <w:rFonts w:ascii="Open Sans" w:hAnsi="Open Sans" w:cs="Open Sans"/>
          <w:sz w:val="20"/>
          <w:szCs w:val="20"/>
        </w:rPr>
        <w:t xml:space="preserve"> the sector </w:t>
      </w:r>
      <w:r w:rsidR="00574530">
        <w:rPr>
          <w:rFonts w:ascii="Open Sans" w:hAnsi="Open Sans" w:cs="Open Sans"/>
          <w:sz w:val="20"/>
          <w:szCs w:val="20"/>
        </w:rPr>
        <w:t xml:space="preserve">expands </w:t>
      </w:r>
      <w:r w:rsidR="0014461A">
        <w:rPr>
          <w:rFonts w:ascii="Open Sans" w:hAnsi="Open Sans" w:cs="Open Sans"/>
          <w:sz w:val="20"/>
          <w:szCs w:val="20"/>
        </w:rPr>
        <w:t>(</w:t>
      </w:r>
      <w:r w:rsidR="00D17F0E">
        <w:rPr>
          <w:rFonts w:ascii="Open Sans" w:hAnsi="Open Sans" w:cs="Open Sans"/>
          <w:sz w:val="20"/>
          <w:szCs w:val="20"/>
        </w:rPr>
        <w:t>a copy can be made available upon request</w:t>
      </w:r>
      <w:r w:rsidR="0014461A">
        <w:rPr>
          <w:rFonts w:ascii="Open Sans" w:hAnsi="Open Sans" w:cs="Open Sans"/>
          <w:sz w:val="20"/>
          <w:szCs w:val="20"/>
        </w:rPr>
        <w:t>)</w:t>
      </w:r>
      <w:r w:rsidR="00574530">
        <w:rPr>
          <w:rFonts w:ascii="Open Sans" w:hAnsi="Open Sans" w:cs="Open Sans"/>
          <w:sz w:val="20"/>
          <w:szCs w:val="20"/>
        </w:rPr>
        <w:t xml:space="preserve"> </w:t>
      </w:r>
      <w:proofErr w:type="gramStart"/>
      <w:r w:rsidR="00315F63">
        <w:rPr>
          <w:rFonts w:ascii="Open Sans" w:hAnsi="Open Sans" w:cs="Open Sans"/>
          <w:sz w:val="20"/>
          <w:szCs w:val="20"/>
        </w:rPr>
        <w:t xml:space="preserve">and </w:t>
      </w:r>
      <w:r w:rsidR="00E95BCC">
        <w:rPr>
          <w:rFonts w:ascii="Open Sans" w:hAnsi="Open Sans" w:cs="Open Sans"/>
          <w:sz w:val="20"/>
          <w:szCs w:val="20"/>
        </w:rPr>
        <w:t>also</w:t>
      </w:r>
      <w:proofErr w:type="gramEnd"/>
      <w:r w:rsidR="00E95BCC">
        <w:rPr>
          <w:rFonts w:ascii="Open Sans" w:hAnsi="Open Sans" w:cs="Open Sans"/>
          <w:sz w:val="20"/>
          <w:szCs w:val="20"/>
        </w:rPr>
        <w:t xml:space="preserve"> to highlight the economic benefits </w:t>
      </w:r>
      <w:r w:rsidR="00574530">
        <w:rPr>
          <w:rFonts w:ascii="Open Sans" w:hAnsi="Open Sans" w:cs="Open Sans"/>
          <w:sz w:val="20"/>
          <w:szCs w:val="20"/>
        </w:rPr>
        <w:t>through</w:t>
      </w:r>
      <w:r w:rsidR="00E95BCC">
        <w:rPr>
          <w:rFonts w:ascii="Open Sans" w:hAnsi="Open Sans" w:cs="Open Sans"/>
          <w:sz w:val="20"/>
          <w:szCs w:val="20"/>
        </w:rPr>
        <w:t xml:space="preserve"> market value increases. </w:t>
      </w:r>
    </w:p>
    <w:p w14:paraId="3E498517" w14:textId="1C824BDE" w:rsidR="00EB515B" w:rsidRDefault="00E10032" w:rsidP="00DE228D">
      <w:pPr>
        <w:rPr>
          <w:rFonts w:ascii="Open Sans" w:hAnsi="Open Sans" w:cs="Open Sans"/>
          <w:sz w:val="20"/>
          <w:szCs w:val="20"/>
        </w:rPr>
      </w:pPr>
      <w:r>
        <w:rPr>
          <w:rFonts w:ascii="Open Sans" w:hAnsi="Open Sans" w:cs="Open Sans"/>
          <w:sz w:val="20"/>
          <w:szCs w:val="20"/>
        </w:rPr>
        <w:t>I</w:t>
      </w:r>
      <w:r w:rsidR="00EB515B">
        <w:rPr>
          <w:rFonts w:ascii="Open Sans" w:hAnsi="Open Sans" w:cs="Open Sans"/>
          <w:sz w:val="20"/>
          <w:szCs w:val="20"/>
        </w:rPr>
        <w:t xml:space="preserve">t is also important to look across the </w:t>
      </w:r>
      <w:r>
        <w:rPr>
          <w:rFonts w:ascii="Open Sans" w:hAnsi="Open Sans" w:cs="Open Sans"/>
          <w:sz w:val="20"/>
          <w:szCs w:val="20"/>
        </w:rPr>
        <w:t>wider</w:t>
      </w:r>
      <w:r w:rsidR="00EB515B">
        <w:rPr>
          <w:rFonts w:ascii="Open Sans" w:hAnsi="Open Sans" w:cs="Open Sans"/>
          <w:sz w:val="20"/>
          <w:szCs w:val="20"/>
        </w:rPr>
        <w:t xml:space="preserve"> supply chain </w:t>
      </w:r>
      <w:r w:rsidR="007643B2">
        <w:rPr>
          <w:rFonts w:ascii="Open Sans" w:hAnsi="Open Sans" w:cs="Open Sans"/>
          <w:sz w:val="20"/>
          <w:szCs w:val="20"/>
        </w:rPr>
        <w:t>and beyond the immediate projects and technology providers</w:t>
      </w:r>
      <w:r w:rsidR="0006498C">
        <w:rPr>
          <w:rFonts w:ascii="Open Sans" w:hAnsi="Open Sans" w:cs="Open Sans"/>
          <w:sz w:val="20"/>
          <w:szCs w:val="20"/>
        </w:rPr>
        <w:t xml:space="preserve">. It is already recognised that there are </w:t>
      </w:r>
      <w:r>
        <w:rPr>
          <w:rFonts w:ascii="Open Sans" w:hAnsi="Open Sans" w:cs="Open Sans"/>
          <w:sz w:val="20"/>
          <w:szCs w:val="20"/>
        </w:rPr>
        <w:t>constraints</w:t>
      </w:r>
      <w:r w:rsidR="0006498C">
        <w:rPr>
          <w:rFonts w:ascii="Open Sans" w:hAnsi="Open Sans" w:cs="Open Sans"/>
          <w:sz w:val="20"/>
          <w:szCs w:val="20"/>
        </w:rPr>
        <w:t xml:space="preserve"> in planning </w:t>
      </w:r>
      <w:r>
        <w:rPr>
          <w:rFonts w:ascii="Open Sans" w:hAnsi="Open Sans" w:cs="Open Sans"/>
          <w:sz w:val="20"/>
          <w:szCs w:val="20"/>
        </w:rPr>
        <w:t>with delays in decisions</w:t>
      </w:r>
      <w:r w:rsidR="0006498C">
        <w:rPr>
          <w:rFonts w:ascii="Open Sans" w:hAnsi="Open Sans" w:cs="Open Sans"/>
          <w:sz w:val="20"/>
          <w:szCs w:val="20"/>
        </w:rPr>
        <w:t xml:space="preserve"> </w:t>
      </w:r>
      <w:r w:rsidR="00FF28DD">
        <w:rPr>
          <w:rFonts w:ascii="Open Sans" w:hAnsi="Open Sans" w:cs="Open Sans"/>
          <w:sz w:val="20"/>
          <w:szCs w:val="20"/>
        </w:rPr>
        <w:t xml:space="preserve">and </w:t>
      </w:r>
      <w:r>
        <w:rPr>
          <w:rFonts w:ascii="Open Sans" w:hAnsi="Open Sans" w:cs="Open Sans"/>
          <w:sz w:val="20"/>
          <w:szCs w:val="20"/>
        </w:rPr>
        <w:t xml:space="preserve">with the EA </w:t>
      </w:r>
      <w:r w:rsidR="00FF28DD">
        <w:rPr>
          <w:rFonts w:ascii="Open Sans" w:hAnsi="Open Sans" w:cs="Open Sans"/>
          <w:sz w:val="20"/>
          <w:szCs w:val="20"/>
        </w:rPr>
        <w:t xml:space="preserve">permit application, </w:t>
      </w:r>
      <w:r>
        <w:rPr>
          <w:rFonts w:ascii="Open Sans" w:hAnsi="Open Sans" w:cs="Open Sans"/>
          <w:sz w:val="20"/>
          <w:szCs w:val="20"/>
        </w:rPr>
        <w:t>particularly</w:t>
      </w:r>
      <w:r w:rsidR="00FF28DD">
        <w:rPr>
          <w:rFonts w:ascii="Open Sans" w:hAnsi="Open Sans" w:cs="Open Sans"/>
          <w:sz w:val="20"/>
          <w:szCs w:val="20"/>
        </w:rPr>
        <w:t xml:space="preserve"> </w:t>
      </w:r>
      <w:r>
        <w:rPr>
          <w:rFonts w:ascii="Open Sans" w:hAnsi="Open Sans" w:cs="Open Sans"/>
          <w:sz w:val="20"/>
          <w:szCs w:val="20"/>
        </w:rPr>
        <w:t xml:space="preserve">recognised to be </w:t>
      </w:r>
      <w:r w:rsidR="00FF28DD">
        <w:rPr>
          <w:rFonts w:ascii="Open Sans" w:hAnsi="Open Sans" w:cs="Open Sans"/>
          <w:sz w:val="20"/>
          <w:szCs w:val="20"/>
        </w:rPr>
        <w:t xml:space="preserve">a </w:t>
      </w:r>
      <w:r w:rsidR="0071321A">
        <w:rPr>
          <w:rFonts w:ascii="Open Sans" w:hAnsi="Open Sans" w:cs="Open Sans"/>
          <w:sz w:val="20"/>
          <w:szCs w:val="20"/>
        </w:rPr>
        <w:t xml:space="preserve">resources issue. </w:t>
      </w:r>
      <w:r w:rsidR="005268D2">
        <w:rPr>
          <w:rFonts w:ascii="Open Sans" w:hAnsi="Open Sans" w:cs="Open Sans"/>
          <w:sz w:val="20"/>
          <w:szCs w:val="20"/>
        </w:rPr>
        <w:t>However,</w:t>
      </w:r>
      <w:r w:rsidR="0071321A">
        <w:rPr>
          <w:rFonts w:ascii="Open Sans" w:hAnsi="Open Sans" w:cs="Open Sans"/>
          <w:sz w:val="20"/>
          <w:szCs w:val="20"/>
        </w:rPr>
        <w:t xml:space="preserve"> there are also </w:t>
      </w:r>
      <w:r w:rsidR="002614DE">
        <w:rPr>
          <w:rFonts w:ascii="Open Sans" w:hAnsi="Open Sans" w:cs="Open Sans"/>
          <w:sz w:val="20"/>
          <w:szCs w:val="20"/>
        </w:rPr>
        <w:t>notable</w:t>
      </w:r>
      <w:r w:rsidR="0071321A">
        <w:rPr>
          <w:rFonts w:ascii="Open Sans" w:hAnsi="Open Sans" w:cs="Open Sans"/>
          <w:sz w:val="20"/>
          <w:szCs w:val="20"/>
        </w:rPr>
        <w:t xml:space="preserve"> concerns about civil engineering </w:t>
      </w:r>
      <w:r>
        <w:rPr>
          <w:rFonts w:ascii="Open Sans" w:hAnsi="Open Sans" w:cs="Open Sans"/>
          <w:sz w:val="20"/>
          <w:szCs w:val="20"/>
        </w:rPr>
        <w:t>constraints</w:t>
      </w:r>
      <w:r w:rsidR="0071321A">
        <w:rPr>
          <w:rFonts w:ascii="Open Sans" w:hAnsi="Open Sans" w:cs="Open Sans"/>
          <w:sz w:val="20"/>
          <w:szCs w:val="20"/>
        </w:rPr>
        <w:t xml:space="preserve"> for large scale project developments due to </w:t>
      </w:r>
      <w:r w:rsidR="00B77708">
        <w:rPr>
          <w:rFonts w:ascii="Open Sans" w:hAnsi="Open Sans" w:cs="Open Sans"/>
          <w:sz w:val="20"/>
          <w:szCs w:val="20"/>
        </w:rPr>
        <w:t xml:space="preserve">commitments already felt in this sector with large ongoing </w:t>
      </w:r>
      <w:r w:rsidR="003F0D2A">
        <w:rPr>
          <w:rFonts w:ascii="Open Sans" w:hAnsi="Open Sans" w:cs="Open Sans"/>
          <w:sz w:val="20"/>
          <w:szCs w:val="20"/>
        </w:rPr>
        <w:t xml:space="preserve">projects such as HS2. </w:t>
      </w:r>
      <w:r w:rsidR="002614DE">
        <w:rPr>
          <w:rFonts w:ascii="Open Sans" w:hAnsi="Open Sans" w:cs="Open Sans"/>
          <w:sz w:val="20"/>
          <w:szCs w:val="20"/>
        </w:rPr>
        <w:t>This</w:t>
      </w:r>
      <w:r w:rsidR="005E5C42">
        <w:rPr>
          <w:rFonts w:ascii="Open Sans" w:hAnsi="Open Sans" w:cs="Open Sans"/>
          <w:sz w:val="20"/>
          <w:szCs w:val="20"/>
        </w:rPr>
        <w:t>,</w:t>
      </w:r>
      <w:r w:rsidR="002614DE">
        <w:rPr>
          <w:rFonts w:ascii="Open Sans" w:hAnsi="Open Sans" w:cs="Open Sans"/>
          <w:sz w:val="20"/>
          <w:szCs w:val="20"/>
        </w:rPr>
        <w:t xml:space="preserve"> compounded by the </w:t>
      </w:r>
      <w:r w:rsidR="008E069C">
        <w:rPr>
          <w:rFonts w:ascii="Open Sans" w:hAnsi="Open Sans" w:cs="Open Sans"/>
          <w:sz w:val="20"/>
          <w:szCs w:val="20"/>
        </w:rPr>
        <w:t xml:space="preserve">lengthy </w:t>
      </w:r>
      <w:r w:rsidR="002614DE">
        <w:rPr>
          <w:rFonts w:ascii="Open Sans" w:hAnsi="Open Sans" w:cs="Open Sans"/>
          <w:sz w:val="20"/>
          <w:szCs w:val="20"/>
        </w:rPr>
        <w:t xml:space="preserve">HAR1 </w:t>
      </w:r>
      <w:r w:rsidR="005268D2">
        <w:rPr>
          <w:rFonts w:ascii="Open Sans" w:hAnsi="Open Sans" w:cs="Open Sans"/>
          <w:sz w:val="20"/>
          <w:szCs w:val="20"/>
        </w:rPr>
        <w:t>process</w:t>
      </w:r>
      <w:r w:rsidR="008E069C">
        <w:rPr>
          <w:rFonts w:ascii="Open Sans" w:hAnsi="Open Sans" w:cs="Open Sans"/>
          <w:sz w:val="20"/>
          <w:szCs w:val="20"/>
        </w:rPr>
        <w:t>,</w:t>
      </w:r>
      <w:r w:rsidR="002614DE">
        <w:rPr>
          <w:rFonts w:ascii="Open Sans" w:hAnsi="Open Sans" w:cs="Open Sans"/>
          <w:sz w:val="20"/>
          <w:szCs w:val="20"/>
        </w:rPr>
        <w:t xml:space="preserve"> will </w:t>
      </w:r>
      <w:r w:rsidR="005268D2">
        <w:rPr>
          <w:rFonts w:ascii="Open Sans" w:hAnsi="Open Sans" w:cs="Open Sans"/>
          <w:sz w:val="20"/>
          <w:szCs w:val="20"/>
        </w:rPr>
        <w:t>mean a bottleneck of project development</w:t>
      </w:r>
      <w:r w:rsidR="008E069C">
        <w:rPr>
          <w:rFonts w:ascii="Open Sans" w:hAnsi="Open Sans" w:cs="Open Sans"/>
          <w:sz w:val="20"/>
          <w:szCs w:val="20"/>
        </w:rPr>
        <w:t>,</w:t>
      </w:r>
      <w:r w:rsidR="005268D2">
        <w:rPr>
          <w:rFonts w:ascii="Open Sans" w:hAnsi="Open Sans" w:cs="Open Sans"/>
          <w:sz w:val="20"/>
          <w:szCs w:val="20"/>
        </w:rPr>
        <w:t xml:space="preserve"> even for those that have the required decisions. </w:t>
      </w:r>
      <w:r w:rsidR="003D5176">
        <w:rPr>
          <w:rFonts w:ascii="Open Sans" w:hAnsi="Open Sans" w:cs="Open Sans"/>
          <w:sz w:val="20"/>
          <w:szCs w:val="20"/>
        </w:rPr>
        <w:t xml:space="preserve">This may also be in specialist project management and legal expertise as the pool is </w:t>
      </w:r>
      <w:r w:rsidR="00BD7F4B">
        <w:rPr>
          <w:rFonts w:ascii="Open Sans" w:hAnsi="Open Sans" w:cs="Open Sans"/>
          <w:sz w:val="20"/>
          <w:szCs w:val="20"/>
        </w:rPr>
        <w:t xml:space="preserve">currently </w:t>
      </w:r>
      <w:r w:rsidR="003D5176">
        <w:rPr>
          <w:rFonts w:ascii="Open Sans" w:hAnsi="Open Sans" w:cs="Open Sans"/>
          <w:sz w:val="20"/>
          <w:szCs w:val="20"/>
        </w:rPr>
        <w:t xml:space="preserve">small. </w:t>
      </w:r>
    </w:p>
    <w:p w14:paraId="6A1216D3" w14:textId="465C10F5" w:rsidR="00F74616" w:rsidRDefault="00473CDE" w:rsidP="00DE228D">
      <w:pPr>
        <w:rPr>
          <w:rFonts w:ascii="Open Sans" w:hAnsi="Open Sans" w:cs="Open Sans"/>
          <w:sz w:val="20"/>
          <w:szCs w:val="20"/>
        </w:rPr>
      </w:pPr>
      <w:r>
        <w:rPr>
          <w:rFonts w:ascii="Open Sans" w:hAnsi="Open Sans" w:cs="Open Sans"/>
          <w:sz w:val="20"/>
          <w:szCs w:val="20"/>
        </w:rPr>
        <w:lastRenderedPageBreak/>
        <w:t>For the reason</w:t>
      </w:r>
      <w:r w:rsidR="003D5176">
        <w:rPr>
          <w:rFonts w:ascii="Open Sans" w:hAnsi="Open Sans" w:cs="Open Sans"/>
          <w:sz w:val="20"/>
          <w:szCs w:val="20"/>
        </w:rPr>
        <w:t>s</w:t>
      </w:r>
      <w:r>
        <w:rPr>
          <w:rFonts w:ascii="Open Sans" w:hAnsi="Open Sans" w:cs="Open Sans"/>
          <w:sz w:val="20"/>
          <w:szCs w:val="20"/>
        </w:rPr>
        <w:t xml:space="preserve"> provided above</w:t>
      </w:r>
      <w:r w:rsidR="00BD7F4B">
        <w:rPr>
          <w:rFonts w:ascii="Open Sans" w:hAnsi="Open Sans" w:cs="Open Sans"/>
          <w:sz w:val="20"/>
          <w:szCs w:val="20"/>
        </w:rPr>
        <w:t>,</w:t>
      </w:r>
      <w:r>
        <w:rPr>
          <w:rFonts w:ascii="Open Sans" w:hAnsi="Open Sans" w:cs="Open Sans"/>
          <w:sz w:val="20"/>
          <w:szCs w:val="20"/>
        </w:rPr>
        <w:t xml:space="preserve"> the cost of </w:t>
      </w:r>
      <w:r w:rsidR="00F51CD5">
        <w:rPr>
          <w:rFonts w:ascii="Open Sans" w:hAnsi="Open Sans" w:cs="Open Sans"/>
          <w:sz w:val="20"/>
          <w:szCs w:val="20"/>
        </w:rPr>
        <w:t>implementing a hydrogen project could be more</w:t>
      </w:r>
      <w:r w:rsidR="00CB5436">
        <w:rPr>
          <w:rFonts w:ascii="Open Sans" w:hAnsi="Open Sans" w:cs="Open Sans"/>
          <w:sz w:val="20"/>
          <w:szCs w:val="20"/>
        </w:rPr>
        <w:t xml:space="preserve">, exacerbated by </w:t>
      </w:r>
      <w:r w:rsidR="00F51CD5">
        <w:rPr>
          <w:rFonts w:ascii="Open Sans" w:hAnsi="Open Sans" w:cs="Open Sans"/>
          <w:sz w:val="20"/>
          <w:szCs w:val="20"/>
        </w:rPr>
        <w:t>delay</w:t>
      </w:r>
      <w:r w:rsidR="00CB5436">
        <w:rPr>
          <w:rFonts w:ascii="Open Sans" w:hAnsi="Open Sans" w:cs="Open Sans"/>
          <w:sz w:val="20"/>
          <w:szCs w:val="20"/>
        </w:rPr>
        <w:t>s</w:t>
      </w:r>
      <w:r w:rsidR="00F51CD5">
        <w:rPr>
          <w:rFonts w:ascii="Open Sans" w:hAnsi="Open Sans" w:cs="Open Sans"/>
          <w:sz w:val="20"/>
          <w:szCs w:val="20"/>
        </w:rPr>
        <w:t xml:space="preserve"> </w:t>
      </w:r>
      <w:r w:rsidR="00F4404C">
        <w:rPr>
          <w:rFonts w:ascii="Open Sans" w:hAnsi="Open Sans" w:cs="Open Sans"/>
          <w:sz w:val="20"/>
          <w:szCs w:val="20"/>
        </w:rPr>
        <w:t xml:space="preserve">and no costs benefits could therefore be expected until the natural pool of experts through deployment </w:t>
      </w:r>
      <w:r w:rsidR="00A012EF">
        <w:rPr>
          <w:rFonts w:ascii="Open Sans" w:hAnsi="Open Sans" w:cs="Open Sans"/>
          <w:sz w:val="20"/>
          <w:szCs w:val="20"/>
        </w:rPr>
        <w:t>materialises</w:t>
      </w:r>
      <w:r w:rsidR="00F4404C">
        <w:rPr>
          <w:rFonts w:ascii="Open Sans" w:hAnsi="Open Sans" w:cs="Open Sans"/>
          <w:sz w:val="20"/>
          <w:szCs w:val="20"/>
        </w:rPr>
        <w:t xml:space="preserve">. </w:t>
      </w:r>
      <w:r w:rsidR="00A012EF">
        <w:rPr>
          <w:rFonts w:ascii="Open Sans" w:hAnsi="Open Sans" w:cs="Open Sans"/>
          <w:sz w:val="20"/>
          <w:szCs w:val="20"/>
        </w:rPr>
        <w:t xml:space="preserve">Imposing a cost benefit mechanism could therefore inhibit growth rather than support it. </w:t>
      </w:r>
    </w:p>
    <w:p w14:paraId="2AE792EA" w14:textId="6EB67E24"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9. How should economic benefits and supply chain development be measured and how could this be incorporated into price-based competitive allocation? </w:t>
      </w:r>
    </w:p>
    <w:p w14:paraId="52968CFA" w14:textId="6B94384C" w:rsidR="005434C0" w:rsidRDefault="00847DA8" w:rsidP="00B8535D">
      <w:pPr>
        <w:rPr>
          <w:rFonts w:ascii="Open Sans" w:hAnsi="Open Sans" w:cs="Open Sans"/>
          <w:sz w:val="20"/>
          <w:szCs w:val="20"/>
        </w:rPr>
      </w:pPr>
      <w:r w:rsidRPr="00915308">
        <w:rPr>
          <w:rFonts w:ascii="Open Sans" w:hAnsi="Open Sans" w:cs="Open Sans"/>
          <w:sz w:val="20"/>
          <w:szCs w:val="20"/>
        </w:rPr>
        <w:t xml:space="preserve">The economic benefits and supply chain development could be measured through </w:t>
      </w:r>
      <w:r w:rsidR="0044027D" w:rsidRPr="00915308">
        <w:rPr>
          <w:rFonts w:ascii="Open Sans" w:hAnsi="Open Sans" w:cs="Open Sans"/>
          <w:sz w:val="20"/>
          <w:szCs w:val="20"/>
        </w:rPr>
        <w:t xml:space="preserve">a capture of the associated companies </w:t>
      </w:r>
      <w:r w:rsidR="007D5809" w:rsidRPr="00915308">
        <w:rPr>
          <w:rFonts w:ascii="Open Sans" w:hAnsi="Open Sans" w:cs="Open Sans"/>
          <w:sz w:val="20"/>
          <w:szCs w:val="20"/>
        </w:rPr>
        <w:t xml:space="preserve">and </w:t>
      </w:r>
      <w:r w:rsidR="00D90C62" w:rsidRPr="00915308">
        <w:rPr>
          <w:rFonts w:ascii="Open Sans" w:hAnsi="Open Sans" w:cs="Open Sans"/>
          <w:sz w:val="20"/>
          <w:szCs w:val="20"/>
        </w:rPr>
        <w:t>operational</w:t>
      </w:r>
      <w:r w:rsidR="007D5809" w:rsidRPr="00915308">
        <w:rPr>
          <w:rFonts w:ascii="Open Sans" w:hAnsi="Open Sans" w:cs="Open Sans"/>
          <w:sz w:val="20"/>
          <w:szCs w:val="20"/>
        </w:rPr>
        <w:t xml:space="preserve"> workforce </w:t>
      </w:r>
      <w:r w:rsidR="00D90C62" w:rsidRPr="00915308">
        <w:rPr>
          <w:rFonts w:ascii="Open Sans" w:hAnsi="Open Sans" w:cs="Open Sans"/>
          <w:sz w:val="20"/>
          <w:szCs w:val="20"/>
        </w:rPr>
        <w:t>n</w:t>
      </w:r>
      <w:r w:rsidR="007D5809" w:rsidRPr="00915308">
        <w:rPr>
          <w:rFonts w:ascii="Open Sans" w:hAnsi="Open Sans" w:cs="Open Sans"/>
          <w:sz w:val="20"/>
          <w:szCs w:val="20"/>
        </w:rPr>
        <w:t xml:space="preserve">eeded through the </w:t>
      </w:r>
      <w:r w:rsidR="00422BC3">
        <w:rPr>
          <w:rFonts w:ascii="Open Sans" w:hAnsi="Open Sans" w:cs="Open Sans"/>
          <w:sz w:val="20"/>
          <w:szCs w:val="20"/>
        </w:rPr>
        <w:t xml:space="preserve">life of a </w:t>
      </w:r>
      <w:r w:rsidR="007D5809" w:rsidRPr="00915308">
        <w:rPr>
          <w:rFonts w:ascii="Open Sans" w:hAnsi="Open Sans" w:cs="Open Sans"/>
          <w:sz w:val="20"/>
          <w:szCs w:val="20"/>
        </w:rPr>
        <w:t xml:space="preserve">project and could be completed as part of a HAR project feedback </w:t>
      </w:r>
      <w:r w:rsidR="00D90C62" w:rsidRPr="00915308">
        <w:rPr>
          <w:rFonts w:ascii="Open Sans" w:hAnsi="Open Sans" w:cs="Open Sans"/>
          <w:sz w:val="20"/>
          <w:szCs w:val="20"/>
        </w:rPr>
        <w:t>requirement. This could also be completed through the application process</w:t>
      </w:r>
      <w:r w:rsidR="009555E9">
        <w:rPr>
          <w:rFonts w:ascii="Open Sans" w:hAnsi="Open Sans" w:cs="Open Sans"/>
          <w:sz w:val="20"/>
          <w:szCs w:val="20"/>
        </w:rPr>
        <w:t>,</w:t>
      </w:r>
      <w:r w:rsidR="00D90C62" w:rsidRPr="00915308">
        <w:rPr>
          <w:rFonts w:ascii="Open Sans" w:hAnsi="Open Sans" w:cs="Open Sans"/>
          <w:sz w:val="20"/>
          <w:szCs w:val="20"/>
        </w:rPr>
        <w:t xml:space="preserve"> as there would have been investment for </w:t>
      </w:r>
      <w:r w:rsidR="00915308" w:rsidRPr="00915308">
        <w:rPr>
          <w:rFonts w:ascii="Open Sans" w:hAnsi="Open Sans" w:cs="Open Sans"/>
          <w:sz w:val="20"/>
          <w:szCs w:val="20"/>
        </w:rPr>
        <w:t xml:space="preserve">even unsuccessful </w:t>
      </w:r>
      <w:proofErr w:type="gramStart"/>
      <w:r w:rsidR="00915308" w:rsidRPr="00915308">
        <w:rPr>
          <w:rFonts w:ascii="Open Sans" w:hAnsi="Open Sans" w:cs="Open Sans"/>
          <w:sz w:val="20"/>
          <w:szCs w:val="20"/>
        </w:rPr>
        <w:t>projects</w:t>
      </w:r>
      <w:r w:rsidR="009555E9">
        <w:rPr>
          <w:rFonts w:ascii="Open Sans" w:hAnsi="Open Sans" w:cs="Open Sans"/>
          <w:sz w:val="20"/>
          <w:szCs w:val="20"/>
        </w:rPr>
        <w:t>,</w:t>
      </w:r>
      <w:r w:rsidR="00915308" w:rsidRPr="00915308">
        <w:rPr>
          <w:rFonts w:ascii="Open Sans" w:hAnsi="Open Sans" w:cs="Open Sans"/>
          <w:sz w:val="20"/>
          <w:szCs w:val="20"/>
        </w:rPr>
        <w:t xml:space="preserve"> but</w:t>
      </w:r>
      <w:proofErr w:type="gramEnd"/>
      <w:r w:rsidR="00915308" w:rsidRPr="00915308">
        <w:rPr>
          <w:rFonts w:ascii="Open Sans" w:hAnsi="Open Sans" w:cs="Open Sans"/>
          <w:sz w:val="20"/>
          <w:szCs w:val="20"/>
        </w:rPr>
        <w:t xml:space="preserve"> would also provide an understanding of the investment made for the application process. </w:t>
      </w:r>
      <w:r w:rsidR="0088177C">
        <w:rPr>
          <w:rFonts w:ascii="Open Sans" w:hAnsi="Open Sans" w:cs="Open Sans"/>
          <w:sz w:val="20"/>
          <w:szCs w:val="20"/>
        </w:rPr>
        <w:t xml:space="preserve">This could be </w:t>
      </w:r>
      <w:r w:rsidR="004D4E11">
        <w:rPr>
          <w:rFonts w:ascii="Open Sans" w:hAnsi="Open Sans" w:cs="Open Sans"/>
          <w:sz w:val="20"/>
          <w:szCs w:val="20"/>
        </w:rPr>
        <w:t>tracked</w:t>
      </w:r>
      <w:r w:rsidR="0088177C">
        <w:rPr>
          <w:rFonts w:ascii="Open Sans" w:hAnsi="Open Sans" w:cs="Open Sans"/>
          <w:sz w:val="20"/>
          <w:szCs w:val="20"/>
        </w:rPr>
        <w:t xml:space="preserve"> through </w:t>
      </w:r>
      <w:r w:rsidR="004D5865">
        <w:rPr>
          <w:rFonts w:ascii="Open Sans" w:hAnsi="Open Sans" w:cs="Open Sans"/>
          <w:sz w:val="20"/>
          <w:szCs w:val="20"/>
        </w:rPr>
        <w:t>other</w:t>
      </w:r>
      <w:r w:rsidR="004D4E11">
        <w:rPr>
          <w:rFonts w:ascii="Open Sans" w:hAnsi="Open Sans" w:cs="Open Sans"/>
          <w:sz w:val="20"/>
          <w:szCs w:val="20"/>
        </w:rPr>
        <w:t xml:space="preserve"> organisations </w:t>
      </w:r>
      <w:r w:rsidR="000A26F7">
        <w:rPr>
          <w:rFonts w:ascii="Open Sans" w:hAnsi="Open Sans" w:cs="Open Sans"/>
          <w:sz w:val="20"/>
          <w:szCs w:val="20"/>
        </w:rPr>
        <w:t>best placed to measure data such as the ONS</w:t>
      </w:r>
      <w:r w:rsidR="004D5865">
        <w:rPr>
          <w:rFonts w:ascii="Open Sans" w:hAnsi="Open Sans" w:cs="Open Sans"/>
          <w:sz w:val="20"/>
          <w:szCs w:val="20"/>
        </w:rPr>
        <w:t>.</w:t>
      </w:r>
      <w:r w:rsidR="00ED2482">
        <w:rPr>
          <w:rFonts w:ascii="Open Sans" w:hAnsi="Open Sans" w:cs="Open Sans"/>
          <w:sz w:val="20"/>
          <w:szCs w:val="20"/>
        </w:rPr>
        <w:t xml:space="preserve"> Supply chain </w:t>
      </w:r>
      <w:r w:rsidR="00B55B5C">
        <w:rPr>
          <w:rFonts w:ascii="Open Sans" w:hAnsi="Open Sans" w:cs="Open Sans"/>
          <w:sz w:val="20"/>
          <w:szCs w:val="20"/>
        </w:rPr>
        <w:t xml:space="preserve">development may be </w:t>
      </w:r>
      <w:r w:rsidR="00017C74">
        <w:rPr>
          <w:rFonts w:ascii="Open Sans" w:hAnsi="Open Sans" w:cs="Open Sans"/>
          <w:sz w:val="20"/>
          <w:szCs w:val="20"/>
        </w:rPr>
        <w:t xml:space="preserve">captured as </w:t>
      </w:r>
      <w:r w:rsidR="00B55B5C">
        <w:rPr>
          <w:rFonts w:ascii="Open Sans" w:hAnsi="Open Sans" w:cs="Open Sans"/>
          <w:sz w:val="20"/>
          <w:szCs w:val="20"/>
        </w:rPr>
        <w:t xml:space="preserve">volume </w:t>
      </w:r>
      <w:r w:rsidR="00017C74">
        <w:rPr>
          <w:rFonts w:ascii="Open Sans" w:hAnsi="Open Sans" w:cs="Open Sans"/>
          <w:sz w:val="20"/>
          <w:szCs w:val="20"/>
        </w:rPr>
        <w:t xml:space="preserve">of hydrogen </w:t>
      </w:r>
      <w:r w:rsidR="00B55B5C">
        <w:rPr>
          <w:rFonts w:ascii="Open Sans" w:hAnsi="Open Sans" w:cs="Open Sans"/>
          <w:sz w:val="20"/>
          <w:szCs w:val="20"/>
        </w:rPr>
        <w:t xml:space="preserve">generated to off take. </w:t>
      </w:r>
    </w:p>
    <w:p w14:paraId="4DEA2222" w14:textId="03072BAA" w:rsidR="00BF29DF" w:rsidRDefault="00FD261D" w:rsidP="00B8535D">
      <w:pPr>
        <w:rPr>
          <w:rFonts w:ascii="Open Sans" w:hAnsi="Open Sans" w:cs="Open Sans"/>
          <w:sz w:val="20"/>
          <w:szCs w:val="20"/>
        </w:rPr>
      </w:pPr>
      <w:r>
        <w:rPr>
          <w:rFonts w:ascii="Open Sans" w:hAnsi="Open Sans" w:cs="Open Sans"/>
          <w:sz w:val="20"/>
          <w:szCs w:val="20"/>
        </w:rPr>
        <w:t xml:space="preserve">Technically this could be used to </w:t>
      </w:r>
      <w:r w:rsidR="004B66EA">
        <w:rPr>
          <w:rFonts w:ascii="Open Sans" w:hAnsi="Open Sans" w:cs="Open Sans"/>
          <w:sz w:val="20"/>
          <w:szCs w:val="20"/>
        </w:rPr>
        <w:t>capture</w:t>
      </w:r>
      <w:r>
        <w:rPr>
          <w:rFonts w:ascii="Open Sans" w:hAnsi="Open Sans" w:cs="Open Sans"/>
          <w:sz w:val="20"/>
          <w:szCs w:val="20"/>
        </w:rPr>
        <w:t xml:space="preserve"> data to support </w:t>
      </w:r>
      <w:r w:rsidR="00B325FE">
        <w:rPr>
          <w:rFonts w:ascii="Open Sans" w:hAnsi="Open Sans" w:cs="Open Sans"/>
          <w:sz w:val="20"/>
          <w:szCs w:val="20"/>
        </w:rPr>
        <w:t xml:space="preserve">for temporarily maintaining </w:t>
      </w:r>
      <w:r>
        <w:rPr>
          <w:rFonts w:ascii="Open Sans" w:hAnsi="Open Sans" w:cs="Open Sans"/>
          <w:sz w:val="20"/>
          <w:szCs w:val="20"/>
        </w:rPr>
        <w:t xml:space="preserve">subsidies </w:t>
      </w:r>
      <w:r w:rsidR="004B66EA">
        <w:rPr>
          <w:rFonts w:ascii="Open Sans" w:hAnsi="Open Sans" w:cs="Open Sans"/>
          <w:sz w:val="20"/>
          <w:szCs w:val="20"/>
        </w:rPr>
        <w:t>as the economic benefits to the UK economy should be better understood</w:t>
      </w:r>
      <w:r w:rsidR="006218B9">
        <w:rPr>
          <w:rFonts w:ascii="Open Sans" w:hAnsi="Open Sans" w:cs="Open Sans"/>
          <w:sz w:val="20"/>
          <w:szCs w:val="20"/>
        </w:rPr>
        <w:t xml:space="preserve">. There would also be the capture of business rates </w:t>
      </w:r>
      <w:r w:rsidR="00AF1E81">
        <w:rPr>
          <w:rFonts w:ascii="Open Sans" w:hAnsi="Open Sans" w:cs="Open Sans"/>
          <w:sz w:val="20"/>
          <w:szCs w:val="20"/>
        </w:rPr>
        <w:t>and taxes</w:t>
      </w:r>
      <w:r w:rsidR="006218B9">
        <w:rPr>
          <w:rFonts w:ascii="Open Sans" w:hAnsi="Open Sans" w:cs="Open Sans"/>
          <w:sz w:val="20"/>
          <w:szCs w:val="20"/>
        </w:rPr>
        <w:t xml:space="preserve"> that would be a useful for this process</w:t>
      </w:r>
      <w:r w:rsidR="00AF1E81">
        <w:rPr>
          <w:rFonts w:ascii="Open Sans" w:hAnsi="Open Sans" w:cs="Open Sans"/>
          <w:sz w:val="20"/>
          <w:szCs w:val="20"/>
        </w:rPr>
        <w:t xml:space="preserve"> as a balance of overall benefit. It </w:t>
      </w:r>
      <w:r w:rsidR="00135EC1">
        <w:rPr>
          <w:rFonts w:ascii="Open Sans" w:hAnsi="Open Sans" w:cs="Open Sans"/>
          <w:sz w:val="20"/>
          <w:szCs w:val="20"/>
        </w:rPr>
        <w:t xml:space="preserve">would also provide an understanding of where the </w:t>
      </w:r>
      <w:proofErr w:type="gramStart"/>
      <w:r w:rsidR="00135EC1">
        <w:rPr>
          <w:rFonts w:ascii="Open Sans" w:hAnsi="Open Sans" w:cs="Open Sans"/>
          <w:sz w:val="20"/>
          <w:szCs w:val="20"/>
        </w:rPr>
        <w:t>skill</w:t>
      </w:r>
      <w:r w:rsidR="006B5751">
        <w:rPr>
          <w:rFonts w:ascii="Open Sans" w:hAnsi="Open Sans" w:cs="Open Sans"/>
          <w:sz w:val="20"/>
          <w:szCs w:val="20"/>
        </w:rPr>
        <w:t>-set</w:t>
      </w:r>
      <w:proofErr w:type="gramEnd"/>
      <w:r w:rsidR="006B5751">
        <w:rPr>
          <w:rFonts w:ascii="Open Sans" w:hAnsi="Open Sans" w:cs="Open Sans"/>
          <w:sz w:val="20"/>
          <w:szCs w:val="20"/>
        </w:rPr>
        <w:t xml:space="preserve"> </w:t>
      </w:r>
      <w:r w:rsidR="00135EC1">
        <w:rPr>
          <w:rFonts w:ascii="Open Sans" w:hAnsi="Open Sans" w:cs="Open Sans"/>
          <w:sz w:val="20"/>
          <w:szCs w:val="20"/>
        </w:rPr>
        <w:t xml:space="preserve">and expertise is coming from outside the UK. </w:t>
      </w:r>
    </w:p>
    <w:p w14:paraId="731ABC21" w14:textId="5170AAAE" w:rsidR="009247B2" w:rsidRPr="00915308" w:rsidRDefault="00832AB6" w:rsidP="00B8535D">
      <w:pPr>
        <w:rPr>
          <w:rFonts w:ascii="Open Sans" w:hAnsi="Open Sans" w:cs="Open Sans"/>
          <w:sz w:val="20"/>
          <w:szCs w:val="20"/>
        </w:rPr>
      </w:pPr>
      <w:r>
        <w:rPr>
          <w:rFonts w:ascii="Open Sans" w:hAnsi="Open Sans" w:cs="Open Sans"/>
          <w:sz w:val="20"/>
          <w:szCs w:val="20"/>
        </w:rPr>
        <w:t xml:space="preserve">The </w:t>
      </w:r>
      <w:r w:rsidR="00756EE6">
        <w:rPr>
          <w:rFonts w:ascii="Open Sans" w:hAnsi="Open Sans" w:cs="Open Sans"/>
          <w:sz w:val="20"/>
          <w:szCs w:val="20"/>
        </w:rPr>
        <w:t>difficulty</w:t>
      </w:r>
      <w:r>
        <w:rPr>
          <w:rFonts w:ascii="Open Sans" w:hAnsi="Open Sans" w:cs="Open Sans"/>
          <w:sz w:val="20"/>
          <w:szCs w:val="20"/>
        </w:rPr>
        <w:t xml:space="preserve"> of trying to capture the </w:t>
      </w:r>
      <w:r w:rsidR="00756EE6">
        <w:rPr>
          <w:rFonts w:ascii="Open Sans" w:hAnsi="Open Sans" w:cs="Open Sans"/>
          <w:sz w:val="20"/>
          <w:szCs w:val="20"/>
        </w:rPr>
        <w:t xml:space="preserve">benefits into a cost based competitive allocation </w:t>
      </w:r>
      <w:r w:rsidR="0054744D">
        <w:rPr>
          <w:rFonts w:ascii="Open Sans" w:hAnsi="Open Sans" w:cs="Open Sans"/>
          <w:sz w:val="20"/>
          <w:szCs w:val="20"/>
        </w:rPr>
        <w:t xml:space="preserve">is that </w:t>
      </w:r>
      <w:r w:rsidR="00BF29DF">
        <w:rPr>
          <w:rFonts w:ascii="Open Sans" w:hAnsi="Open Sans" w:cs="Open Sans"/>
          <w:sz w:val="20"/>
          <w:szCs w:val="20"/>
        </w:rPr>
        <w:t>without</w:t>
      </w:r>
      <w:r w:rsidR="0054744D">
        <w:rPr>
          <w:rFonts w:ascii="Open Sans" w:hAnsi="Open Sans" w:cs="Open Sans"/>
          <w:sz w:val="20"/>
          <w:szCs w:val="20"/>
        </w:rPr>
        <w:t xml:space="preserve"> good baseline data</w:t>
      </w:r>
      <w:r w:rsidR="008163A2">
        <w:rPr>
          <w:rFonts w:ascii="Open Sans" w:hAnsi="Open Sans" w:cs="Open Sans"/>
          <w:sz w:val="20"/>
          <w:szCs w:val="20"/>
        </w:rPr>
        <w:t>,</w:t>
      </w:r>
      <w:r w:rsidR="009247B2">
        <w:rPr>
          <w:rFonts w:ascii="Open Sans" w:hAnsi="Open Sans" w:cs="Open Sans"/>
          <w:sz w:val="20"/>
          <w:szCs w:val="20"/>
        </w:rPr>
        <w:t xml:space="preserve"> which would come </w:t>
      </w:r>
      <w:r w:rsidR="004D5865">
        <w:rPr>
          <w:rFonts w:ascii="Open Sans" w:hAnsi="Open Sans" w:cs="Open Sans"/>
          <w:sz w:val="20"/>
          <w:szCs w:val="20"/>
        </w:rPr>
        <w:t xml:space="preserve">from </w:t>
      </w:r>
      <w:r w:rsidR="0054744D">
        <w:rPr>
          <w:rFonts w:ascii="Open Sans" w:hAnsi="Open Sans" w:cs="Open Sans"/>
          <w:sz w:val="20"/>
          <w:szCs w:val="20"/>
        </w:rPr>
        <w:t>a fully functioning system</w:t>
      </w:r>
      <w:r w:rsidR="008163A2">
        <w:rPr>
          <w:rFonts w:ascii="Open Sans" w:hAnsi="Open Sans" w:cs="Open Sans"/>
          <w:sz w:val="20"/>
          <w:szCs w:val="20"/>
        </w:rPr>
        <w:t>,</w:t>
      </w:r>
      <w:r w:rsidR="0054744D">
        <w:rPr>
          <w:rFonts w:ascii="Open Sans" w:hAnsi="Open Sans" w:cs="Open Sans"/>
          <w:sz w:val="20"/>
          <w:szCs w:val="20"/>
        </w:rPr>
        <w:t xml:space="preserve"> you would only be trying to </w:t>
      </w:r>
      <w:r w:rsidR="00BF29DF">
        <w:rPr>
          <w:rFonts w:ascii="Open Sans" w:hAnsi="Open Sans" w:cs="Open Sans"/>
          <w:sz w:val="20"/>
          <w:szCs w:val="20"/>
        </w:rPr>
        <w:t>capture</w:t>
      </w:r>
      <w:r w:rsidR="0054744D">
        <w:rPr>
          <w:rFonts w:ascii="Open Sans" w:hAnsi="Open Sans" w:cs="Open Sans"/>
          <w:sz w:val="20"/>
          <w:szCs w:val="20"/>
        </w:rPr>
        <w:t xml:space="preserve"> the </w:t>
      </w:r>
      <w:r w:rsidR="00BF29DF">
        <w:rPr>
          <w:rFonts w:ascii="Open Sans" w:hAnsi="Open Sans" w:cs="Open Sans"/>
          <w:sz w:val="20"/>
          <w:szCs w:val="20"/>
        </w:rPr>
        <w:t>benefits without acknowledg</w:t>
      </w:r>
      <w:r w:rsidR="006239DE">
        <w:rPr>
          <w:rFonts w:ascii="Open Sans" w:hAnsi="Open Sans" w:cs="Open Sans"/>
          <w:sz w:val="20"/>
          <w:szCs w:val="20"/>
        </w:rPr>
        <w:t>ing</w:t>
      </w:r>
      <w:r w:rsidR="00BF29DF">
        <w:rPr>
          <w:rFonts w:ascii="Open Sans" w:hAnsi="Open Sans" w:cs="Open Sans"/>
          <w:sz w:val="20"/>
          <w:szCs w:val="20"/>
        </w:rPr>
        <w:t xml:space="preserve"> the losses. </w:t>
      </w:r>
      <w:r w:rsidR="006239DE">
        <w:rPr>
          <w:rFonts w:ascii="Open Sans" w:hAnsi="Open Sans" w:cs="Open Sans"/>
          <w:sz w:val="20"/>
          <w:szCs w:val="20"/>
        </w:rPr>
        <w:t xml:space="preserve">This would only be achieved by </w:t>
      </w:r>
      <w:r w:rsidR="009247B2">
        <w:rPr>
          <w:rFonts w:ascii="Open Sans" w:hAnsi="Open Sans" w:cs="Open Sans"/>
          <w:sz w:val="20"/>
          <w:szCs w:val="20"/>
        </w:rPr>
        <w:t xml:space="preserve">providing some </w:t>
      </w:r>
      <w:r w:rsidR="008163A2">
        <w:rPr>
          <w:rFonts w:ascii="Open Sans" w:hAnsi="Open Sans" w:cs="Open Sans"/>
          <w:sz w:val="20"/>
          <w:szCs w:val="20"/>
        </w:rPr>
        <w:t xml:space="preserve">initial </w:t>
      </w:r>
      <w:r w:rsidR="009247B2">
        <w:rPr>
          <w:rFonts w:ascii="Open Sans" w:hAnsi="Open Sans" w:cs="Open Sans"/>
          <w:sz w:val="20"/>
          <w:szCs w:val="20"/>
        </w:rPr>
        <w:t xml:space="preserve">estimates of expected value. </w:t>
      </w:r>
    </w:p>
    <w:p w14:paraId="2991812D" w14:textId="77777777" w:rsidR="00DE228D" w:rsidRPr="00517675" w:rsidRDefault="005434C0" w:rsidP="00DE228D">
      <w:pPr>
        <w:rPr>
          <w:rFonts w:ascii="Open Sans" w:hAnsi="Open Sans" w:cs="Open Sans"/>
          <w:b/>
          <w:bCs/>
        </w:rPr>
      </w:pPr>
      <w:r w:rsidRPr="00517675">
        <w:rPr>
          <w:rFonts w:ascii="Open Sans" w:hAnsi="Open Sans" w:cs="Open Sans"/>
          <w:b/>
          <w:bCs/>
          <w:sz w:val="20"/>
          <w:szCs w:val="20"/>
        </w:rPr>
        <w:t xml:space="preserve">10. How would introducing price-based competition affect developers' decisions on where and how to invest in supply chains? Security of supply of hydrogen: </w:t>
      </w:r>
    </w:p>
    <w:p w14:paraId="71772E1F" w14:textId="66C3134E" w:rsidR="005434C0" w:rsidRPr="00517675" w:rsidRDefault="00665C85" w:rsidP="00B8535D">
      <w:pPr>
        <w:rPr>
          <w:rFonts w:ascii="Open Sans" w:hAnsi="Open Sans" w:cs="Open Sans"/>
          <w:b/>
          <w:bCs/>
          <w:sz w:val="20"/>
          <w:szCs w:val="20"/>
        </w:rPr>
      </w:pPr>
      <w:r>
        <w:rPr>
          <w:rFonts w:ascii="Open Sans" w:hAnsi="Open Sans" w:cs="Open Sans"/>
          <w:sz w:val="20"/>
          <w:szCs w:val="20"/>
        </w:rPr>
        <w:t xml:space="preserve">There </w:t>
      </w:r>
      <w:r w:rsidR="00ED7ADD">
        <w:rPr>
          <w:rFonts w:ascii="Open Sans" w:hAnsi="Open Sans" w:cs="Open Sans"/>
          <w:sz w:val="20"/>
          <w:szCs w:val="20"/>
        </w:rPr>
        <w:t xml:space="preserve">decisions </w:t>
      </w:r>
      <w:r>
        <w:rPr>
          <w:rFonts w:ascii="Open Sans" w:hAnsi="Open Sans" w:cs="Open Sans"/>
          <w:sz w:val="20"/>
          <w:szCs w:val="20"/>
        </w:rPr>
        <w:t>are certain</w:t>
      </w:r>
      <w:r w:rsidR="00ED7ADD">
        <w:rPr>
          <w:rFonts w:ascii="Open Sans" w:hAnsi="Open Sans" w:cs="Open Sans"/>
          <w:sz w:val="20"/>
          <w:szCs w:val="20"/>
        </w:rPr>
        <w:t xml:space="preserve"> to be </w:t>
      </w:r>
      <w:r w:rsidR="00273E84" w:rsidRPr="00517675">
        <w:rPr>
          <w:rFonts w:ascii="Open Sans" w:hAnsi="Open Sans" w:cs="Open Sans"/>
          <w:sz w:val="20"/>
          <w:szCs w:val="20"/>
        </w:rPr>
        <w:t>dependent on the location for production and off take opportunities</w:t>
      </w:r>
      <w:r w:rsidR="00BD66FA">
        <w:rPr>
          <w:rFonts w:ascii="Open Sans" w:hAnsi="Open Sans" w:cs="Open Sans"/>
          <w:sz w:val="20"/>
          <w:szCs w:val="20"/>
        </w:rPr>
        <w:t>,</w:t>
      </w:r>
      <w:r w:rsidR="00273E84" w:rsidRPr="00517675">
        <w:rPr>
          <w:rFonts w:ascii="Open Sans" w:hAnsi="Open Sans" w:cs="Open Sans"/>
          <w:sz w:val="20"/>
          <w:szCs w:val="20"/>
        </w:rPr>
        <w:t xml:space="preserve"> so is likely to vary. Projects for some grid networks can link projects directly to high energy industrial systems such as the South Wales steel and related industries</w:t>
      </w:r>
      <w:r w:rsidR="00BD66FA">
        <w:rPr>
          <w:rFonts w:ascii="Open Sans" w:hAnsi="Open Sans" w:cs="Open Sans"/>
          <w:sz w:val="20"/>
          <w:szCs w:val="20"/>
        </w:rPr>
        <w:t>,</w:t>
      </w:r>
      <w:r w:rsidR="00273E84">
        <w:rPr>
          <w:rFonts w:ascii="Open Sans" w:hAnsi="Open Sans" w:cs="Open Sans"/>
          <w:sz w:val="20"/>
          <w:szCs w:val="20"/>
        </w:rPr>
        <w:t xml:space="preserve"> once developed</w:t>
      </w:r>
      <w:r w:rsidR="00BD66FA">
        <w:rPr>
          <w:rFonts w:ascii="Open Sans" w:hAnsi="Open Sans" w:cs="Open Sans"/>
          <w:sz w:val="20"/>
          <w:szCs w:val="20"/>
        </w:rPr>
        <w:t>,</w:t>
      </w:r>
      <w:r w:rsidR="00273E84">
        <w:rPr>
          <w:rFonts w:ascii="Open Sans" w:hAnsi="Open Sans" w:cs="Open Sans"/>
          <w:sz w:val="20"/>
          <w:szCs w:val="20"/>
        </w:rPr>
        <w:t xml:space="preserve"> with network providers setting time-based targets for providing hydrogen</w:t>
      </w:r>
      <w:r w:rsidR="00273E84" w:rsidRPr="00517675">
        <w:rPr>
          <w:rFonts w:ascii="Open Sans" w:hAnsi="Open Sans" w:cs="Open Sans"/>
          <w:sz w:val="20"/>
          <w:szCs w:val="20"/>
        </w:rPr>
        <w:t>.</w:t>
      </w:r>
      <w:r w:rsidR="00BD66FA">
        <w:rPr>
          <w:rFonts w:ascii="Open Sans" w:hAnsi="Open Sans" w:cs="Open Sans"/>
          <w:sz w:val="20"/>
          <w:szCs w:val="20"/>
        </w:rPr>
        <w:t xml:space="preserve"> W</w:t>
      </w:r>
      <w:r w:rsidR="00273E84">
        <w:rPr>
          <w:rFonts w:ascii="Open Sans" w:hAnsi="Open Sans" w:cs="Open Sans"/>
          <w:sz w:val="20"/>
          <w:szCs w:val="20"/>
        </w:rPr>
        <w:t>here there is a dedicated network planned</w:t>
      </w:r>
      <w:r w:rsidR="00BD66FA">
        <w:rPr>
          <w:rFonts w:ascii="Open Sans" w:hAnsi="Open Sans" w:cs="Open Sans"/>
          <w:sz w:val="20"/>
          <w:szCs w:val="20"/>
        </w:rPr>
        <w:t>,</w:t>
      </w:r>
      <w:r w:rsidR="00273E84">
        <w:rPr>
          <w:rFonts w:ascii="Open Sans" w:hAnsi="Open Sans" w:cs="Open Sans"/>
          <w:sz w:val="20"/>
          <w:szCs w:val="20"/>
        </w:rPr>
        <w:t xml:space="preserve"> will provide the opportunity for industries to become hydrogen ready and for the hydrogen providers to develop and commission. Where this is not available and outside </w:t>
      </w:r>
      <w:r w:rsidR="006B0873">
        <w:rPr>
          <w:rFonts w:ascii="Open Sans" w:hAnsi="Open Sans" w:cs="Open Sans"/>
          <w:sz w:val="20"/>
          <w:szCs w:val="20"/>
        </w:rPr>
        <w:t>of</w:t>
      </w:r>
      <w:r w:rsidR="00273E84">
        <w:rPr>
          <w:rFonts w:ascii="Open Sans" w:hAnsi="Open Sans" w:cs="Open Sans"/>
          <w:sz w:val="20"/>
          <w:szCs w:val="20"/>
        </w:rPr>
        <w:t xml:space="preserve"> clusters projects</w:t>
      </w:r>
      <w:r w:rsidR="005E7F0D">
        <w:rPr>
          <w:rFonts w:ascii="Open Sans" w:hAnsi="Open Sans" w:cs="Open Sans"/>
          <w:sz w:val="20"/>
          <w:szCs w:val="20"/>
        </w:rPr>
        <w:t xml:space="preserve">, investment will be dependent on </w:t>
      </w:r>
      <w:r w:rsidR="00273E84">
        <w:rPr>
          <w:rFonts w:ascii="Open Sans" w:hAnsi="Open Sans" w:cs="Open Sans"/>
          <w:sz w:val="20"/>
          <w:szCs w:val="20"/>
        </w:rPr>
        <w:t>decision on blending</w:t>
      </w:r>
      <w:r w:rsidR="005E7F0D">
        <w:rPr>
          <w:rFonts w:ascii="Open Sans" w:hAnsi="Open Sans" w:cs="Open Sans"/>
          <w:sz w:val="20"/>
          <w:szCs w:val="20"/>
        </w:rPr>
        <w:t xml:space="preserve"> in the gas grid. </w:t>
      </w:r>
    </w:p>
    <w:p w14:paraId="15F75A5E" w14:textId="4D5282F7" w:rsidR="005434C0" w:rsidRPr="00517675" w:rsidRDefault="005434C0" w:rsidP="00B8535D">
      <w:pPr>
        <w:rPr>
          <w:rFonts w:ascii="Open Sans" w:hAnsi="Open Sans" w:cs="Open Sans"/>
          <w:b/>
          <w:bCs/>
          <w:sz w:val="20"/>
          <w:szCs w:val="20"/>
        </w:rPr>
      </w:pPr>
      <w:r w:rsidRPr="00517675">
        <w:rPr>
          <w:rFonts w:ascii="Open Sans" w:hAnsi="Open Sans" w:cs="Open Sans"/>
          <w:b/>
          <w:bCs/>
          <w:sz w:val="20"/>
          <w:szCs w:val="20"/>
        </w:rPr>
        <w:t xml:space="preserve">11. In a price-based competition, how could pots be designed to best support the ‘security of supply of hydrogen’? </w:t>
      </w:r>
    </w:p>
    <w:p w14:paraId="52671B7E" w14:textId="77777777" w:rsidR="00174770" w:rsidRDefault="00E42224" w:rsidP="00B8535D">
      <w:pPr>
        <w:rPr>
          <w:rFonts w:ascii="Open Sans" w:hAnsi="Open Sans" w:cs="Open Sans"/>
          <w:sz w:val="20"/>
          <w:szCs w:val="20"/>
        </w:rPr>
      </w:pPr>
      <w:r w:rsidRPr="00950618">
        <w:rPr>
          <w:rFonts w:ascii="Open Sans" w:hAnsi="Open Sans" w:cs="Open Sans"/>
          <w:sz w:val="20"/>
          <w:szCs w:val="20"/>
        </w:rPr>
        <w:t xml:space="preserve">Power </w:t>
      </w:r>
      <w:proofErr w:type="spellStart"/>
      <w:r w:rsidRPr="00950618">
        <w:rPr>
          <w:rFonts w:ascii="Open Sans" w:hAnsi="Open Sans" w:cs="Open Sans"/>
          <w:sz w:val="20"/>
          <w:szCs w:val="20"/>
        </w:rPr>
        <w:t>CfT</w:t>
      </w:r>
      <w:proofErr w:type="spellEnd"/>
      <w:r w:rsidRPr="00950618">
        <w:rPr>
          <w:rFonts w:ascii="Open Sans" w:hAnsi="Open Sans" w:cs="Open Sans"/>
          <w:sz w:val="20"/>
          <w:szCs w:val="20"/>
        </w:rPr>
        <w:t xml:space="preserve"> </w:t>
      </w:r>
      <w:r w:rsidR="0051038C" w:rsidRPr="00950618">
        <w:rPr>
          <w:rFonts w:ascii="Open Sans" w:hAnsi="Open Sans" w:cs="Open Sans"/>
          <w:sz w:val="20"/>
          <w:szCs w:val="20"/>
        </w:rPr>
        <w:t xml:space="preserve">has been very good </w:t>
      </w:r>
      <w:r w:rsidR="00313BF5">
        <w:rPr>
          <w:rFonts w:ascii="Open Sans" w:hAnsi="Open Sans" w:cs="Open Sans"/>
          <w:sz w:val="20"/>
          <w:szCs w:val="20"/>
        </w:rPr>
        <w:t xml:space="preserve">to show how this can </w:t>
      </w:r>
      <w:proofErr w:type="gramStart"/>
      <w:r w:rsidR="00313BF5">
        <w:rPr>
          <w:rFonts w:ascii="Open Sans" w:hAnsi="Open Sans" w:cs="Open Sans"/>
          <w:sz w:val="20"/>
          <w:szCs w:val="20"/>
        </w:rPr>
        <w:t>work ,</w:t>
      </w:r>
      <w:proofErr w:type="gramEnd"/>
      <w:r w:rsidR="00313BF5">
        <w:rPr>
          <w:rFonts w:ascii="Open Sans" w:hAnsi="Open Sans" w:cs="Open Sans"/>
          <w:sz w:val="20"/>
          <w:szCs w:val="20"/>
        </w:rPr>
        <w:t xml:space="preserve"> </w:t>
      </w:r>
      <w:r w:rsidR="00174770">
        <w:rPr>
          <w:rFonts w:ascii="Open Sans" w:hAnsi="Open Sans" w:cs="Open Sans"/>
          <w:sz w:val="20"/>
          <w:szCs w:val="20"/>
        </w:rPr>
        <w:t>however</w:t>
      </w:r>
      <w:r w:rsidR="00313BF5">
        <w:rPr>
          <w:rFonts w:ascii="Open Sans" w:hAnsi="Open Sans" w:cs="Open Sans"/>
          <w:sz w:val="20"/>
          <w:szCs w:val="20"/>
        </w:rPr>
        <w:t xml:space="preserve"> this was in a </w:t>
      </w:r>
      <w:r w:rsidR="003849F6">
        <w:rPr>
          <w:rFonts w:ascii="Open Sans" w:hAnsi="Open Sans" w:cs="Open Sans"/>
          <w:sz w:val="20"/>
          <w:szCs w:val="20"/>
        </w:rPr>
        <w:t xml:space="preserve">system where </w:t>
      </w:r>
      <w:r w:rsidR="00181967" w:rsidRPr="00950618">
        <w:rPr>
          <w:rFonts w:ascii="Open Sans" w:hAnsi="Open Sans" w:cs="Open Sans"/>
          <w:sz w:val="20"/>
          <w:szCs w:val="20"/>
        </w:rPr>
        <w:t xml:space="preserve">technologies are similar and for those technologies that the government has wanted to prioritise. </w:t>
      </w:r>
      <w:r w:rsidR="003849F6">
        <w:rPr>
          <w:rFonts w:ascii="Open Sans" w:hAnsi="Open Sans" w:cs="Open Sans"/>
          <w:sz w:val="20"/>
          <w:szCs w:val="20"/>
        </w:rPr>
        <w:t xml:space="preserve">This can </w:t>
      </w:r>
      <w:proofErr w:type="gramStart"/>
      <w:r w:rsidR="003849F6">
        <w:rPr>
          <w:rFonts w:ascii="Open Sans" w:hAnsi="Open Sans" w:cs="Open Sans"/>
          <w:sz w:val="20"/>
          <w:szCs w:val="20"/>
        </w:rPr>
        <w:t>definitely help</w:t>
      </w:r>
      <w:proofErr w:type="gramEnd"/>
      <w:r w:rsidR="003849F6">
        <w:rPr>
          <w:rFonts w:ascii="Open Sans" w:hAnsi="Open Sans" w:cs="Open Sans"/>
          <w:sz w:val="20"/>
          <w:szCs w:val="20"/>
        </w:rPr>
        <w:t xml:space="preserve"> to </w:t>
      </w:r>
      <w:r w:rsidR="00174770">
        <w:rPr>
          <w:rFonts w:ascii="Open Sans" w:hAnsi="Open Sans" w:cs="Open Sans"/>
          <w:sz w:val="20"/>
          <w:szCs w:val="20"/>
        </w:rPr>
        <w:t>dri</w:t>
      </w:r>
      <w:r w:rsidR="00174770" w:rsidRPr="00950618">
        <w:rPr>
          <w:rFonts w:ascii="Open Sans" w:hAnsi="Open Sans" w:cs="Open Sans"/>
          <w:sz w:val="20"/>
          <w:szCs w:val="20"/>
        </w:rPr>
        <w:t>ve</w:t>
      </w:r>
      <w:r w:rsidR="00FD62BE" w:rsidRPr="00950618">
        <w:rPr>
          <w:rFonts w:ascii="Open Sans" w:hAnsi="Open Sans" w:cs="Open Sans"/>
          <w:sz w:val="20"/>
          <w:szCs w:val="20"/>
        </w:rPr>
        <w:t xml:space="preserve"> down costs. </w:t>
      </w:r>
    </w:p>
    <w:p w14:paraId="3F798F31" w14:textId="3017350B" w:rsidR="004F1676" w:rsidRPr="00950618" w:rsidRDefault="00F63757" w:rsidP="00B8535D">
      <w:pPr>
        <w:rPr>
          <w:rFonts w:ascii="Open Sans" w:hAnsi="Open Sans" w:cs="Open Sans"/>
          <w:sz w:val="20"/>
          <w:szCs w:val="20"/>
        </w:rPr>
      </w:pPr>
      <w:r w:rsidRPr="00950618">
        <w:rPr>
          <w:rFonts w:ascii="Open Sans" w:hAnsi="Open Sans" w:cs="Open Sans"/>
          <w:sz w:val="20"/>
          <w:szCs w:val="20"/>
        </w:rPr>
        <w:t>Separat</w:t>
      </w:r>
      <w:r w:rsidR="00174770">
        <w:rPr>
          <w:rFonts w:ascii="Open Sans" w:hAnsi="Open Sans" w:cs="Open Sans"/>
          <w:sz w:val="20"/>
          <w:szCs w:val="20"/>
        </w:rPr>
        <w:t>ing</w:t>
      </w:r>
      <w:r w:rsidRPr="00950618">
        <w:rPr>
          <w:rFonts w:ascii="Open Sans" w:hAnsi="Open Sans" w:cs="Open Sans"/>
          <w:sz w:val="20"/>
          <w:szCs w:val="20"/>
        </w:rPr>
        <w:t xml:space="preserve"> </w:t>
      </w:r>
      <w:r w:rsidR="005C3284" w:rsidRPr="00950618">
        <w:rPr>
          <w:rFonts w:ascii="Open Sans" w:hAnsi="Open Sans" w:cs="Open Sans"/>
          <w:sz w:val="20"/>
          <w:szCs w:val="20"/>
        </w:rPr>
        <w:t>advanced</w:t>
      </w:r>
      <w:r w:rsidRPr="00950618">
        <w:rPr>
          <w:rFonts w:ascii="Open Sans" w:hAnsi="Open Sans" w:cs="Open Sans"/>
          <w:sz w:val="20"/>
          <w:szCs w:val="20"/>
        </w:rPr>
        <w:t xml:space="preserve"> </w:t>
      </w:r>
      <w:r w:rsidR="00C11AD9" w:rsidRPr="00950618">
        <w:rPr>
          <w:rFonts w:ascii="Open Sans" w:hAnsi="Open Sans" w:cs="Open Sans"/>
          <w:sz w:val="20"/>
          <w:szCs w:val="20"/>
        </w:rPr>
        <w:t xml:space="preserve">conversion </w:t>
      </w:r>
      <w:r w:rsidRPr="00950618">
        <w:rPr>
          <w:rFonts w:ascii="Open Sans" w:hAnsi="Open Sans" w:cs="Open Sans"/>
          <w:sz w:val="20"/>
          <w:szCs w:val="20"/>
        </w:rPr>
        <w:t>technologies pots f</w:t>
      </w:r>
      <w:r w:rsidR="00174770">
        <w:rPr>
          <w:rFonts w:ascii="Open Sans" w:hAnsi="Open Sans" w:cs="Open Sans"/>
          <w:sz w:val="20"/>
          <w:szCs w:val="20"/>
        </w:rPr>
        <w:t>ro</w:t>
      </w:r>
      <w:r w:rsidRPr="00950618">
        <w:rPr>
          <w:rFonts w:ascii="Open Sans" w:hAnsi="Open Sans" w:cs="Open Sans"/>
          <w:sz w:val="20"/>
          <w:szCs w:val="20"/>
        </w:rPr>
        <w:t>m</w:t>
      </w:r>
      <w:r w:rsidR="00C11AD9" w:rsidRPr="00950618">
        <w:rPr>
          <w:rFonts w:ascii="Open Sans" w:hAnsi="Open Sans" w:cs="Open Sans"/>
          <w:sz w:val="20"/>
          <w:szCs w:val="20"/>
        </w:rPr>
        <w:t xml:space="preserve"> </w:t>
      </w:r>
      <w:r w:rsidRPr="00950618">
        <w:rPr>
          <w:rFonts w:ascii="Open Sans" w:hAnsi="Open Sans" w:cs="Open Sans"/>
          <w:sz w:val="20"/>
          <w:szCs w:val="20"/>
        </w:rPr>
        <w:t>a</w:t>
      </w:r>
      <w:r w:rsidR="0075426C">
        <w:rPr>
          <w:rFonts w:ascii="Open Sans" w:hAnsi="Open Sans" w:cs="Open Sans"/>
          <w:sz w:val="20"/>
          <w:szCs w:val="20"/>
        </w:rPr>
        <w:t>n</w:t>
      </w:r>
      <w:r w:rsidRPr="00950618">
        <w:rPr>
          <w:rFonts w:ascii="Open Sans" w:hAnsi="Open Sans" w:cs="Open Sans"/>
          <w:sz w:val="20"/>
          <w:szCs w:val="20"/>
        </w:rPr>
        <w:t xml:space="preserve"> </w:t>
      </w:r>
      <w:r w:rsidR="00C11AD9" w:rsidRPr="00950618">
        <w:rPr>
          <w:rFonts w:ascii="Open Sans" w:hAnsi="Open Sans" w:cs="Open Sans"/>
          <w:sz w:val="20"/>
          <w:szCs w:val="20"/>
        </w:rPr>
        <w:t>electrolytic</w:t>
      </w:r>
      <w:r w:rsidRPr="00950618">
        <w:rPr>
          <w:rFonts w:ascii="Open Sans" w:hAnsi="Open Sans" w:cs="Open Sans"/>
          <w:sz w:val="20"/>
          <w:szCs w:val="20"/>
        </w:rPr>
        <w:t xml:space="preserve"> pot </w:t>
      </w:r>
      <w:r w:rsidR="0075426C">
        <w:rPr>
          <w:rFonts w:ascii="Open Sans" w:hAnsi="Open Sans" w:cs="Open Sans"/>
          <w:sz w:val="20"/>
          <w:szCs w:val="20"/>
        </w:rPr>
        <w:t>will be needed to d</w:t>
      </w:r>
      <w:r w:rsidRPr="00950618">
        <w:rPr>
          <w:rFonts w:ascii="Open Sans" w:hAnsi="Open Sans" w:cs="Open Sans"/>
          <w:sz w:val="20"/>
          <w:szCs w:val="20"/>
        </w:rPr>
        <w:t xml:space="preserve">rive innovation. </w:t>
      </w:r>
      <w:proofErr w:type="gramStart"/>
      <w:r w:rsidR="0075426C">
        <w:rPr>
          <w:rFonts w:ascii="Open Sans" w:hAnsi="Open Sans" w:cs="Open Sans"/>
          <w:sz w:val="20"/>
          <w:szCs w:val="20"/>
        </w:rPr>
        <w:t>So</w:t>
      </w:r>
      <w:proofErr w:type="gramEnd"/>
      <w:r w:rsidR="0075426C">
        <w:rPr>
          <w:rFonts w:ascii="Open Sans" w:hAnsi="Open Sans" w:cs="Open Sans"/>
          <w:sz w:val="20"/>
          <w:szCs w:val="20"/>
        </w:rPr>
        <w:t xml:space="preserve"> the provision of </w:t>
      </w:r>
      <w:r w:rsidR="00270DD9" w:rsidRPr="00950618">
        <w:rPr>
          <w:rFonts w:ascii="Open Sans" w:hAnsi="Open Sans" w:cs="Open Sans"/>
          <w:sz w:val="20"/>
          <w:szCs w:val="20"/>
        </w:rPr>
        <w:t xml:space="preserve">Pots </w:t>
      </w:r>
      <w:r w:rsidR="00C151B0">
        <w:rPr>
          <w:rFonts w:ascii="Open Sans" w:hAnsi="Open Sans" w:cs="Open Sans"/>
          <w:sz w:val="20"/>
          <w:szCs w:val="20"/>
        </w:rPr>
        <w:t>within</w:t>
      </w:r>
      <w:r w:rsidR="0075426C">
        <w:rPr>
          <w:rFonts w:ascii="Open Sans" w:hAnsi="Open Sans" w:cs="Open Sans"/>
          <w:sz w:val="20"/>
          <w:szCs w:val="20"/>
        </w:rPr>
        <w:t xml:space="preserve"> the system </w:t>
      </w:r>
      <w:r w:rsidR="00270DD9" w:rsidRPr="00950618">
        <w:rPr>
          <w:rFonts w:ascii="Open Sans" w:hAnsi="Open Sans" w:cs="Open Sans"/>
          <w:sz w:val="20"/>
          <w:szCs w:val="20"/>
        </w:rPr>
        <w:t xml:space="preserve">are good in </w:t>
      </w:r>
      <w:r w:rsidR="00673061" w:rsidRPr="00950618">
        <w:rPr>
          <w:rFonts w:ascii="Open Sans" w:hAnsi="Open Sans" w:cs="Open Sans"/>
          <w:sz w:val="20"/>
          <w:szCs w:val="20"/>
        </w:rPr>
        <w:t>principle</w:t>
      </w:r>
      <w:r w:rsidR="00270DD9" w:rsidRPr="00950618">
        <w:rPr>
          <w:rFonts w:ascii="Open Sans" w:hAnsi="Open Sans" w:cs="Open Sans"/>
          <w:sz w:val="20"/>
          <w:szCs w:val="20"/>
        </w:rPr>
        <w:t>.</w:t>
      </w:r>
      <w:r w:rsidR="00673061" w:rsidRPr="00950618">
        <w:rPr>
          <w:rFonts w:ascii="Open Sans" w:hAnsi="Open Sans" w:cs="Open Sans"/>
          <w:sz w:val="20"/>
          <w:szCs w:val="20"/>
        </w:rPr>
        <w:t xml:space="preserve"> </w:t>
      </w:r>
      <w:r w:rsidR="0075426C">
        <w:rPr>
          <w:rFonts w:ascii="Open Sans" w:hAnsi="Open Sans" w:cs="Open Sans"/>
          <w:sz w:val="20"/>
          <w:szCs w:val="20"/>
        </w:rPr>
        <w:t xml:space="preserve">This should be </w:t>
      </w:r>
      <w:r w:rsidR="00C151B0">
        <w:rPr>
          <w:rFonts w:ascii="Open Sans" w:hAnsi="Open Sans" w:cs="Open Sans"/>
          <w:sz w:val="20"/>
          <w:szCs w:val="20"/>
        </w:rPr>
        <w:t>with a s</w:t>
      </w:r>
      <w:r w:rsidR="009E647A" w:rsidRPr="00950618">
        <w:rPr>
          <w:rFonts w:ascii="Open Sans" w:hAnsi="Open Sans" w:cs="Open Sans"/>
          <w:sz w:val="20"/>
          <w:szCs w:val="20"/>
        </w:rPr>
        <w:t>pread</w:t>
      </w:r>
      <w:r w:rsidR="00673061" w:rsidRPr="00950618">
        <w:rPr>
          <w:rFonts w:ascii="Open Sans" w:hAnsi="Open Sans" w:cs="Open Sans"/>
          <w:sz w:val="20"/>
          <w:szCs w:val="20"/>
        </w:rPr>
        <w:t xml:space="preserve"> by location, or </w:t>
      </w:r>
      <w:r w:rsidR="004F1676" w:rsidRPr="00950618">
        <w:rPr>
          <w:rFonts w:ascii="Open Sans" w:hAnsi="Open Sans" w:cs="Open Sans"/>
          <w:sz w:val="20"/>
          <w:szCs w:val="20"/>
        </w:rPr>
        <w:t>technologies and</w:t>
      </w:r>
      <w:r w:rsidR="009E647A" w:rsidRPr="00950618">
        <w:rPr>
          <w:rFonts w:ascii="Open Sans" w:hAnsi="Open Sans" w:cs="Open Sans"/>
          <w:sz w:val="20"/>
          <w:szCs w:val="20"/>
        </w:rPr>
        <w:t xml:space="preserve"> </w:t>
      </w:r>
      <w:r w:rsidR="00C151B0">
        <w:rPr>
          <w:rFonts w:ascii="Open Sans" w:hAnsi="Open Sans" w:cs="Open Sans"/>
          <w:sz w:val="20"/>
          <w:szCs w:val="20"/>
        </w:rPr>
        <w:t xml:space="preserve">a decision </w:t>
      </w:r>
      <w:r w:rsidR="009E647A" w:rsidRPr="00950618">
        <w:rPr>
          <w:rFonts w:ascii="Open Sans" w:hAnsi="Open Sans" w:cs="Open Sans"/>
          <w:sz w:val="20"/>
          <w:szCs w:val="20"/>
        </w:rPr>
        <w:t xml:space="preserve">move to the competitive technologies </w:t>
      </w:r>
      <w:proofErr w:type="gramStart"/>
      <w:r w:rsidR="009E647A" w:rsidRPr="00950618">
        <w:rPr>
          <w:rFonts w:ascii="Open Sans" w:hAnsi="Open Sans" w:cs="Open Sans"/>
          <w:sz w:val="20"/>
          <w:szCs w:val="20"/>
        </w:rPr>
        <w:t>at a later date</w:t>
      </w:r>
      <w:proofErr w:type="gramEnd"/>
      <w:r w:rsidR="009E647A" w:rsidRPr="00950618">
        <w:rPr>
          <w:rFonts w:ascii="Open Sans" w:hAnsi="Open Sans" w:cs="Open Sans"/>
          <w:sz w:val="20"/>
          <w:szCs w:val="20"/>
        </w:rPr>
        <w:t xml:space="preserve">. </w:t>
      </w:r>
    </w:p>
    <w:p w14:paraId="004AF722" w14:textId="2B412BDE" w:rsidR="00AE4DE0" w:rsidRPr="00950618" w:rsidRDefault="002F7E01" w:rsidP="00B8535D">
      <w:pPr>
        <w:rPr>
          <w:rFonts w:ascii="Open Sans" w:hAnsi="Open Sans" w:cs="Open Sans"/>
          <w:sz w:val="20"/>
          <w:szCs w:val="20"/>
        </w:rPr>
      </w:pPr>
      <w:r w:rsidRPr="00950618">
        <w:rPr>
          <w:rFonts w:ascii="Open Sans" w:hAnsi="Open Sans" w:cs="Open Sans"/>
          <w:sz w:val="20"/>
          <w:szCs w:val="20"/>
        </w:rPr>
        <w:lastRenderedPageBreak/>
        <w:t xml:space="preserve">Advanced conversion technologies will help to push net zero </w:t>
      </w:r>
      <w:r w:rsidR="00DE2014" w:rsidRPr="00950618">
        <w:rPr>
          <w:rFonts w:ascii="Open Sans" w:hAnsi="Open Sans" w:cs="Open Sans"/>
          <w:sz w:val="20"/>
          <w:szCs w:val="20"/>
        </w:rPr>
        <w:t xml:space="preserve">so another income </w:t>
      </w:r>
      <w:r w:rsidR="00233B55" w:rsidRPr="00950618">
        <w:rPr>
          <w:rFonts w:ascii="Open Sans" w:hAnsi="Open Sans" w:cs="Open Sans"/>
          <w:sz w:val="20"/>
          <w:szCs w:val="20"/>
        </w:rPr>
        <w:t>stream</w:t>
      </w:r>
      <w:r w:rsidR="00DE2014" w:rsidRPr="00950618">
        <w:rPr>
          <w:rFonts w:ascii="Open Sans" w:hAnsi="Open Sans" w:cs="Open Sans"/>
          <w:sz w:val="20"/>
          <w:szCs w:val="20"/>
        </w:rPr>
        <w:t xml:space="preserve"> from carbon savings/ GHG </w:t>
      </w:r>
      <w:r w:rsidR="00233B55" w:rsidRPr="00950618">
        <w:rPr>
          <w:rFonts w:ascii="Open Sans" w:hAnsi="Open Sans" w:cs="Open Sans"/>
          <w:sz w:val="20"/>
          <w:szCs w:val="20"/>
        </w:rPr>
        <w:t>emissions</w:t>
      </w:r>
      <w:r w:rsidR="00DE2014" w:rsidRPr="00950618">
        <w:rPr>
          <w:rFonts w:ascii="Open Sans" w:hAnsi="Open Sans" w:cs="Open Sans"/>
          <w:sz w:val="20"/>
          <w:szCs w:val="20"/>
        </w:rPr>
        <w:t xml:space="preserve"> based would allow for more </w:t>
      </w:r>
      <w:r w:rsidR="00233B55" w:rsidRPr="00950618">
        <w:rPr>
          <w:rFonts w:ascii="Open Sans" w:hAnsi="Open Sans" w:cs="Open Sans"/>
          <w:sz w:val="20"/>
          <w:szCs w:val="20"/>
        </w:rPr>
        <w:t>competitive</w:t>
      </w:r>
      <w:r w:rsidR="00DE2014" w:rsidRPr="00950618">
        <w:rPr>
          <w:rFonts w:ascii="Open Sans" w:hAnsi="Open Sans" w:cs="Open Sans"/>
          <w:sz w:val="20"/>
          <w:szCs w:val="20"/>
        </w:rPr>
        <w:t xml:space="preserve"> </w:t>
      </w:r>
      <w:r w:rsidR="00C97CC0" w:rsidRPr="00950618">
        <w:rPr>
          <w:rFonts w:ascii="Open Sans" w:hAnsi="Open Sans" w:cs="Open Sans"/>
          <w:sz w:val="20"/>
          <w:szCs w:val="20"/>
        </w:rPr>
        <w:t>pricing,</w:t>
      </w:r>
      <w:r w:rsidR="00DE2014" w:rsidRPr="00950618">
        <w:rPr>
          <w:rFonts w:ascii="Open Sans" w:hAnsi="Open Sans" w:cs="Open Sans"/>
          <w:sz w:val="20"/>
          <w:szCs w:val="20"/>
        </w:rPr>
        <w:t xml:space="preserve"> but this would need to be assured ahead of the auction process to allow </w:t>
      </w:r>
      <w:r w:rsidR="000B26CC" w:rsidRPr="00950618">
        <w:rPr>
          <w:rFonts w:ascii="Open Sans" w:hAnsi="Open Sans" w:cs="Open Sans"/>
          <w:sz w:val="20"/>
          <w:szCs w:val="20"/>
        </w:rPr>
        <w:t xml:space="preserve">for the flexibility. </w:t>
      </w:r>
    </w:p>
    <w:p w14:paraId="7DE7E143" w14:textId="473F7F2E" w:rsidR="005C6032" w:rsidRDefault="005C6032" w:rsidP="00AE4DE0">
      <w:pPr>
        <w:rPr>
          <w:rFonts w:ascii="Open Sans" w:hAnsi="Open Sans" w:cs="Open Sans"/>
          <w:b/>
          <w:bCs/>
          <w:color w:val="1EAF37"/>
          <w:sz w:val="28"/>
          <w:szCs w:val="28"/>
        </w:rPr>
      </w:pPr>
      <w:r w:rsidRPr="00517675">
        <w:rPr>
          <w:rFonts w:ascii="Open Sans" w:hAnsi="Open Sans" w:cs="Open Sans"/>
          <w:b/>
          <w:bCs/>
          <w:color w:val="1EAF37"/>
          <w:sz w:val="28"/>
          <w:szCs w:val="28"/>
        </w:rPr>
        <w:t xml:space="preserve">Chapter </w:t>
      </w:r>
      <w:r w:rsidR="00AE4DE0" w:rsidRPr="00517675">
        <w:rPr>
          <w:rFonts w:ascii="Open Sans" w:hAnsi="Open Sans" w:cs="Open Sans"/>
          <w:b/>
          <w:bCs/>
          <w:color w:val="1EAF37"/>
          <w:sz w:val="28"/>
          <w:szCs w:val="28"/>
        </w:rPr>
        <w:t>3</w:t>
      </w:r>
      <w:r w:rsidRPr="00517675">
        <w:rPr>
          <w:rFonts w:ascii="Open Sans" w:hAnsi="Open Sans" w:cs="Open Sans"/>
          <w:b/>
          <w:bCs/>
          <w:color w:val="1EAF37"/>
          <w:sz w:val="28"/>
          <w:szCs w:val="28"/>
        </w:rPr>
        <w:t>-</w:t>
      </w:r>
      <w:r w:rsidR="00BC18D1" w:rsidRPr="00517675">
        <w:rPr>
          <w:rFonts w:ascii="Open Sans" w:hAnsi="Open Sans" w:cs="Open Sans"/>
          <w:b/>
          <w:bCs/>
          <w:color w:val="1EAF37"/>
          <w:sz w:val="28"/>
          <w:szCs w:val="28"/>
        </w:rPr>
        <w:t xml:space="preserve"> Transitioning to price-based competitive allocation.</w:t>
      </w:r>
    </w:p>
    <w:p w14:paraId="137AD8E0" w14:textId="77777777" w:rsidR="00DE228D" w:rsidRPr="00517675" w:rsidRDefault="005318E9" w:rsidP="00DE228D">
      <w:pPr>
        <w:rPr>
          <w:rFonts w:ascii="Open Sans" w:hAnsi="Open Sans" w:cs="Open Sans"/>
          <w:b/>
          <w:bCs/>
        </w:rPr>
      </w:pPr>
      <w:r w:rsidRPr="00517675">
        <w:rPr>
          <w:rFonts w:ascii="Open Sans" w:hAnsi="Open Sans" w:cs="Open Sans"/>
          <w:b/>
          <w:bCs/>
          <w:sz w:val="20"/>
          <w:szCs w:val="20"/>
        </w:rPr>
        <w:t>12. What market conditions need to be in place</w:t>
      </w:r>
      <w:r w:rsidRPr="00517675">
        <w:rPr>
          <w:rFonts w:ascii="Arial" w:hAnsi="Arial" w:cs="Arial"/>
          <w:b/>
          <w:bCs/>
          <w:sz w:val="20"/>
          <w:szCs w:val="20"/>
        </w:rPr>
        <w:t> </w:t>
      </w:r>
      <w:r w:rsidRPr="00517675">
        <w:rPr>
          <w:rFonts w:ascii="Open Sans" w:hAnsi="Open Sans" w:cs="Open Sans"/>
          <w:b/>
          <w:bCs/>
          <w:sz w:val="20"/>
          <w:szCs w:val="20"/>
        </w:rPr>
        <w:t xml:space="preserve">for introducing price-based competitive allocation? Do you think these market conditions will be in place by 2025? </w:t>
      </w:r>
    </w:p>
    <w:p w14:paraId="160A5BBB" w14:textId="710E7EE0" w:rsidR="005318E9" w:rsidRPr="00821F8E" w:rsidRDefault="00AB66FE" w:rsidP="002714A0">
      <w:pPr>
        <w:rPr>
          <w:rFonts w:ascii="Open Sans" w:hAnsi="Open Sans" w:cs="Open Sans"/>
          <w:sz w:val="20"/>
          <w:szCs w:val="20"/>
        </w:rPr>
      </w:pPr>
      <w:r w:rsidRPr="00821F8E">
        <w:rPr>
          <w:rFonts w:ascii="Open Sans" w:hAnsi="Open Sans" w:cs="Open Sans"/>
          <w:sz w:val="20"/>
          <w:szCs w:val="20"/>
        </w:rPr>
        <w:t>The principle</w:t>
      </w:r>
      <w:r w:rsidR="00372F5E">
        <w:rPr>
          <w:rFonts w:ascii="Open Sans" w:hAnsi="Open Sans" w:cs="Open Sans"/>
          <w:sz w:val="20"/>
          <w:szCs w:val="20"/>
        </w:rPr>
        <w:t>,</w:t>
      </w:r>
      <w:r w:rsidRPr="00821F8E">
        <w:rPr>
          <w:rFonts w:ascii="Open Sans" w:hAnsi="Open Sans" w:cs="Open Sans"/>
          <w:sz w:val="20"/>
          <w:szCs w:val="20"/>
        </w:rPr>
        <w:t xml:space="preserve"> </w:t>
      </w:r>
      <w:r w:rsidR="00F068CE" w:rsidRPr="00821F8E">
        <w:rPr>
          <w:rFonts w:ascii="Open Sans" w:hAnsi="Open Sans" w:cs="Open Sans"/>
          <w:sz w:val="20"/>
          <w:szCs w:val="20"/>
        </w:rPr>
        <w:t xml:space="preserve">as set out in the </w:t>
      </w:r>
      <w:r w:rsidR="00821F8E" w:rsidRPr="00821F8E">
        <w:rPr>
          <w:rFonts w:ascii="Open Sans" w:hAnsi="Open Sans" w:cs="Open Sans"/>
          <w:sz w:val="20"/>
          <w:szCs w:val="20"/>
        </w:rPr>
        <w:t>Government’s</w:t>
      </w:r>
      <w:r w:rsidR="00F068CE" w:rsidRPr="00821F8E">
        <w:rPr>
          <w:rFonts w:ascii="Open Sans" w:hAnsi="Open Sans" w:cs="Open Sans"/>
          <w:sz w:val="20"/>
          <w:szCs w:val="20"/>
        </w:rPr>
        <w:t xml:space="preserve"> BESS</w:t>
      </w:r>
      <w:r w:rsidR="00372F5E">
        <w:rPr>
          <w:rFonts w:ascii="Open Sans" w:hAnsi="Open Sans" w:cs="Open Sans"/>
          <w:sz w:val="20"/>
          <w:szCs w:val="20"/>
        </w:rPr>
        <w:t>,</w:t>
      </w:r>
      <w:r w:rsidR="00F068CE" w:rsidRPr="00821F8E">
        <w:rPr>
          <w:rFonts w:ascii="Open Sans" w:hAnsi="Open Sans" w:cs="Open Sans"/>
          <w:sz w:val="20"/>
          <w:szCs w:val="20"/>
        </w:rPr>
        <w:t xml:space="preserve"> to move to </w:t>
      </w:r>
      <w:r w:rsidR="00821F8E" w:rsidRPr="00821F8E">
        <w:rPr>
          <w:rFonts w:ascii="Open Sans" w:hAnsi="Open Sans" w:cs="Open Sans"/>
          <w:sz w:val="20"/>
          <w:szCs w:val="20"/>
        </w:rPr>
        <w:t>price</w:t>
      </w:r>
      <w:r w:rsidR="00F068CE" w:rsidRPr="00821F8E">
        <w:rPr>
          <w:rFonts w:ascii="Open Sans" w:hAnsi="Open Sans" w:cs="Open Sans"/>
          <w:sz w:val="20"/>
          <w:szCs w:val="20"/>
        </w:rPr>
        <w:t xml:space="preserve"> based </w:t>
      </w:r>
      <w:r w:rsidR="00821F8E" w:rsidRPr="00821F8E">
        <w:rPr>
          <w:rFonts w:ascii="Open Sans" w:hAnsi="Open Sans" w:cs="Open Sans"/>
          <w:sz w:val="20"/>
          <w:szCs w:val="20"/>
        </w:rPr>
        <w:t>competitive</w:t>
      </w:r>
      <w:r w:rsidR="00F068CE" w:rsidRPr="00821F8E">
        <w:rPr>
          <w:rFonts w:ascii="Open Sans" w:hAnsi="Open Sans" w:cs="Open Sans"/>
          <w:sz w:val="20"/>
          <w:szCs w:val="20"/>
        </w:rPr>
        <w:t xml:space="preserve"> </w:t>
      </w:r>
      <w:r w:rsidR="00821F8E" w:rsidRPr="00821F8E">
        <w:rPr>
          <w:rFonts w:ascii="Open Sans" w:hAnsi="Open Sans" w:cs="Open Sans"/>
          <w:sz w:val="20"/>
          <w:szCs w:val="20"/>
        </w:rPr>
        <w:t xml:space="preserve">allocation by 2025 as soon as legislation and market conditions allow is </w:t>
      </w:r>
      <w:r w:rsidR="005532E7">
        <w:rPr>
          <w:rFonts w:ascii="Open Sans" w:hAnsi="Open Sans" w:cs="Open Sans"/>
          <w:sz w:val="20"/>
          <w:szCs w:val="20"/>
        </w:rPr>
        <w:t xml:space="preserve">well considered. </w:t>
      </w:r>
      <w:r w:rsidR="00667E13">
        <w:rPr>
          <w:rFonts w:ascii="Open Sans" w:hAnsi="Open Sans" w:cs="Open Sans"/>
          <w:sz w:val="20"/>
          <w:szCs w:val="20"/>
        </w:rPr>
        <w:t xml:space="preserve">As with the </w:t>
      </w:r>
      <w:r w:rsidR="00BD09FA">
        <w:rPr>
          <w:rFonts w:ascii="Open Sans" w:hAnsi="Open Sans" w:cs="Open Sans"/>
          <w:sz w:val="20"/>
          <w:szCs w:val="20"/>
        </w:rPr>
        <w:t>responses</w:t>
      </w:r>
      <w:r w:rsidR="00825DD8">
        <w:rPr>
          <w:rFonts w:ascii="Open Sans" w:hAnsi="Open Sans" w:cs="Open Sans"/>
          <w:sz w:val="20"/>
          <w:szCs w:val="20"/>
        </w:rPr>
        <w:t xml:space="preserve"> to the </w:t>
      </w:r>
      <w:r w:rsidR="00BD09FA">
        <w:rPr>
          <w:rFonts w:ascii="Open Sans" w:hAnsi="Open Sans" w:cs="Open Sans"/>
          <w:sz w:val="20"/>
          <w:szCs w:val="20"/>
        </w:rPr>
        <w:t>consultation</w:t>
      </w:r>
      <w:r w:rsidR="00825DD8">
        <w:rPr>
          <w:rFonts w:ascii="Open Sans" w:hAnsi="Open Sans" w:cs="Open Sans"/>
          <w:sz w:val="20"/>
          <w:szCs w:val="20"/>
        </w:rPr>
        <w:t xml:space="preserve"> </w:t>
      </w:r>
      <w:r w:rsidR="00BD09FA">
        <w:rPr>
          <w:rFonts w:ascii="Open Sans" w:hAnsi="Open Sans" w:cs="Open Sans"/>
          <w:sz w:val="20"/>
          <w:szCs w:val="20"/>
        </w:rPr>
        <w:t xml:space="preserve">on the business model for low carbon Hydrogen, we broadly support the </w:t>
      </w:r>
      <w:r w:rsidR="008979A9">
        <w:rPr>
          <w:rFonts w:ascii="Open Sans" w:hAnsi="Open Sans" w:cs="Open Sans"/>
          <w:sz w:val="20"/>
          <w:szCs w:val="20"/>
        </w:rPr>
        <w:t>transition</w:t>
      </w:r>
      <w:r w:rsidR="00BD09FA">
        <w:rPr>
          <w:rFonts w:ascii="Open Sans" w:hAnsi="Open Sans" w:cs="Open Sans"/>
          <w:sz w:val="20"/>
          <w:szCs w:val="20"/>
        </w:rPr>
        <w:t xml:space="preserve"> to a more </w:t>
      </w:r>
      <w:r w:rsidR="008979A9">
        <w:rPr>
          <w:rFonts w:ascii="Open Sans" w:hAnsi="Open Sans" w:cs="Open Sans"/>
          <w:sz w:val="20"/>
          <w:szCs w:val="20"/>
        </w:rPr>
        <w:t>competitive</w:t>
      </w:r>
      <w:r w:rsidR="009F4958">
        <w:rPr>
          <w:rFonts w:ascii="Open Sans" w:hAnsi="Open Sans" w:cs="Open Sans"/>
          <w:sz w:val="20"/>
          <w:szCs w:val="20"/>
        </w:rPr>
        <w:t xml:space="preserve"> based allocation process, </w:t>
      </w:r>
      <w:r w:rsidR="00B12058">
        <w:rPr>
          <w:rFonts w:ascii="Open Sans" w:hAnsi="Open Sans" w:cs="Open Sans"/>
          <w:sz w:val="20"/>
          <w:szCs w:val="20"/>
        </w:rPr>
        <w:t xml:space="preserve">but </w:t>
      </w:r>
      <w:r w:rsidR="009F4958">
        <w:rPr>
          <w:rFonts w:ascii="Open Sans" w:hAnsi="Open Sans" w:cs="Open Sans"/>
          <w:sz w:val="20"/>
          <w:szCs w:val="20"/>
        </w:rPr>
        <w:t xml:space="preserve">the need </w:t>
      </w:r>
      <w:r w:rsidR="008979A9">
        <w:rPr>
          <w:rFonts w:ascii="Open Sans" w:hAnsi="Open Sans" w:cs="Open Sans"/>
          <w:sz w:val="20"/>
          <w:szCs w:val="20"/>
        </w:rPr>
        <w:t>to wait to</w:t>
      </w:r>
      <w:r w:rsidR="00794267">
        <w:rPr>
          <w:rFonts w:ascii="Open Sans" w:hAnsi="Open Sans" w:cs="Open Sans"/>
          <w:sz w:val="20"/>
          <w:szCs w:val="20"/>
        </w:rPr>
        <w:t xml:space="preserve"> </w:t>
      </w:r>
      <w:r w:rsidR="008979A9">
        <w:rPr>
          <w:rFonts w:ascii="Open Sans" w:hAnsi="Open Sans" w:cs="Open Sans"/>
          <w:sz w:val="20"/>
          <w:szCs w:val="20"/>
        </w:rPr>
        <w:t xml:space="preserve">a </w:t>
      </w:r>
      <w:r w:rsidR="00794267">
        <w:rPr>
          <w:rFonts w:ascii="Open Sans" w:hAnsi="Open Sans" w:cs="Open Sans"/>
          <w:sz w:val="20"/>
          <w:szCs w:val="20"/>
        </w:rPr>
        <w:t>mature hydrogen market</w:t>
      </w:r>
      <w:r w:rsidR="008979A9">
        <w:rPr>
          <w:rFonts w:ascii="Open Sans" w:hAnsi="Open Sans" w:cs="Open Sans"/>
          <w:sz w:val="20"/>
          <w:szCs w:val="20"/>
        </w:rPr>
        <w:t xml:space="preserve"> </w:t>
      </w:r>
      <w:r w:rsidR="00C657EE">
        <w:rPr>
          <w:rFonts w:ascii="Open Sans" w:hAnsi="Open Sans" w:cs="Open Sans"/>
          <w:sz w:val="20"/>
          <w:szCs w:val="20"/>
        </w:rPr>
        <w:t xml:space="preserve">is </w:t>
      </w:r>
      <w:proofErr w:type="gramStart"/>
      <w:r w:rsidR="00C657EE">
        <w:rPr>
          <w:rFonts w:ascii="Open Sans" w:hAnsi="Open Sans" w:cs="Open Sans"/>
          <w:sz w:val="20"/>
          <w:szCs w:val="20"/>
        </w:rPr>
        <w:t xml:space="preserve">still </w:t>
      </w:r>
      <w:r w:rsidR="00F56C25">
        <w:rPr>
          <w:rFonts w:ascii="Open Sans" w:hAnsi="Open Sans" w:cs="Open Sans"/>
          <w:sz w:val="20"/>
          <w:szCs w:val="20"/>
        </w:rPr>
        <w:t>remains</w:t>
      </w:r>
      <w:proofErr w:type="gramEnd"/>
      <w:r w:rsidR="00F56C25">
        <w:rPr>
          <w:rFonts w:ascii="Open Sans" w:hAnsi="Open Sans" w:cs="Open Sans"/>
          <w:sz w:val="20"/>
          <w:szCs w:val="20"/>
        </w:rPr>
        <w:t xml:space="preserve"> the case</w:t>
      </w:r>
      <w:r w:rsidR="00C657EE">
        <w:rPr>
          <w:rFonts w:ascii="Open Sans" w:hAnsi="Open Sans" w:cs="Open Sans"/>
          <w:sz w:val="20"/>
          <w:szCs w:val="20"/>
        </w:rPr>
        <w:t xml:space="preserve"> now. The caveat of needing </w:t>
      </w:r>
      <w:r w:rsidR="00794267">
        <w:rPr>
          <w:rFonts w:ascii="Open Sans" w:hAnsi="Open Sans" w:cs="Open Sans"/>
          <w:sz w:val="20"/>
          <w:szCs w:val="20"/>
        </w:rPr>
        <w:t>sufficient project</w:t>
      </w:r>
      <w:r w:rsidR="00C657EE">
        <w:rPr>
          <w:rFonts w:ascii="Open Sans" w:hAnsi="Open Sans" w:cs="Open Sans"/>
          <w:sz w:val="20"/>
          <w:szCs w:val="20"/>
        </w:rPr>
        <w:t>s a</w:t>
      </w:r>
      <w:r w:rsidR="00794267">
        <w:rPr>
          <w:rFonts w:ascii="Open Sans" w:hAnsi="Open Sans" w:cs="Open Sans"/>
          <w:sz w:val="20"/>
          <w:szCs w:val="20"/>
        </w:rPr>
        <w:t xml:space="preserve">nd </w:t>
      </w:r>
      <w:r w:rsidR="00C657EE">
        <w:rPr>
          <w:rFonts w:ascii="Open Sans" w:hAnsi="Open Sans" w:cs="Open Sans"/>
          <w:sz w:val="20"/>
          <w:szCs w:val="20"/>
        </w:rPr>
        <w:t xml:space="preserve">pipelines </w:t>
      </w:r>
      <w:r w:rsidR="008979A9">
        <w:rPr>
          <w:rFonts w:ascii="Open Sans" w:hAnsi="Open Sans" w:cs="Open Sans"/>
          <w:sz w:val="20"/>
          <w:szCs w:val="20"/>
        </w:rPr>
        <w:t xml:space="preserve">in place </w:t>
      </w:r>
      <w:r w:rsidR="00C657EE">
        <w:rPr>
          <w:rFonts w:ascii="Open Sans" w:hAnsi="Open Sans" w:cs="Open Sans"/>
          <w:sz w:val="20"/>
          <w:szCs w:val="20"/>
        </w:rPr>
        <w:t xml:space="preserve">is still </w:t>
      </w:r>
      <w:r w:rsidR="00637E8A">
        <w:rPr>
          <w:rFonts w:ascii="Open Sans" w:hAnsi="Open Sans" w:cs="Open Sans"/>
          <w:sz w:val="20"/>
          <w:szCs w:val="20"/>
        </w:rPr>
        <w:t xml:space="preserve">relevant so these conditions </w:t>
      </w:r>
      <w:r w:rsidR="00044F74">
        <w:rPr>
          <w:rFonts w:ascii="Open Sans" w:hAnsi="Open Sans" w:cs="Open Sans"/>
          <w:sz w:val="20"/>
          <w:szCs w:val="20"/>
        </w:rPr>
        <w:t xml:space="preserve">should remain a reason to </w:t>
      </w:r>
      <w:r w:rsidR="00110E2A">
        <w:rPr>
          <w:rFonts w:ascii="Open Sans" w:hAnsi="Open Sans" w:cs="Open Sans"/>
          <w:sz w:val="20"/>
          <w:szCs w:val="20"/>
        </w:rPr>
        <w:t xml:space="preserve">decide when to transition and given that HAR 1 projects will only be </w:t>
      </w:r>
      <w:r w:rsidR="00C84C83">
        <w:rPr>
          <w:rFonts w:ascii="Open Sans" w:hAnsi="Open Sans" w:cs="Open Sans"/>
          <w:sz w:val="20"/>
          <w:szCs w:val="20"/>
        </w:rPr>
        <w:t xml:space="preserve">allocated later this year that only leaves 2 years to start construction, commission and </w:t>
      </w:r>
      <w:r w:rsidR="00ED63D7">
        <w:rPr>
          <w:rFonts w:ascii="Open Sans" w:hAnsi="Open Sans" w:cs="Open Sans"/>
          <w:sz w:val="20"/>
          <w:szCs w:val="20"/>
        </w:rPr>
        <w:t xml:space="preserve">deliver </w:t>
      </w:r>
      <w:r w:rsidR="00FA23C1">
        <w:rPr>
          <w:rFonts w:ascii="Open Sans" w:hAnsi="Open Sans" w:cs="Open Sans"/>
          <w:sz w:val="20"/>
          <w:szCs w:val="20"/>
        </w:rPr>
        <w:t>on those projects. As HAR2 wil</w:t>
      </w:r>
      <w:r w:rsidR="009E3DB2">
        <w:rPr>
          <w:rFonts w:ascii="Open Sans" w:hAnsi="Open Sans" w:cs="Open Sans"/>
          <w:sz w:val="20"/>
          <w:szCs w:val="20"/>
        </w:rPr>
        <w:t xml:space="preserve">l </w:t>
      </w:r>
      <w:r w:rsidR="00FA23C1">
        <w:rPr>
          <w:rFonts w:ascii="Open Sans" w:hAnsi="Open Sans" w:cs="Open Sans"/>
          <w:sz w:val="20"/>
          <w:szCs w:val="20"/>
        </w:rPr>
        <w:t>open for applicant</w:t>
      </w:r>
      <w:r w:rsidR="009E3DB2">
        <w:rPr>
          <w:rFonts w:ascii="Open Sans" w:hAnsi="Open Sans" w:cs="Open Sans"/>
          <w:sz w:val="20"/>
          <w:szCs w:val="20"/>
        </w:rPr>
        <w:t xml:space="preserve">s in </w:t>
      </w:r>
      <w:r w:rsidR="00896C04">
        <w:rPr>
          <w:rFonts w:ascii="Open Sans" w:hAnsi="Open Sans" w:cs="Open Sans"/>
          <w:sz w:val="20"/>
          <w:szCs w:val="20"/>
        </w:rPr>
        <w:t>Q</w:t>
      </w:r>
      <w:r w:rsidR="009E3DB2">
        <w:rPr>
          <w:rFonts w:ascii="Open Sans" w:hAnsi="Open Sans" w:cs="Open Sans"/>
          <w:sz w:val="20"/>
          <w:szCs w:val="20"/>
        </w:rPr>
        <w:t xml:space="preserve">4 2023 with a similar timescale on allocation </w:t>
      </w:r>
      <w:r w:rsidR="009D6AB6">
        <w:rPr>
          <w:rFonts w:ascii="Open Sans" w:hAnsi="Open Sans" w:cs="Open Sans"/>
          <w:sz w:val="20"/>
          <w:szCs w:val="20"/>
        </w:rPr>
        <w:t>decision</w:t>
      </w:r>
      <w:r w:rsidR="00896C04">
        <w:rPr>
          <w:rFonts w:ascii="Open Sans" w:hAnsi="Open Sans" w:cs="Open Sans"/>
          <w:sz w:val="20"/>
          <w:szCs w:val="20"/>
        </w:rPr>
        <w:t>s</w:t>
      </w:r>
      <w:r w:rsidR="009D6AB6">
        <w:rPr>
          <w:rFonts w:ascii="Open Sans" w:hAnsi="Open Sans" w:cs="Open Sans"/>
          <w:sz w:val="20"/>
          <w:szCs w:val="20"/>
        </w:rPr>
        <w:t>, maybe the market constraints should be to specify the definition of</w:t>
      </w:r>
      <w:r w:rsidR="00044F74">
        <w:rPr>
          <w:rFonts w:ascii="Open Sans" w:hAnsi="Open Sans" w:cs="Open Sans"/>
          <w:sz w:val="20"/>
          <w:szCs w:val="20"/>
        </w:rPr>
        <w:t>`</w:t>
      </w:r>
      <w:r w:rsidR="009D6AB6">
        <w:rPr>
          <w:rFonts w:ascii="Open Sans" w:hAnsi="Open Sans" w:cs="Open Sans"/>
          <w:sz w:val="20"/>
          <w:szCs w:val="20"/>
        </w:rPr>
        <w:t xml:space="preserve"> </w:t>
      </w:r>
      <w:r w:rsidR="00212017">
        <w:rPr>
          <w:rFonts w:ascii="Open Sans" w:hAnsi="Open Sans" w:cs="Open Sans"/>
          <w:sz w:val="20"/>
          <w:szCs w:val="20"/>
        </w:rPr>
        <w:t>in place</w:t>
      </w:r>
      <w:r w:rsidR="00044F74">
        <w:rPr>
          <w:rFonts w:ascii="Open Sans" w:hAnsi="Open Sans" w:cs="Open Sans"/>
          <w:sz w:val="20"/>
          <w:szCs w:val="20"/>
        </w:rPr>
        <w:t>`</w:t>
      </w:r>
      <w:r w:rsidR="009D6AB6">
        <w:rPr>
          <w:rFonts w:ascii="Open Sans" w:hAnsi="Open Sans" w:cs="Open Sans"/>
          <w:sz w:val="20"/>
          <w:szCs w:val="20"/>
        </w:rPr>
        <w:t xml:space="preserve"> </w:t>
      </w:r>
      <w:r w:rsidR="00896C04">
        <w:rPr>
          <w:rFonts w:ascii="Open Sans" w:hAnsi="Open Sans" w:cs="Open Sans"/>
          <w:sz w:val="20"/>
          <w:szCs w:val="20"/>
        </w:rPr>
        <w:t xml:space="preserve">as </w:t>
      </w:r>
      <w:r w:rsidR="00044F74">
        <w:rPr>
          <w:rFonts w:ascii="Open Sans" w:hAnsi="Open Sans" w:cs="Open Sans"/>
          <w:sz w:val="20"/>
          <w:szCs w:val="20"/>
        </w:rPr>
        <w:t>`</w:t>
      </w:r>
      <w:r w:rsidR="00212017">
        <w:rPr>
          <w:rFonts w:ascii="Open Sans" w:hAnsi="Open Sans" w:cs="Open Sans"/>
          <w:sz w:val="20"/>
          <w:szCs w:val="20"/>
        </w:rPr>
        <w:t>in operation</w:t>
      </w:r>
      <w:r w:rsidR="00044F74">
        <w:rPr>
          <w:rFonts w:ascii="Open Sans" w:hAnsi="Open Sans" w:cs="Open Sans"/>
          <w:sz w:val="20"/>
          <w:szCs w:val="20"/>
        </w:rPr>
        <w:t>`</w:t>
      </w:r>
      <w:r w:rsidR="00212017">
        <w:rPr>
          <w:rFonts w:ascii="Open Sans" w:hAnsi="Open Sans" w:cs="Open Sans"/>
          <w:sz w:val="20"/>
          <w:szCs w:val="20"/>
        </w:rPr>
        <w:t xml:space="preserve">. </w:t>
      </w:r>
      <w:r w:rsidR="009D6AB6">
        <w:rPr>
          <w:rFonts w:ascii="Open Sans" w:hAnsi="Open Sans" w:cs="Open Sans"/>
          <w:sz w:val="20"/>
          <w:szCs w:val="20"/>
        </w:rPr>
        <w:t xml:space="preserve"> </w:t>
      </w:r>
    </w:p>
    <w:p w14:paraId="015E2213" w14:textId="77777777" w:rsidR="00DE228D" w:rsidRPr="00517675" w:rsidRDefault="005318E9" w:rsidP="00DE228D">
      <w:pPr>
        <w:rPr>
          <w:rFonts w:ascii="Open Sans" w:hAnsi="Open Sans" w:cs="Open Sans"/>
          <w:b/>
          <w:bCs/>
        </w:rPr>
      </w:pPr>
      <w:r w:rsidRPr="00517675">
        <w:rPr>
          <w:rFonts w:ascii="Open Sans" w:hAnsi="Open Sans" w:cs="Open Sans"/>
          <w:b/>
          <w:bCs/>
          <w:sz w:val="20"/>
          <w:szCs w:val="20"/>
        </w:rPr>
        <w:t xml:space="preserve">13. When considering market conditions and the primary objectives/broader outcomes as set out in Chapter 2, what would be the impacts and likely outcomes of introducing a price-based competition in 2025? </w:t>
      </w:r>
    </w:p>
    <w:p w14:paraId="60BBE721" w14:textId="6942F95B" w:rsidR="005318E9" w:rsidRPr="006A30C7" w:rsidRDefault="00FB518C" w:rsidP="002714A0">
      <w:pPr>
        <w:rPr>
          <w:rFonts w:ascii="Open Sans" w:hAnsi="Open Sans" w:cs="Open Sans"/>
          <w:sz w:val="20"/>
          <w:szCs w:val="20"/>
        </w:rPr>
      </w:pPr>
      <w:r w:rsidRPr="006A30C7">
        <w:rPr>
          <w:rFonts w:ascii="Open Sans" w:hAnsi="Open Sans" w:cs="Open Sans"/>
          <w:sz w:val="20"/>
          <w:szCs w:val="20"/>
        </w:rPr>
        <w:t xml:space="preserve">When considering market conditions </w:t>
      </w:r>
      <w:r w:rsidR="00F656D3" w:rsidRPr="006A30C7">
        <w:rPr>
          <w:rFonts w:ascii="Open Sans" w:hAnsi="Open Sans" w:cs="Open Sans"/>
          <w:sz w:val="20"/>
          <w:szCs w:val="20"/>
        </w:rPr>
        <w:t xml:space="preserve">along with objectives/outcomes, </w:t>
      </w:r>
      <w:r w:rsidR="003D46C9" w:rsidRPr="006A30C7">
        <w:rPr>
          <w:rFonts w:ascii="Open Sans" w:hAnsi="Open Sans" w:cs="Open Sans"/>
          <w:sz w:val="20"/>
          <w:szCs w:val="20"/>
        </w:rPr>
        <w:t xml:space="preserve">operationally </w:t>
      </w:r>
      <w:r w:rsidR="00252CB6">
        <w:rPr>
          <w:rFonts w:ascii="Open Sans" w:hAnsi="Open Sans" w:cs="Open Sans"/>
          <w:sz w:val="20"/>
          <w:szCs w:val="20"/>
        </w:rPr>
        <w:t>hydrogen production would be in its infancy by 2025</w:t>
      </w:r>
      <w:r w:rsidR="007E5CD3" w:rsidRPr="006A30C7">
        <w:rPr>
          <w:rFonts w:ascii="Open Sans" w:hAnsi="Open Sans" w:cs="Open Sans"/>
          <w:sz w:val="20"/>
          <w:szCs w:val="20"/>
        </w:rPr>
        <w:t xml:space="preserve">. It will be difficult to </w:t>
      </w:r>
      <w:r w:rsidR="00C304AB" w:rsidRPr="006A30C7">
        <w:rPr>
          <w:rFonts w:ascii="Open Sans" w:hAnsi="Open Sans" w:cs="Open Sans"/>
          <w:sz w:val="20"/>
          <w:szCs w:val="20"/>
        </w:rPr>
        <w:t xml:space="preserve">have confirmed any major </w:t>
      </w:r>
      <w:r w:rsidR="007E5CD3" w:rsidRPr="006A30C7">
        <w:rPr>
          <w:rFonts w:ascii="Open Sans" w:hAnsi="Open Sans" w:cs="Open Sans"/>
          <w:sz w:val="20"/>
          <w:szCs w:val="20"/>
        </w:rPr>
        <w:t>supply chain</w:t>
      </w:r>
      <w:r w:rsidR="00C304AB" w:rsidRPr="006A30C7">
        <w:rPr>
          <w:rFonts w:ascii="Open Sans" w:hAnsi="Open Sans" w:cs="Open Sans"/>
          <w:sz w:val="20"/>
          <w:szCs w:val="20"/>
        </w:rPr>
        <w:t xml:space="preserve"> development </w:t>
      </w:r>
      <w:r w:rsidR="002D2D42">
        <w:rPr>
          <w:rFonts w:ascii="Open Sans" w:hAnsi="Open Sans" w:cs="Open Sans"/>
          <w:sz w:val="20"/>
          <w:szCs w:val="20"/>
        </w:rPr>
        <w:t xml:space="preserve">by this time </w:t>
      </w:r>
      <w:r w:rsidR="00C304AB" w:rsidRPr="006A30C7">
        <w:rPr>
          <w:rFonts w:ascii="Open Sans" w:hAnsi="Open Sans" w:cs="Open Sans"/>
          <w:sz w:val="20"/>
          <w:szCs w:val="20"/>
        </w:rPr>
        <w:t xml:space="preserve">and </w:t>
      </w:r>
      <w:r w:rsidR="00BB4662" w:rsidRPr="006A30C7">
        <w:rPr>
          <w:rFonts w:ascii="Open Sans" w:hAnsi="Open Sans" w:cs="Open Sans"/>
          <w:sz w:val="20"/>
          <w:szCs w:val="20"/>
        </w:rPr>
        <w:t>unless</w:t>
      </w:r>
      <w:r w:rsidR="00C304AB" w:rsidRPr="006A30C7">
        <w:rPr>
          <w:rFonts w:ascii="Open Sans" w:hAnsi="Open Sans" w:cs="Open Sans"/>
          <w:sz w:val="20"/>
          <w:szCs w:val="20"/>
        </w:rPr>
        <w:t xml:space="preserve"> the </w:t>
      </w:r>
      <w:r w:rsidR="00BB4662" w:rsidRPr="006A30C7">
        <w:rPr>
          <w:rFonts w:ascii="Open Sans" w:hAnsi="Open Sans" w:cs="Open Sans"/>
          <w:sz w:val="20"/>
          <w:szCs w:val="20"/>
        </w:rPr>
        <w:t>projects</w:t>
      </w:r>
      <w:r w:rsidR="00C304AB" w:rsidRPr="006A30C7">
        <w:rPr>
          <w:rFonts w:ascii="Open Sans" w:hAnsi="Open Sans" w:cs="Open Sans"/>
          <w:sz w:val="20"/>
          <w:szCs w:val="20"/>
        </w:rPr>
        <w:t xml:space="preserve"> have already been agreed </w:t>
      </w:r>
      <w:r w:rsidR="00CF533B">
        <w:rPr>
          <w:rFonts w:ascii="Open Sans" w:hAnsi="Open Sans" w:cs="Open Sans"/>
          <w:sz w:val="20"/>
          <w:szCs w:val="20"/>
        </w:rPr>
        <w:t xml:space="preserve">where there will be </w:t>
      </w:r>
      <w:r w:rsidR="0018215D">
        <w:rPr>
          <w:rFonts w:ascii="Open Sans" w:hAnsi="Open Sans" w:cs="Open Sans"/>
          <w:sz w:val="20"/>
          <w:szCs w:val="20"/>
        </w:rPr>
        <w:t xml:space="preserve">a </w:t>
      </w:r>
      <w:r w:rsidR="007F75B0" w:rsidRPr="006A30C7">
        <w:rPr>
          <w:rFonts w:ascii="Open Sans" w:hAnsi="Open Sans" w:cs="Open Sans"/>
          <w:sz w:val="20"/>
          <w:szCs w:val="20"/>
        </w:rPr>
        <w:t>benefit</w:t>
      </w:r>
      <w:r w:rsidR="00BB4662" w:rsidRPr="006A30C7">
        <w:rPr>
          <w:rFonts w:ascii="Open Sans" w:hAnsi="Open Sans" w:cs="Open Sans"/>
          <w:sz w:val="20"/>
          <w:szCs w:val="20"/>
        </w:rPr>
        <w:t xml:space="preserve"> </w:t>
      </w:r>
      <w:r w:rsidR="00CF533B">
        <w:rPr>
          <w:rFonts w:ascii="Open Sans" w:hAnsi="Open Sans" w:cs="Open Sans"/>
          <w:sz w:val="20"/>
          <w:szCs w:val="20"/>
        </w:rPr>
        <w:t xml:space="preserve">to </w:t>
      </w:r>
      <w:r w:rsidR="007F75B0" w:rsidRPr="006A30C7">
        <w:rPr>
          <w:rFonts w:ascii="Open Sans" w:hAnsi="Open Sans" w:cs="Open Sans"/>
          <w:sz w:val="20"/>
          <w:szCs w:val="20"/>
        </w:rPr>
        <w:t>harnessing the electrical systems</w:t>
      </w:r>
      <w:r w:rsidR="00CF533B">
        <w:rPr>
          <w:rFonts w:ascii="Open Sans" w:hAnsi="Open Sans" w:cs="Open Sans"/>
          <w:sz w:val="20"/>
          <w:szCs w:val="20"/>
        </w:rPr>
        <w:t xml:space="preserve"> a defined in the document</w:t>
      </w:r>
      <w:r w:rsidR="007F75B0" w:rsidRPr="006A30C7">
        <w:rPr>
          <w:rFonts w:ascii="Open Sans" w:hAnsi="Open Sans" w:cs="Open Sans"/>
          <w:sz w:val="20"/>
          <w:szCs w:val="20"/>
        </w:rPr>
        <w:t xml:space="preserve">, this won’t </w:t>
      </w:r>
      <w:r w:rsidR="002D2D42">
        <w:rPr>
          <w:rFonts w:ascii="Open Sans" w:hAnsi="Open Sans" w:cs="Open Sans"/>
          <w:sz w:val="20"/>
          <w:szCs w:val="20"/>
        </w:rPr>
        <w:t xml:space="preserve">likely </w:t>
      </w:r>
      <w:r w:rsidR="007F75B0" w:rsidRPr="006A30C7">
        <w:rPr>
          <w:rFonts w:ascii="Open Sans" w:hAnsi="Open Sans" w:cs="Open Sans"/>
          <w:sz w:val="20"/>
          <w:szCs w:val="20"/>
        </w:rPr>
        <w:t xml:space="preserve">have been </w:t>
      </w:r>
      <w:r w:rsidR="00876F76" w:rsidRPr="006A30C7">
        <w:rPr>
          <w:rFonts w:ascii="Open Sans" w:hAnsi="Open Sans" w:cs="Open Sans"/>
          <w:sz w:val="20"/>
          <w:szCs w:val="20"/>
        </w:rPr>
        <w:t>implemented</w:t>
      </w:r>
      <w:r w:rsidR="002D2D42">
        <w:rPr>
          <w:rFonts w:ascii="Open Sans" w:hAnsi="Open Sans" w:cs="Open Sans"/>
          <w:sz w:val="20"/>
          <w:szCs w:val="20"/>
        </w:rPr>
        <w:t xml:space="preserve">. </w:t>
      </w:r>
      <w:r w:rsidR="00AD0AA8">
        <w:rPr>
          <w:rFonts w:ascii="Open Sans" w:hAnsi="Open Sans" w:cs="Open Sans"/>
          <w:sz w:val="20"/>
          <w:szCs w:val="20"/>
        </w:rPr>
        <w:t>T</w:t>
      </w:r>
      <w:r w:rsidR="00876F76" w:rsidRPr="006A30C7">
        <w:rPr>
          <w:rFonts w:ascii="Open Sans" w:hAnsi="Open Sans" w:cs="Open Sans"/>
          <w:sz w:val="20"/>
          <w:szCs w:val="20"/>
        </w:rPr>
        <w:t xml:space="preserve">here </w:t>
      </w:r>
      <w:r w:rsidR="00A71882">
        <w:rPr>
          <w:rFonts w:ascii="Open Sans" w:hAnsi="Open Sans" w:cs="Open Sans"/>
          <w:sz w:val="20"/>
          <w:szCs w:val="20"/>
        </w:rPr>
        <w:t xml:space="preserve">might be </w:t>
      </w:r>
      <w:r w:rsidR="00876F76" w:rsidRPr="006A30C7">
        <w:rPr>
          <w:rFonts w:ascii="Open Sans" w:hAnsi="Open Sans" w:cs="Open Sans"/>
          <w:sz w:val="20"/>
          <w:szCs w:val="20"/>
        </w:rPr>
        <w:t xml:space="preserve">small clusters or linked </w:t>
      </w:r>
      <w:r w:rsidR="00CC2E46" w:rsidRPr="006A30C7">
        <w:rPr>
          <w:rFonts w:ascii="Open Sans" w:hAnsi="Open Sans" w:cs="Open Sans"/>
          <w:sz w:val="20"/>
          <w:szCs w:val="20"/>
        </w:rPr>
        <w:t>producers and off</w:t>
      </w:r>
      <w:r w:rsidR="006A30C7">
        <w:rPr>
          <w:rFonts w:ascii="Open Sans" w:hAnsi="Open Sans" w:cs="Open Sans"/>
          <w:sz w:val="20"/>
          <w:szCs w:val="20"/>
        </w:rPr>
        <w:t>-</w:t>
      </w:r>
      <w:r w:rsidR="00CC2E46" w:rsidRPr="006A30C7">
        <w:rPr>
          <w:rFonts w:ascii="Open Sans" w:hAnsi="Open Sans" w:cs="Open Sans"/>
          <w:sz w:val="20"/>
          <w:szCs w:val="20"/>
        </w:rPr>
        <w:t xml:space="preserve">takers for specific </w:t>
      </w:r>
      <w:r w:rsidR="00A02679" w:rsidRPr="006A30C7">
        <w:rPr>
          <w:rFonts w:ascii="Open Sans" w:hAnsi="Open Sans" w:cs="Open Sans"/>
          <w:sz w:val="20"/>
          <w:szCs w:val="20"/>
        </w:rPr>
        <w:t xml:space="preserve">projects but </w:t>
      </w:r>
      <w:r w:rsidR="00AD0AA8">
        <w:rPr>
          <w:rFonts w:ascii="Open Sans" w:hAnsi="Open Sans" w:cs="Open Sans"/>
          <w:sz w:val="20"/>
          <w:szCs w:val="20"/>
        </w:rPr>
        <w:t xml:space="preserve">it’s </w:t>
      </w:r>
      <w:r w:rsidR="00A02679" w:rsidRPr="006A30C7">
        <w:rPr>
          <w:rFonts w:ascii="Open Sans" w:hAnsi="Open Sans" w:cs="Open Sans"/>
          <w:sz w:val="20"/>
          <w:szCs w:val="20"/>
        </w:rPr>
        <w:t xml:space="preserve">unlikely to have pushed the system to have accelerated outside of these </w:t>
      </w:r>
      <w:r w:rsidR="00EC2F0F" w:rsidRPr="006A30C7">
        <w:rPr>
          <w:rFonts w:ascii="Open Sans" w:hAnsi="Open Sans" w:cs="Open Sans"/>
          <w:sz w:val="20"/>
          <w:szCs w:val="20"/>
        </w:rPr>
        <w:t>schemes</w:t>
      </w:r>
      <w:r w:rsidR="00A02679" w:rsidRPr="006A30C7">
        <w:rPr>
          <w:rFonts w:ascii="Open Sans" w:hAnsi="Open Sans" w:cs="Open Sans"/>
          <w:sz w:val="20"/>
          <w:szCs w:val="20"/>
        </w:rPr>
        <w:t xml:space="preserve"> </w:t>
      </w:r>
      <w:r w:rsidR="00EC2F0F" w:rsidRPr="006A30C7">
        <w:rPr>
          <w:rFonts w:ascii="Open Sans" w:hAnsi="Open Sans" w:cs="Open Sans"/>
          <w:sz w:val="20"/>
          <w:szCs w:val="20"/>
        </w:rPr>
        <w:t xml:space="preserve">such as with the expected private investment routes, </w:t>
      </w:r>
      <w:r w:rsidR="002A1BFC">
        <w:rPr>
          <w:rFonts w:ascii="Open Sans" w:hAnsi="Open Sans" w:cs="Open Sans"/>
          <w:sz w:val="20"/>
          <w:szCs w:val="20"/>
        </w:rPr>
        <w:t xml:space="preserve">especially not </w:t>
      </w:r>
      <w:r w:rsidR="00A02679" w:rsidRPr="006A30C7">
        <w:rPr>
          <w:rFonts w:ascii="Open Sans" w:hAnsi="Open Sans" w:cs="Open Sans"/>
          <w:sz w:val="20"/>
          <w:szCs w:val="20"/>
        </w:rPr>
        <w:t xml:space="preserve">enough </w:t>
      </w:r>
      <w:r w:rsidR="00EC2F0F" w:rsidRPr="006A30C7">
        <w:rPr>
          <w:rFonts w:ascii="Open Sans" w:hAnsi="Open Sans" w:cs="Open Sans"/>
          <w:sz w:val="20"/>
          <w:szCs w:val="20"/>
        </w:rPr>
        <w:t>t</w:t>
      </w:r>
      <w:r w:rsidR="00A02679" w:rsidRPr="006A30C7">
        <w:rPr>
          <w:rFonts w:ascii="Open Sans" w:hAnsi="Open Sans" w:cs="Open Sans"/>
          <w:sz w:val="20"/>
          <w:szCs w:val="20"/>
        </w:rPr>
        <w:t xml:space="preserve">o have </w:t>
      </w:r>
      <w:r w:rsidR="0066336B" w:rsidRPr="006A30C7">
        <w:rPr>
          <w:rFonts w:ascii="Open Sans" w:hAnsi="Open Sans" w:cs="Open Sans"/>
          <w:sz w:val="20"/>
          <w:szCs w:val="20"/>
        </w:rPr>
        <w:t xml:space="preserve">bult enough stability in the system by 2025. </w:t>
      </w:r>
      <w:r w:rsidR="00FE1E75" w:rsidRPr="006A30C7">
        <w:rPr>
          <w:rFonts w:ascii="Open Sans" w:hAnsi="Open Sans" w:cs="Open Sans"/>
          <w:sz w:val="20"/>
          <w:szCs w:val="20"/>
        </w:rPr>
        <w:t xml:space="preserve">The drive and </w:t>
      </w:r>
      <w:r w:rsidR="00B47B7E" w:rsidRPr="006A30C7">
        <w:rPr>
          <w:rFonts w:ascii="Open Sans" w:hAnsi="Open Sans" w:cs="Open Sans"/>
          <w:sz w:val="20"/>
          <w:szCs w:val="20"/>
        </w:rPr>
        <w:t>interest</w:t>
      </w:r>
      <w:r w:rsidR="00FE1E75" w:rsidRPr="006A30C7">
        <w:rPr>
          <w:rFonts w:ascii="Open Sans" w:hAnsi="Open Sans" w:cs="Open Sans"/>
          <w:sz w:val="20"/>
          <w:szCs w:val="20"/>
        </w:rPr>
        <w:t xml:space="preserve"> from industry in </w:t>
      </w:r>
      <w:r w:rsidR="00B47B7E" w:rsidRPr="006A30C7">
        <w:rPr>
          <w:rFonts w:ascii="Open Sans" w:hAnsi="Open Sans" w:cs="Open Sans"/>
          <w:sz w:val="20"/>
          <w:szCs w:val="20"/>
        </w:rPr>
        <w:t xml:space="preserve">Hydrogen is not in question but at present we have a dropped hydrogen levy </w:t>
      </w:r>
      <w:r w:rsidR="006A3331" w:rsidRPr="006A30C7">
        <w:rPr>
          <w:rFonts w:ascii="Open Sans" w:hAnsi="Open Sans" w:cs="Open Sans"/>
          <w:sz w:val="20"/>
          <w:szCs w:val="20"/>
        </w:rPr>
        <w:t>and no alternative in place, no decision on hydrogen blending and these uncertainties will further drive un</w:t>
      </w:r>
      <w:r w:rsidR="00FE1E75" w:rsidRPr="006A30C7">
        <w:rPr>
          <w:rFonts w:ascii="Open Sans" w:hAnsi="Open Sans" w:cs="Open Sans"/>
          <w:sz w:val="20"/>
          <w:szCs w:val="20"/>
        </w:rPr>
        <w:t>certainly</w:t>
      </w:r>
      <w:r w:rsidR="0066336B" w:rsidRPr="006A30C7">
        <w:rPr>
          <w:rFonts w:ascii="Open Sans" w:hAnsi="Open Sans" w:cs="Open Sans"/>
          <w:sz w:val="20"/>
          <w:szCs w:val="20"/>
        </w:rPr>
        <w:t xml:space="preserve"> </w:t>
      </w:r>
      <w:r w:rsidR="006A3331" w:rsidRPr="006A30C7">
        <w:rPr>
          <w:rFonts w:ascii="Open Sans" w:hAnsi="Open Sans" w:cs="Open Sans"/>
          <w:sz w:val="20"/>
          <w:szCs w:val="20"/>
        </w:rPr>
        <w:t>and caution</w:t>
      </w:r>
      <w:r w:rsidR="00EA0EBE" w:rsidRPr="006A30C7">
        <w:rPr>
          <w:rFonts w:ascii="Open Sans" w:hAnsi="Open Sans" w:cs="Open Sans"/>
          <w:sz w:val="20"/>
          <w:szCs w:val="20"/>
        </w:rPr>
        <w:t xml:space="preserve"> in the market. It might be more realistic to consider a review of the </w:t>
      </w:r>
      <w:r w:rsidR="006A30C7" w:rsidRPr="006A30C7">
        <w:rPr>
          <w:rFonts w:ascii="Open Sans" w:hAnsi="Open Sans" w:cs="Open Sans"/>
          <w:sz w:val="20"/>
          <w:szCs w:val="20"/>
        </w:rPr>
        <w:t>introduction in 2025 rathe</w:t>
      </w:r>
      <w:r w:rsidR="006A30C7">
        <w:rPr>
          <w:rFonts w:ascii="Open Sans" w:hAnsi="Open Sans" w:cs="Open Sans"/>
          <w:sz w:val="20"/>
          <w:szCs w:val="20"/>
        </w:rPr>
        <w:t xml:space="preserve">r </w:t>
      </w:r>
      <w:r w:rsidR="006A30C7" w:rsidRPr="006A30C7">
        <w:rPr>
          <w:rFonts w:ascii="Open Sans" w:hAnsi="Open Sans" w:cs="Open Sans"/>
          <w:sz w:val="20"/>
          <w:szCs w:val="20"/>
        </w:rPr>
        <w:t xml:space="preserve">than to set this as a date to implement. </w:t>
      </w:r>
      <w:r w:rsidR="00FE1E75" w:rsidRPr="006A30C7">
        <w:rPr>
          <w:rFonts w:ascii="Open Sans" w:hAnsi="Open Sans" w:cs="Open Sans"/>
          <w:sz w:val="20"/>
          <w:szCs w:val="20"/>
        </w:rPr>
        <w:t xml:space="preserve"> </w:t>
      </w:r>
    </w:p>
    <w:p w14:paraId="1C0C46DA" w14:textId="77777777" w:rsidR="005318E9" w:rsidRPr="00517675" w:rsidRDefault="005318E9" w:rsidP="002714A0">
      <w:pPr>
        <w:rPr>
          <w:rFonts w:ascii="Open Sans" w:hAnsi="Open Sans" w:cs="Open Sans"/>
          <w:b/>
          <w:bCs/>
          <w:sz w:val="20"/>
          <w:szCs w:val="20"/>
        </w:rPr>
      </w:pPr>
      <w:r w:rsidRPr="00517675">
        <w:rPr>
          <w:rFonts w:ascii="Open Sans" w:hAnsi="Open Sans" w:cs="Open Sans"/>
          <w:b/>
          <w:bCs/>
          <w:sz w:val="20"/>
          <w:szCs w:val="20"/>
        </w:rPr>
        <w:t>14. If market conditions are not in place by 2025 for price-based competitive allocation, how should further allocation rounds beyond HAR2 be designed? Please use evidence to support your answers.</w:t>
      </w:r>
    </w:p>
    <w:p w14:paraId="33FE9F69" w14:textId="54569FBD" w:rsidR="00641486" w:rsidRDefault="009D35A6" w:rsidP="00641486">
      <w:pPr>
        <w:rPr>
          <w:rFonts w:ascii="Open Sans" w:hAnsi="Open Sans" w:cs="Open Sans"/>
          <w:sz w:val="20"/>
          <w:szCs w:val="20"/>
        </w:rPr>
      </w:pPr>
      <w:r>
        <w:rPr>
          <w:rFonts w:ascii="Open Sans" w:hAnsi="Open Sans" w:cs="Open Sans"/>
          <w:sz w:val="20"/>
          <w:szCs w:val="20"/>
        </w:rPr>
        <w:t xml:space="preserve">The </w:t>
      </w:r>
      <w:r w:rsidR="007A3D3C">
        <w:rPr>
          <w:rFonts w:ascii="Open Sans" w:hAnsi="Open Sans" w:cs="Open Sans"/>
          <w:sz w:val="20"/>
          <w:szCs w:val="20"/>
        </w:rPr>
        <w:t>allocation</w:t>
      </w:r>
      <w:r>
        <w:rPr>
          <w:rFonts w:ascii="Open Sans" w:hAnsi="Open Sans" w:cs="Open Sans"/>
          <w:sz w:val="20"/>
          <w:szCs w:val="20"/>
        </w:rPr>
        <w:t xml:space="preserve"> of projects to fulfil the </w:t>
      </w:r>
      <w:r w:rsidR="007A3D3C">
        <w:rPr>
          <w:rFonts w:ascii="Open Sans" w:hAnsi="Open Sans" w:cs="Open Sans"/>
          <w:sz w:val="20"/>
          <w:szCs w:val="20"/>
        </w:rPr>
        <w:t xml:space="preserve">objective of harnessing the power electricity system </w:t>
      </w:r>
      <w:r w:rsidR="00E81B06">
        <w:rPr>
          <w:rFonts w:ascii="Open Sans" w:hAnsi="Open Sans" w:cs="Open Sans"/>
          <w:sz w:val="20"/>
          <w:szCs w:val="20"/>
        </w:rPr>
        <w:t>to avoid curtailment</w:t>
      </w:r>
      <w:r w:rsidR="006E6BE9">
        <w:rPr>
          <w:rFonts w:ascii="Open Sans" w:hAnsi="Open Sans" w:cs="Open Sans"/>
          <w:sz w:val="20"/>
          <w:szCs w:val="20"/>
        </w:rPr>
        <w:t xml:space="preserve">, flexibility and remove </w:t>
      </w:r>
      <w:r w:rsidR="000A4300">
        <w:rPr>
          <w:rFonts w:ascii="Open Sans" w:hAnsi="Open Sans" w:cs="Open Sans"/>
          <w:sz w:val="20"/>
          <w:szCs w:val="20"/>
        </w:rPr>
        <w:t>constraints</w:t>
      </w:r>
      <w:r w:rsidR="006E6BE9">
        <w:rPr>
          <w:rFonts w:ascii="Open Sans" w:hAnsi="Open Sans" w:cs="Open Sans"/>
          <w:sz w:val="20"/>
          <w:szCs w:val="20"/>
        </w:rPr>
        <w:t xml:space="preserve"> may be useful to include in further rounds</w:t>
      </w:r>
      <w:r w:rsidR="00A71882">
        <w:rPr>
          <w:rFonts w:ascii="Open Sans" w:hAnsi="Open Sans" w:cs="Open Sans"/>
          <w:sz w:val="20"/>
          <w:szCs w:val="20"/>
        </w:rPr>
        <w:t>,</w:t>
      </w:r>
      <w:r w:rsidR="006E6BE9">
        <w:rPr>
          <w:rFonts w:ascii="Open Sans" w:hAnsi="Open Sans" w:cs="Open Sans"/>
          <w:sz w:val="20"/>
          <w:szCs w:val="20"/>
        </w:rPr>
        <w:t xml:space="preserve"> along with the alternative </w:t>
      </w:r>
      <w:r w:rsidR="000A4300">
        <w:rPr>
          <w:rFonts w:ascii="Open Sans" w:hAnsi="Open Sans" w:cs="Open Sans"/>
          <w:sz w:val="20"/>
          <w:szCs w:val="20"/>
        </w:rPr>
        <w:t>hydrogen</w:t>
      </w:r>
      <w:r w:rsidR="006E6BE9">
        <w:rPr>
          <w:rFonts w:ascii="Open Sans" w:hAnsi="Open Sans" w:cs="Open Sans"/>
          <w:sz w:val="20"/>
          <w:szCs w:val="20"/>
        </w:rPr>
        <w:t xml:space="preserve"> technologies</w:t>
      </w:r>
      <w:r w:rsidR="00A71882">
        <w:rPr>
          <w:rFonts w:ascii="Open Sans" w:hAnsi="Open Sans" w:cs="Open Sans"/>
          <w:sz w:val="20"/>
          <w:szCs w:val="20"/>
        </w:rPr>
        <w:t xml:space="preserve"> such as a</w:t>
      </w:r>
      <w:r w:rsidR="00A71882" w:rsidRPr="00950618">
        <w:rPr>
          <w:rFonts w:ascii="Open Sans" w:hAnsi="Open Sans" w:cs="Open Sans"/>
          <w:sz w:val="20"/>
          <w:szCs w:val="20"/>
        </w:rPr>
        <w:t>dvanced conversion technologies</w:t>
      </w:r>
      <w:r w:rsidR="006E6BE9">
        <w:rPr>
          <w:rFonts w:ascii="Open Sans" w:hAnsi="Open Sans" w:cs="Open Sans"/>
          <w:sz w:val="20"/>
          <w:szCs w:val="20"/>
        </w:rPr>
        <w:t xml:space="preserve"> to ensure a </w:t>
      </w:r>
      <w:r w:rsidR="000A4300">
        <w:rPr>
          <w:rFonts w:ascii="Open Sans" w:hAnsi="Open Sans" w:cs="Open Sans"/>
          <w:sz w:val="20"/>
          <w:szCs w:val="20"/>
        </w:rPr>
        <w:t>robust</w:t>
      </w:r>
      <w:r w:rsidR="006E6BE9">
        <w:rPr>
          <w:rFonts w:ascii="Open Sans" w:hAnsi="Open Sans" w:cs="Open Sans"/>
          <w:sz w:val="20"/>
          <w:szCs w:val="20"/>
        </w:rPr>
        <w:t xml:space="preserve"> and diverse </w:t>
      </w:r>
      <w:r w:rsidR="000A4300">
        <w:rPr>
          <w:rFonts w:ascii="Open Sans" w:hAnsi="Open Sans" w:cs="Open Sans"/>
          <w:sz w:val="20"/>
          <w:szCs w:val="20"/>
        </w:rPr>
        <w:t>hydrogen market. Only once these are in place</w:t>
      </w:r>
      <w:r w:rsidR="00A71882">
        <w:rPr>
          <w:rFonts w:ascii="Open Sans" w:hAnsi="Open Sans" w:cs="Open Sans"/>
          <w:sz w:val="20"/>
          <w:szCs w:val="20"/>
        </w:rPr>
        <w:t>,</w:t>
      </w:r>
      <w:r w:rsidR="000A4300">
        <w:rPr>
          <w:rFonts w:ascii="Open Sans" w:hAnsi="Open Sans" w:cs="Open Sans"/>
          <w:sz w:val="20"/>
          <w:szCs w:val="20"/>
        </w:rPr>
        <w:t xml:space="preserve"> within a similar structured system</w:t>
      </w:r>
      <w:r w:rsidR="00A71882">
        <w:rPr>
          <w:rFonts w:ascii="Open Sans" w:hAnsi="Open Sans" w:cs="Open Sans"/>
          <w:sz w:val="20"/>
          <w:szCs w:val="20"/>
        </w:rPr>
        <w:t>,</w:t>
      </w:r>
      <w:r w:rsidR="000A4300">
        <w:rPr>
          <w:rFonts w:ascii="Open Sans" w:hAnsi="Open Sans" w:cs="Open Sans"/>
          <w:sz w:val="20"/>
          <w:szCs w:val="20"/>
        </w:rPr>
        <w:t xml:space="preserve"> could </w:t>
      </w:r>
      <w:r w:rsidR="00FE21B9">
        <w:rPr>
          <w:rFonts w:ascii="Open Sans" w:hAnsi="Open Sans" w:cs="Open Sans"/>
          <w:sz w:val="20"/>
          <w:szCs w:val="20"/>
        </w:rPr>
        <w:t xml:space="preserve">there be considered enough </w:t>
      </w:r>
      <w:r w:rsidR="00ED6719">
        <w:rPr>
          <w:rFonts w:ascii="Open Sans" w:hAnsi="Open Sans" w:cs="Open Sans"/>
          <w:sz w:val="20"/>
          <w:szCs w:val="20"/>
        </w:rPr>
        <w:t xml:space="preserve">balance to assess the </w:t>
      </w:r>
      <w:r w:rsidR="004939FF">
        <w:rPr>
          <w:rFonts w:ascii="Open Sans" w:hAnsi="Open Sans" w:cs="Open Sans"/>
          <w:sz w:val="20"/>
          <w:szCs w:val="20"/>
        </w:rPr>
        <w:t>hydrogen</w:t>
      </w:r>
      <w:r w:rsidR="00ED6719">
        <w:rPr>
          <w:rFonts w:ascii="Open Sans" w:hAnsi="Open Sans" w:cs="Open Sans"/>
          <w:sz w:val="20"/>
          <w:szCs w:val="20"/>
        </w:rPr>
        <w:t xml:space="preserve"> market as a whole and determine how a future price based competitive market can work. </w:t>
      </w:r>
    </w:p>
    <w:p w14:paraId="7ECD44AE" w14:textId="77777777" w:rsidR="007D189C" w:rsidRDefault="007D189C" w:rsidP="00641486">
      <w:pPr>
        <w:rPr>
          <w:rFonts w:ascii="Open Sans" w:hAnsi="Open Sans" w:cs="Open Sans"/>
          <w:sz w:val="20"/>
          <w:szCs w:val="20"/>
        </w:rPr>
      </w:pPr>
    </w:p>
    <w:p w14:paraId="1BA73D72" w14:textId="77777777" w:rsidR="007D189C" w:rsidRDefault="007D189C" w:rsidP="00641486">
      <w:pPr>
        <w:rPr>
          <w:rFonts w:ascii="Open Sans" w:hAnsi="Open Sans" w:cs="Open Sans"/>
          <w:sz w:val="20"/>
          <w:szCs w:val="20"/>
        </w:rPr>
      </w:pPr>
    </w:p>
    <w:p w14:paraId="15DCBD67" w14:textId="77777777" w:rsidR="007D189C" w:rsidRPr="00541E87" w:rsidRDefault="007D189C" w:rsidP="00641486">
      <w:pPr>
        <w:rPr>
          <w:rFonts w:ascii="Open Sans" w:hAnsi="Open Sans" w:cs="Open Sans"/>
          <w:color w:val="06926B"/>
          <w:sz w:val="20"/>
          <w:szCs w:val="20"/>
        </w:rPr>
      </w:pPr>
    </w:p>
    <w:p w14:paraId="496E9181" w14:textId="0C78848D" w:rsidR="00641486" w:rsidRPr="00541E87" w:rsidRDefault="00641486" w:rsidP="002714A0">
      <w:pPr>
        <w:rPr>
          <w:rFonts w:ascii="Open Sans" w:hAnsi="Open Sans" w:cs="Open Sans"/>
          <w:b/>
          <w:bCs/>
          <w:color w:val="06926B"/>
          <w:sz w:val="28"/>
          <w:szCs w:val="28"/>
        </w:rPr>
      </w:pPr>
      <w:r w:rsidRPr="00541E87">
        <w:rPr>
          <w:rFonts w:ascii="Open Sans" w:hAnsi="Open Sans" w:cs="Open Sans"/>
          <w:b/>
          <w:bCs/>
          <w:color w:val="06926B"/>
          <w:sz w:val="28"/>
          <w:szCs w:val="28"/>
        </w:rPr>
        <w:t>Chapter 4-</w:t>
      </w:r>
      <w:r w:rsidR="00F552DA" w:rsidRPr="00541E87">
        <w:rPr>
          <w:rFonts w:ascii="Open Sans" w:hAnsi="Open Sans" w:cs="Open Sans"/>
          <w:b/>
          <w:bCs/>
          <w:color w:val="06926B"/>
          <w:sz w:val="28"/>
          <w:szCs w:val="28"/>
        </w:rPr>
        <w:t xml:space="preserve"> Non-price factors and further </w:t>
      </w:r>
      <w:r w:rsidR="005D0043" w:rsidRPr="00541E87">
        <w:rPr>
          <w:rFonts w:ascii="Open Sans" w:hAnsi="Open Sans" w:cs="Open Sans"/>
          <w:b/>
          <w:bCs/>
          <w:color w:val="06926B"/>
          <w:sz w:val="28"/>
          <w:szCs w:val="28"/>
        </w:rPr>
        <w:t>design considerations for price-based competitive allocation.</w:t>
      </w:r>
      <w:r w:rsidR="00F552DA" w:rsidRPr="00541E87">
        <w:rPr>
          <w:rFonts w:ascii="Open Sans" w:hAnsi="Open Sans" w:cs="Open Sans"/>
          <w:color w:val="06926B"/>
        </w:rPr>
        <w:t xml:space="preserve"> </w:t>
      </w:r>
    </w:p>
    <w:p w14:paraId="2D32F86F" w14:textId="77777777" w:rsidR="00DE228D" w:rsidRPr="00517675" w:rsidRDefault="00641486" w:rsidP="00DE228D">
      <w:pPr>
        <w:rPr>
          <w:rFonts w:ascii="Open Sans" w:hAnsi="Open Sans" w:cs="Open Sans"/>
          <w:b/>
          <w:bCs/>
        </w:rPr>
      </w:pPr>
      <w:r w:rsidRPr="00517675">
        <w:rPr>
          <w:rFonts w:ascii="Open Sans" w:hAnsi="Open Sans" w:cs="Open Sans"/>
          <w:b/>
          <w:bCs/>
          <w:sz w:val="20"/>
          <w:szCs w:val="20"/>
        </w:rPr>
        <w:t xml:space="preserve">15. Do you have views on how the design considerations as set out in Chapter 4 should evolve beyond HAR2? Are there any missing? </w:t>
      </w:r>
    </w:p>
    <w:p w14:paraId="6B620392" w14:textId="7BA15682" w:rsidR="00641486" w:rsidRPr="00517675" w:rsidRDefault="00267E30" w:rsidP="002714A0">
      <w:pPr>
        <w:rPr>
          <w:rFonts w:ascii="Open Sans" w:hAnsi="Open Sans" w:cs="Open Sans"/>
          <w:sz w:val="20"/>
          <w:szCs w:val="20"/>
        </w:rPr>
      </w:pPr>
      <w:r>
        <w:rPr>
          <w:rFonts w:ascii="Open Sans" w:hAnsi="Open Sans" w:cs="Open Sans"/>
          <w:sz w:val="20"/>
          <w:szCs w:val="20"/>
        </w:rPr>
        <w:t xml:space="preserve">Non- price factors </w:t>
      </w:r>
      <w:r w:rsidR="00F63736">
        <w:rPr>
          <w:rFonts w:ascii="Open Sans" w:hAnsi="Open Sans" w:cs="Open Sans"/>
          <w:sz w:val="20"/>
          <w:szCs w:val="20"/>
        </w:rPr>
        <w:t>add</w:t>
      </w:r>
      <w:r w:rsidR="005C773B" w:rsidRPr="00517675">
        <w:rPr>
          <w:rFonts w:ascii="Open Sans" w:hAnsi="Open Sans" w:cs="Open Sans"/>
          <w:sz w:val="20"/>
          <w:szCs w:val="20"/>
        </w:rPr>
        <w:t xml:space="preserve"> an extra layer of complexit</w:t>
      </w:r>
      <w:r w:rsidR="00F63736">
        <w:rPr>
          <w:rFonts w:ascii="Open Sans" w:hAnsi="Open Sans" w:cs="Open Sans"/>
          <w:sz w:val="20"/>
          <w:szCs w:val="20"/>
        </w:rPr>
        <w:t>y to the system</w:t>
      </w:r>
      <w:r w:rsidR="00D16E24">
        <w:rPr>
          <w:rFonts w:ascii="Open Sans" w:hAnsi="Open Sans" w:cs="Open Sans"/>
          <w:sz w:val="20"/>
          <w:szCs w:val="20"/>
        </w:rPr>
        <w:t xml:space="preserve">, one which </w:t>
      </w:r>
      <w:r w:rsidR="00E87F71">
        <w:rPr>
          <w:rFonts w:ascii="Open Sans" w:hAnsi="Open Sans" w:cs="Open Sans"/>
          <w:sz w:val="20"/>
          <w:szCs w:val="20"/>
        </w:rPr>
        <w:t xml:space="preserve">already has </w:t>
      </w:r>
      <w:r w:rsidR="00F63736">
        <w:rPr>
          <w:rFonts w:ascii="Open Sans" w:hAnsi="Open Sans" w:cs="Open Sans"/>
          <w:sz w:val="20"/>
          <w:szCs w:val="20"/>
        </w:rPr>
        <w:t xml:space="preserve">the </w:t>
      </w:r>
      <w:r w:rsidR="005C773B" w:rsidRPr="00517675">
        <w:rPr>
          <w:rFonts w:ascii="Open Sans" w:hAnsi="Open Sans" w:cs="Open Sans"/>
          <w:sz w:val="20"/>
          <w:szCs w:val="20"/>
        </w:rPr>
        <w:t xml:space="preserve">electricity reform system </w:t>
      </w:r>
      <w:r w:rsidR="004C3E86" w:rsidRPr="00517675">
        <w:rPr>
          <w:rFonts w:ascii="Open Sans" w:hAnsi="Open Sans" w:cs="Open Sans"/>
          <w:sz w:val="20"/>
          <w:szCs w:val="20"/>
        </w:rPr>
        <w:t>underway</w:t>
      </w:r>
      <w:r w:rsidR="004C3E86">
        <w:rPr>
          <w:rFonts w:ascii="Open Sans" w:hAnsi="Open Sans" w:cs="Open Sans"/>
          <w:sz w:val="20"/>
          <w:szCs w:val="20"/>
        </w:rPr>
        <w:t xml:space="preserve"> and</w:t>
      </w:r>
      <w:r w:rsidR="00F63736">
        <w:rPr>
          <w:rFonts w:ascii="Open Sans" w:hAnsi="Open Sans" w:cs="Open Sans"/>
          <w:sz w:val="20"/>
          <w:szCs w:val="20"/>
        </w:rPr>
        <w:t xml:space="preserve"> can</w:t>
      </w:r>
      <w:r w:rsidR="00C53A9A" w:rsidRPr="00517675">
        <w:rPr>
          <w:rFonts w:ascii="Open Sans" w:hAnsi="Open Sans" w:cs="Open Sans"/>
          <w:sz w:val="20"/>
          <w:szCs w:val="20"/>
        </w:rPr>
        <w:t xml:space="preserve"> </w:t>
      </w:r>
      <w:r w:rsidR="00963ED7">
        <w:rPr>
          <w:rFonts w:ascii="Open Sans" w:hAnsi="Open Sans" w:cs="Open Sans"/>
          <w:sz w:val="20"/>
          <w:szCs w:val="20"/>
        </w:rPr>
        <w:t>therefore create m</w:t>
      </w:r>
      <w:r w:rsidR="00C53A9A" w:rsidRPr="00517675">
        <w:rPr>
          <w:rFonts w:ascii="Open Sans" w:hAnsi="Open Sans" w:cs="Open Sans"/>
          <w:sz w:val="20"/>
          <w:szCs w:val="20"/>
        </w:rPr>
        <w:t xml:space="preserve">any </w:t>
      </w:r>
      <w:r w:rsidR="00963ED7">
        <w:rPr>
          <w:rFonts w:ascii="Open Sans" w:hAnsi="Open Sans" w:cs="Open Sans"/>
          <w:sz w:val="20"/>
          <w:szCs w:val="20"/>
        </w:rPr>
        <w:t xml:space="preserve">more </w:t>
      </w:r>
      <w:r w:rsidR="00C53A9A" w:rsidRPr="00517675">
        <w:rPr>
          <w:rFonts w:ascii="Open Sans" w:hAnsi="Open Sans" w:cs="Open Sans"/>
          <w:sz w:val="20"/>
          <w:szCs w:val="20"/>
        </w:rPr>
        <w:t>issues</w:t>
      </w:r>
      <w:r w:rsidR="00963ED7">
        <w:rPr>
          <w:rFonts w:ascii="Open Sans" w:hAnsi="Open Sans" w:cs="Open Sans"/>
          <w:sz w:val="20"/>
          <w:szCs w:val="20"/>
        </w:rPr>
        <w:t xml:space="preserve"> than it aims to relieve</w:t>
      </w:r>
      <w:r w:rsidR="00C53A9A" w:rsidRPr="00517675">
        <w:rPr>
          <w:rFonts w:ascii="Open Sans" w:hAnsi="Open Sans" w:cs="Open Sans"/>
          <w:sz w:val="20"/>
          <w:szCs w:val="20"/>
        </w:rPr>
        <w:t xml:space="preserve">. Non </w:t>
      </w:r>
      <w:r w:rsidR="00D16E24">
        <w:rPr>
          <w:rFonts w:ascii="Open Sans" w:hAnsi="Open Sans" w:cs="Open Sans"/>
          <w:sz w:val="20"/>
          <w:szCs w:val="20"/>
        </w:rPr>
        <w:t>-</w:t>
      </w:r>
      <w:r w:rsidR="00C53A9A" w:rsidRPr="00517675">
        <w:rPr>
          <w:rFonts w:ascii="Open Sans" w:hAnsi="Open Sans" w:cs="Open Sans"/>
          <w:sz w:val="20"/>
          <w:szCs w:val="20"/>
        </w:rPr>
        <w:t xml:space="preserve">price factors </w:t>
      </w:r>
      <w:r w:rsidR="004C3E86">
        <w:rPr>
          <w:rFonts w:ascii="Open Sans" w:hAnsi="Open Sans" w:cs="Open Sans"/>
          <w:sz w:val="20"/>
          <w:szCs w:val="20"/>
        </w:rPr>
        <w:t xml:space="preserve">are </w:t>
      </w:r>
      <w:r w:rsidR="003B2C36" w:rsidRPr="00517675">
        <w:rPr>
          <w:rFonts w:ascii="Open Sans" w:hAnsi="Open Sans" w:cs="Open Sans"/>
          <w:sz w:val="20"/>
          <w:szCs w:val="20"/>
        </w:rPr>
        <w:t xml:space="preserve">a way of trying to deal with issues </w:t>
      </w:r>
      <w:r w:rsidR="004C3E86">
        <w:rPr>
          <w:rFonts w:ascii="Open Sans" w:hAnsi="Open Sans" w:cs="Open Sans"/>
          <w:sz w:val="20"/>
          <w:szCs w:val="20"/>
        </w:rPr>
        <w:t xml:space="preserve">resulting </w:t>
      </w:r>
      <w:r w:rsidR="003B2C36" w:rsidRPr="00517675">
        <w:rPr>
          <w:rFonts w:ascii="Open Sans" w:hAnsi="Open Sans" w:cs="Open Sans"/>
          <w:sz w:val="20"/>
          <w:szCs w:val="20"/>
        </w:rPr>
        <w:t xml:space="preserve">from a competitive </w:t>
      </w:r>
      <w:r w:rsidR="004C3E86" w:rsidRPr="00517675">
        <w:rPr>
          <w:rFonts w:ascii="Open Sans" w:hAnsi="Open Sans" w:cs="Open Sans"/>
          <w:sz w:val="20"/>
          <w:szCs w:val="20"/>
        </w:rPr>
        <w:t>price-based</w:t>
      </w:r>
      <w:r w:rsidR="003B2C36" w:rsidRPr="00517675">
        <w:rPr>
          <w:rFonts w:ascii="Open Sans" w:hAnsi="Open Sans" w:cs="Open Sans"/>
          <w:sz w:val="20"/>
          <w:szCs w:val="20"/>
        </w:rPr>
        <w:t xml:space="preserve"> allocation. </w:t>
      </w:r>
      <w:r w:rsidR="00132F3B">
        <w:rPr>
          <w:rFonts w:ascii="Open Sans" w:hAnsi="Open Sans" w:cs="Open Sans"/>
          <w:sz w:val="20"/>
          <w:szCs w:val="20"/>
        </w:rPr>
        <w:t xml:space="preserve">Given the message has been made within this response that there should be </w:t>
      </w:r>
      <w:r w:rsidR="001C798E">
        <w:rPr>
          <w:rFonts w:ascii="Open Sans" w:hAnsi="Open Sans" w:cs="Open Sans"/>
          <w:sz w:val="20"/>
          <w:szCs w:val="20"/>
        </w:rPr>
        <w:t>caution</w:t>
      </w:r>
      <w:r w:rsidR="00132F3B">
        <w:rPr>
          <w:rFonts w:ascii="Open Sans" w:hAnsi="Open Sans" w:cs="Open Sans"/>
          <w:sz w:val="20"/>
          <w:szCs w:val="20"/>
        </w:rPr>
        <w:t xml:space="preserve"> in bringing in a </w:t>
      </w:r>
      <w:r w:rsidR="009E7C96">
        <w:rPr>
          <w:rFonts w:ascii="Open Sans" w:hAnsi="Open Sans" w:cs="Open Sans"/>
          <w:sz w:val="20"/>
          <w:szCs w:val="20"/>
        </w:rPr>
        <w:t xml:space="preserve">price based </w:t>
      </w:r>
      <w:r w:rsidR="00132F3B">
        <w:rPr>
          <w:rFonts w:ascii="Open Sans" w:hAnsi="Open Sans" w:cs="Open Sans"/>
          <w:sz w:val="20"/>
          <w:szCs w:val="20"/>
        </w:rPr>
        <w:t xml:space="preserve">competitive </w:t>
      </w:r>
      <w:r w:rsidR="009E7C96">
        <w:rPr>
          <w:rFonts w:ascii="Open Sans" w:hAnsi="Open Sans" w:cs="Open Sans"/>
          <w:sz w:val="20"/>
          <w:szCs w:val="20"/>
        </w:rPr>
        <w:t xml:space="preserve">allocation </w:t>
      </w:r>
      <w:r w:rsidR="009E146A">
        <w:rPr>
          <w:rFonts w:ascii="Open Sans" w:hAnsi="Open Sans" w:cs="Open Sans"/>
          <w:sz w:val="20"/>
          <w:szCs w:val="20"/>
        </w:rPr>
        <w:t xml:space="preserve">too early, </w:t>
      </w:r>
      <w:r w:rsidR="009E7C96">
        <w:rPr>
          <w:rFonts w:ascii="Open Sans" w:hAnsi="Open Sans" w:cs="Open Sans"/>
          <w:sz w:val="20"/>
          <w:szCs w:val="20"/>
        </w:rPr>
        <w:t xml:space="preserve">this will be </w:t>
      </w:r>
      <w:r w:rsidR="001C798E">
        <w:rPr>
          <w:rFonts w:ascii="Open Sans" w:hAnsi="Open Sans" w:cs="Open Sans"/>
          <w:sz w:val="20"/>
          <w:szCs w:val="20"/>
        </w:rPr>
        <w:t xml:space="preserve">equally </w:t>
      </w:r>
      <w:r w:rsidR="009E7C96">
        <w:rPr>
          <w:rFonts w:ascii="Open Sans" w:hAnsi="Open Sans" w:cs="Open Sans"/>
          <w:sz w:val="20"/>
          <w:szCs w:val="20"/>
        </w:rPr>
        <w:t xml:space="preserve">the same message for </w:t>
      </w:r>
      <w:r w:rsidR="008C5E84">
        <w:rPr>
          <w:rFonts w:ascii="Open Sans" w:hAnsi="Open Sans" w:cs="Open Sans"/>
          <w:sz w:val="20"/>
          <w:szCs w:val="20"/>
        </w:rPr>
        <w:t>non</w:t>
      </w:r>
      <w:r w:rsidR="009E146A">
        <w:rPr>
          <w:rFonts w:ascii="Open Sans" w:hAnsi="Open Sans" w:cs="Open Sans"/>
          <w:sz w:val="20"/>
          <w:szCs w:val="20"/>
        </w:rPr>
        <w:t>-</w:t>
      </w:r>
      <w:r w:rsidR="008C5E84">
        <w:rPr>
          <w:rFonts w:ascii="Open Sans" w:hAnsi="Open Sans" w:cs="Open Sans"/>
          <w:sz w:val="20"/>
          <w:szCs w:val="20"/>
        </w:rPr>
        <w:t xml:space="preserve">price factors and further design considerations. There is merit in </w:t>
      </w:r>
      <w:r w:rsidR="001C798E">
        <w:rPr>
          <w:rFonts w:ascii="Open Sans" w:hAnsi="Open Sans" w:cs="Open Sans"/>
          <w:sz w:val="20"/>
          <w:szCs w:val="20"/>
        </w:rPr>
        <w:t>introducing</w:t>
      </w:r>
      <w:r w:rsidR="008C5E84">
        <w:rPr>
          <w:rFonts w:ascii="Open Sans" w:hAnsi="Open Sans" w:cs="Open Sans"/>
          <w:sz w:val="20"/>
          <w:szCs w:val="20"/>
        </w:rPr>
        <w:t xml:space="preserve"> them where the</w:t>
      </w:r>
      <w:r w:rsidR="001E4D6A" w:rsidRPr="00517675">
        <w:rPr>
          <w:rFonts w:ascii="Open Sans" w:hAnsi="Open Sans" w:cs="Open Sans"/>
          <w:sz w:val="20"/>
          <w:szCs w:val="20"/>
        </w:rPr>
        <w:t xml:space="preserve"> market has settled and become established. </w:t>
      </w:r>
    </w:p>
    <w:p w14:paraId="7695274F" w14:textId="77777777" w:rsidR="00DE228D" w:rsidRPr="00517675" w:rsidRDefault="00641486" w:rsidP="00DE228D">
      <w:pPr>
        <w:rPr>
          <w:rFonts w:ascii="Open Sans" w:hAnsi="Open Sans" w:cs="Open Sans"/>
          <w:b/>
          <w:bCs/>
        </w:rPr>
      </w:pPr>
      <w:r w:rsidRPr="00517675">
        <w:rPr>
          <w:rFonts w:ascii="Open Sans" w:hAnsi="Open Sans" w:cs="Open Sans"/>
          <w:b/>
          <w:bCs/>
          <w:sz w:val="20"/>
          <w:szCs w:val="20"/>
        </w:rPr>
        <w:t xml:space="preserve">16. In a price-based competition, how would you design and value non-price factors to support any of the above objectives and broader outcomes as set out in Chapter 2, noting the above non-price factor design principles in Chapter 4? </w:t>
      </w:r>
    </w:p>
    <w:p w14:paraId="25A3A1FA" w14:textId="2DA429FC" w:rsidR="00641486" w:rsidRPr="00971088" w:rsidRDefault="005B4B6B" w:rsidP="002714A0">
      <w:pPr>
        <w:rPr>
          <w:rFonts w:ascii="Open Sans" w:hAnsi="Open Sans" w:cs="Open Sans"/>
          <w:sz w:val="20"/>
          <w:szCs w:val="20"/>
        </w:rPr>
      </w:pPr>
      <w:r w:rsidRPr="00971088">
        <w:rPr>
          <w:rFonts w:ascii="Open Sans" w:hAnsi="Open Sans" w:cs="Open Sans"/>
          <w:sz w:val="20"/>
          <w:szCs w:val="20"/>
        </w:rPr>
        <w:t>At this stage</w:t>
      </w:r>
      <w:r w:rsidR="009E146A">
        <w:rPr>
          <w:rFonts w:ascii="Open Sans" w:hAnsi="Open Sans" w:cs="Open Sans"/>
          <w:sz w:val="20"/>
          <w:szCs w:val="20"/>
        </w:rPr>
        <w:t>,</w:t>
      </w:r>
      <w:r w:rsidRPr="00971088">
        <w:rPr>
          <w:rFonts w:ascii="Open Sans" w:hAnsi="Open Sans" w:cs="Open Sans"/>
          <w:sz w:val="20"/>
          <w:szCs w:val="20"/>
        </w:rPr>
        <w:t xml:space="preserve"> </w:t>
      </w:r>
      <w:r w:rsidR="003555D9" w:rsidRPr="00971088">
        <w:rPr>
          <w:rFonts w:ascii="Open Sans" w:hAnsi="Open Sans" w:cs="Open Sans"/>
          <w:sz w:val="20"/>
          <w:szCs w:val="20"/>
        </w:rPr>
        <w:t xml:space="preserve">there is </w:t>
      </w:r>
      <w:r w:rsidR="00B41557" w:rsidRPr="00971088">
        <w:rPr>
          <w:rFonts w:ascii="Open Sans" w:hAnsi="Open Sans" w:cs="Open Sans"/>
          <w:sz w:val="20"/>
          <w:szCs w:val="20"/>
        </w:rPr>
        <w:t>concern</w:t>
      </w:r>
      <w:r w:rsidR="003555D9" w:rsidRPr="00971088">
        <w:rPr>
          <w:rFonts w:ascii="Open Sans" w:hAnsi="Open Sans" w:cs="Open Sans"/>
          <w:sz w:val="20"/>
          <w:szCs w:val="20"/>
        </w:rPr>
        <w:t xml:space="preserve"> that in trying to suggest possible designs</w:t>
      </w:r>
      <w:r w:rsidR="009E146A">
        <w:rPr>
          <w:rFonts w:ascii="Open Sans" w:hAnsi="Open Sans" w:cs="Open Sans"/>
          <w:sz w:val="20"/>
          <w:szCs w:val="20"/>
        </w:rPr>
        <w:t>,</w:t>
      </w:r>
      <w:r w:rsidR="003555D9" w:rsidRPr="00971088">
        <w:rPr>
          <w:rFonts w:ascii="Open Sans" w:hAnsi="Open Sans" w:cs="Open Sans"/>
          <w:sz w:val="20"/>
          <w:szCs w:val="20"/>
        </w:rPr>
        <w:t xml:space="preserve"> that the </w:t>
      </w:r>
      <w:r w:rsidR="006E511A" w:rsidRPr="00971088">
        <w:rPr>
          <w:rFonts w:ascii="Open Sans" w:hAnsi="Open Sans" w:cs="Open Sans"/>
          <w:sz w:val="20"/>
          <w:szCs w:val="20"/>
        </w:rPr>
        <w:t>this will change a</w:t>
      </w:r>
      <w:r w:rsidR="009E146A">
        <w:rPr>
          <w:rFonts w:ascii="Open Sans" w:hAnsi="Open Sans" w:cs="Open Sans"/>
          <w:sz w:val="20"/>
          <w:szCs w:val="20"/>
        </w:rPr>
        <w:t>s</w:t>
      </w:r>
      <w:r w:rsidR="006E511A" w:rsidRPr="00971088">
        <w:rPr>
          <w:rFonts w:ascii="Open Sans" w:hAnsi="Open Sans" w:cs="Open Sans"/>
          <w:sz w:val="20"/>
          <w:szCs w:val="20"/>
        </w:rPr>
        <w:t xml:space="preserve"> the market develops and by the time this </w:t>
      </w:r>
      <w:r w:rsidR="002E6DEF">
        <w:rPr>
          <w:rFonts w:ascii="Open Sans" w:hAnsi="Open Sans" w:cs="Open Sans"/>
          <w:sz w:val="20"/>
          <w:szCs w:val="20"/>
        </w:rPr>
        <w:t>could be</w:t>
      </w:r>
      <w:r w:rsidR="006E511A" w:rsidRPr="00971088">
        <w:rPr>
          <w:rFonts w:ascii="Open Sans" w:hAnsi="Open Sans" w:cs="Open Sans"/>
          <w:sz w:val="20"/>
          <w:szCs w:val="20"/>
        </w:rPr>
        <w:t xml:space="preserve"> introduced. </w:t>
      </w:r>
      <w:r w:rsidR="00971088" w:rsidRPr="00971088">
        <w:rPr>
          <w:rFonts w:ascii="Open Sans" w:hAnsi="Open Sans" w:cs="Open Sans"/>
          <w:sz w:val="20"/>
          <w:szCs w:val="20"/>
        </w:rPr>
        <w:t>Therefore,</w:t>
      </w:r>
      <w:r w:rsidR="006E511A" w:rsidRPr="00971088">
        <w:rPr>
          <w:rFonts w:ascii="Open Sans" w:hAnsi="Open Sans" w:cs="Open Sans"/>
          <w:sz w:val="20"/>
          <w:szCs w:val="20"/>
        </w:rPr>
        <w:t xml:space="preserve"> the response </w:t>
      </w:r>
      <w:r w:rsidR="002E6DEF">
        <w:rPr>
          <w:rFonts w:ascii="Open Sans" w:hAnsi="Open Sans" w:cs="Open Sans"/>
          <w:sz w:val="20"/>
          <w:szCs w:val="20"/>
        </w:rPr>
        <w:t xml:space="preserve">will need to be that this </w:t>
      </w:r>
      <w:r w:rsidR="006E511A" w:rsidRPr="00971088">
        <w:rPr>
          <w:rFonts w:ascii="Open Sans" w:hAnsi="Open Sans" w:cs="Open Sans"/>
          <w:sz w:val="20"/>
          <w:szCs w:val="20"/>
        </w:rPr>
        <w:t xml:space="preserve">is </w:t>
      </w:r>
      <w:r w:rsidR="00B41557" w:rsidRPr="00971088">
        <w:rPr>
          <w:rFonts w:ascii="Open Sans" w:hAnsi="Open Sans" w:cs="Open Sans"/>
          <w:sz w:val="20"/>
          <w:szCs w:val="20"/>
        </w:rPr>
        <w:t>premature</w:t>
      </w:r>
      <w:r w:rsidR="00A428A8" w:rsidRPr="00971088">
        <w:rPr>
          <w:rFonts w:ascii="Open Sans" w:hAnsi="Open Sans" w:cs="Open Sans"/>
          <w:sz w:val="20"/>
          <w:szCs w:val="20"/>
        </w:rPr>
        <w:t xml:space="preserve"> and at present the suggestion of </w:t>
      </w:r>
      <w:r w:rsidR="00B41557" w:rsidRPr="00971088">
        <w:rPr>
          <w:rFonts w:ascii="Open Sans" w:hAnsi="Open Sans" w:cs="Open Sans"/>
          <w:sz w:val="20"/>
          <w:szCs w:val="20"/>
        </w:rPr>
        <w:t>non-price</w:t>
      </w:r>
      <w:r w:rsidR="00A21A7D" w:rsidRPr="00971088">
        <w:rPr>
          <w:rFonts w:ascii="Open Sans" w:hAnsi="Open Sans" w:cs="Open Sans"/>
          <w:sz w:val="20"/>
          <w:szCs w:val="20"/>
        </w:rPr>
        <w:t xml:space="preserve"> factors may drive only allocation of </w:t>
      </w:r>
      <w:r w:rsidR="00B41557" w:rsidRPr="00971088">
        <w:rPr>
          <w:rFonts w:ascii="Open Sans" w:hAnsi="Open Sans" w:cs="Open Sans"/>
          <w:sz w:val="20"/>
          <w:szCs w:val="20"/>
        </w:rPr>
        <w:t>projects</w:t>
      </w:r>
      <w:r w:rsidR="00A21A7D" w:rsidRPr="00971088">
        <w:rPr>
          <w:rFonts w:ascii="Open Sans" w:hAnsi="Open Sans" w:cs="Open Sans"/>
          <w:sz w:val="20"/>
          <w:szCs w:val="20"/>
        </w:rPr>
        <w:t xml:space="preserve"> from specific </w:t>
      </w:r>
      <w:r w:rsidR="00B41557" w:rsidRPr="00971088">
        <w:rPr>
          <w:rFonts w:ascii="Open Sans" w:hAnsi="Open Sans" w:cs="Open Sans"/>
          <w:sz w:val="20"/>
          <w:szCs w:val="20"/>
        </w:rPr>
        <w:t xml:space="preserve">areas at the detriment of others. Maturity of the system will </w:t>
      </w:r>
      <w:r w:rsidR="00971088" w:rsidRPr="00971088">
        <w:rPr>
          <w:rFonts w:ascii="Open Sans" w:hAnsi="Open Sans" w:cs="Open Sans"/>
          <w:sz w:val="20"/>
          <w:szCs w:val="20"/>
        </w:rPr>
        <w:t xml:space="preserve">allow a stronger understanding of how these can be best introduced. </w:t>
      </w:r>
    </w:p>
    <w:p w14:paraId="72EA3344" w14:textId="77777777" w:rsidR="00DE228D" w:rsidRPr="00517675" w:rsidRDefault="00641486" w:rsidP="00DE228D">
      <w:pPr>
        <w:rPr>
          <w:rFonts w:ascii="Open Sans" w:hAnsi="Open Sans" w:cs="Open Sans"/>
          <w:b/>
          <w:bCs/>
        </w:rPr>
      </w:pPr>
      <w:r w:rsidRPr="00517675">
        <w:rPr>
          <w:rFonts w:ascii="Open Sans" w:hAnsi="Open Sans" w:cs="Open Sans"/>
          <w:b/>
          <w:bCs/>
          <w:sz w:val="20"/>
          <w:szCs w:val="20"/>
        </w:rPr>
        <w:t xml:space="preserve">17. Are there other more appropriate approaches for supporting these objectives and broader outcomes than through implementing non-price factors? </w:t>
      </w:r>
    </w:p>
    <w:p w14:paraId="08626D2D" w14:textId="2BF58E73" w:rsidR="00641486" w:rsidRPr="00870348" w:rsidRDefault="00870348" w:rsidP="002714A0">
      <w:pPr>
        <w:rPr>
          <w:rFonts w:ascii="Open Sans" w:hAnsi="Open Sans" w:cs="Open Sans"/>
          <w:sz w:val="20"/>
          <w:szCs w:val="20"/>
        </w:rPr>
      </w:pPr>
      <w:r w:rsidRPr="00870348">
        <w:rPr>
          <w:rFonts w:ascii="Open Sans" w:hAnsi="Open Sans" w:cs="Open Sans"/>
          <w:sz w:val="20"/>
          <w:szCs w:val="20"/>
        </w:rPr>
        <w:t xml:space="preserve">We refer to the response for Question 15. </w:t>
      </w:r>
    </w:p>
    <w:p w14:paraId="723811FA" w14:textId="77777777" w:rsidR="00DE228D" w:rsidRPr="00517675" w:rsidRDefault="00641486" w:rsidP="00DE228D">
      <w:pPr>
        <w:rPr>
          <w:rFonts w:ascii="Open Sans" w:hAnsi="Open Sans" w:cs="Open Sans"/>
          <w:b/>
          <w:bCs/>
        </w:rPr>
      </w:pPr>
      <w:r w:rsidRPr="00517675">
        <w:rPr>
          <w:rFonts w:ascii="Open Sans" w:hAnsi="Open Sans" w:cs="Open Sans"/>
          <w:b/>
          <w:bCs/>
          <w:sz w:val="20"/>
          <w:szCs w:val="20"/>
        </w:rPr>
        <w:t>18. From the mid-20s, what types of companies do electrolytic projects, and potentially other non-CCUS projects, expect to have as potential end users? Do you expect them to be geographically fixed, or flexible?</w:t>
      </w:r>
    </w:p>
    <w:p w14:paraId="327B51BB" w14:textId="0B663C3E" w:rsidR="00641486" w:rsidRPr="004C6826" w:rsidRDefault="00D6687A" w:rsidP="002714A0">
      <w:pPr>
        <w:rPr>
          <w:rFonts w:ascii="Open Sans" w:hAnsi="Open Sans" w:cs="Open Sans"/>
          <w:sz w:val="20"/>
          <w:szCs w:val="20"/>
        </w:rPr>
      </w:pPr>
      <w:r w:rsidRPr="004C6826">
        <w:rPr>
          <w:rFonts w:ascii="Open Sans" w:hAnsi="Open Sans" w:cs="Open Sans"/>
          <w:sz w:val="20"/>
          <w:szCs w:val="20"/>
        </w:rPr>
        <w:t xml:space="preserve">This may be </w:t>
      </w:r>
      <w:r w:rsidR="004C6826" w:rsidRPr="004C6826">
        <w:rPr>
          <w:rFonts w:ascii="Open Sans" w:hAnsi="Open Sans" w:cs="Open Sans"/>
          <w:sz w:val="20"/>
          <w:szCs w:val="20"/>
        </w:rPr>
        <w:t>dependent</w:t>
      </w:r>
      <w:r w:rsidRPr="004C6826">
        <w:rPr>
          <w:rFonts w:ascii="Open Sans" w:hAnsi="Open Sans" w:cs="Open Sans"/>
          <w:sz w:val="20"/>
          <w:szCs w:val="20"/>
        </w:rPr>
        <w:t xml:space="preserve"> on what </w:t>
      </w:r>
      <w:r w:rsidR="005D303A" w:rsidRPr="004C6826">
        <w:rPr>
          <w:rFonts w:ascii="Open Sans" w:hAnsi="Open Sans" w:cs="Open Sans"/>
          <w:sz w:val="20"/>
          <w:szCs w:val="20"/>
        </w:rPr>
        <w:t>projects have been allocated in HAR1 and HAR2</w:t>
      </w:r>
      <w:r w:rsidR="009465AD" w:rsidRPr="004C6826">
        <w:rPr>
          <w:rFonts w:ascii="Open Sans" w:hAnsi="Open Sans" w:cs="Open Sans"/>
          <w:sz w:val="20"/>
          <w:szCs w:val="20"/>
        </w:rPr>
        <w:t xml:space="preserve">. </w:t>
      </w:r>
      <w:proofErr w:type="gramStart"/>
      <w:r w:rsidR="009465AD" w:rsidRPr="004C6826">
        <w:rPr>
          <w:rFonts w:ascii="Open Sans" w:hAnsi="Open Sans" w:cs="Open Sans"/>
          <w:sz w:val="20"/>
          <w:szCs w:val="20"/>
        </w:rPr>
        <w:t>In order to</w:t>
      </w:r>
      <w:proofErr w:type="gramEnd"/>
      <w:r w:rsidR="009465AD" w:rsidRPr="004C6826">
        <w:rPr>
          <w:rFonts w:ascii="Open Sans" w:hAnsi="Open Sans" w:cs="Open Sans"/>
          <w:sz w:val="20"/>
          <w:szCs w:val="20"/>
        </w:rPr>
        <w:t xml:space="preserve"> boost the </w:t>
      </w:r>
      <w:r w:rsidR="002D6397" w:rsidRPr="004C6826">
        <w:rPr>
          <w:rFonts w:ascii="Open Sans" w:hAnsi="Open Sans" w:cs="Open Sans"/>
          <w:sz w:val="20"/>
          <w:szCs w:val="20"/>
        </w:rPr>
        <w:t>market,</w:t>
      </w:r>
      <w:r w:rsidR="009465AD" w:rsidRPr="004C6826">
        <w:rPr>
          <w:rFonts w:ascii="Open Sans" w:hAnsi="Open Sans" w:cs="Open Sans"/>
          <w:sz w:val="20"/>
          <w:szCs w:val="20"/>
        </w:rPr>
        <w:t xml:space="preserve"> there will need to be as many options </w:t>
      </w:r>
      <w:r w:rsidR="000F7F8D">
        <w:rPr>
          <w:rFonts w:ascii="Open Sans" w:hAnsi="Open Sans" w:cs="Open Sans"/>
          <w:sz w:val="20"/>
          <w:szCs w:val="20"/>
        </w:rPr>
        <w:t>and</w:t>
      </w:r>
      <w:r w:rsidR="009465AD" w:rsidRPr="004C6826">
        <w:rPr>
          <w:rFonts w:ascii="Open Sans" w:hAnsi="Open Sans" w:cs="Open Sans"/>
          <w:sz w:val="20"/>
          <w:szCs w:val="20"/>
        </w:rPr>
        <w:t xml:space="preserve"> end users as possible</w:t>
      </w:r>
      <w:r w:rsidR="000F7F8D">
        <w:rPr>
          <w:rFonts w:ascii="Open Sans" w:hAnsi="Open Sans" w:cs="Open Sans"/>
          <w:sz w:val="20"/>
          <w:szCs w:val="20"/>
        </w:rPr>
        <w:t>,</w:t>
      </w:r>
      <w:r w:rsidR="00E0714C" w:rsidRPr="004C6826">
        <w:rPr>
          <w:rFonts w:ascii="Open Sans" w:hAnsi="Open Sans" w:cs="Open Sans"/>
          <w:sz w:val="20"/>
          <w:szCs w:val="20"/>
        </w:rPr>
        <w:t xml:space="preserve"> where this can still be considered as the </w:t>
      </w:r>
      <w:r w:rsidR="000F7F8D">
        <w:rPr>
          <w:rFonts w:ascii="Open Sans" w:hAnsi="Open Sans" w:cs="Open Sans"/>
          <w:sz w:val="20"/>
          <w:szCs w:val="20"/>
        </w:rPr>
        <w:t>`</w:t>
      </w:r>
      <w:r w:rsidR="00E0714C" w:rsidRPr="004C6826">
        <w:rPr>
          <w:rFonts w:ascii="Open Sans" w:hAnsi="Open Sans" w:cs="Open Sans"/>
          <w:sz w:val="20"/>
          <w:szCs w:val="20"/>
        </w:rPr>
        <w:t xml:space="preserve">right technology </w:t>
      </w:r>
      <w:r w:rsidR="000F7F8D">
        <w:rPr>
          <w:rFonts w:ascii="Open Sans" w:hAnsi="Open Sans" w:cs="Open Sans"/>
          <w:sz w:val="20"/>
          <w:szCs w:val="20"/>
        </w:rPr>
        <w:t xml:space="preserve">solution </w:t>
      </w:r>
      <w:r w:rsidR="00E0714C" w:rsidRPr="004C6826">
        <w:rPr>
          <w:rFonts w:ascii="Open Sans" w:hAnsi="Open Sans" w:cs="Open Sans"/>
          <w:sz w:val="20"/>
          <w:szCs w:val="20"/>
        </w:rPr>
        <w:t>for the right place</w:t>
      </w:r>
      <w:r w:rsidR="000F7F8D">
        <w:rPr>
          <w:rFonts w:ascii="Open Sans" w:hAnsi="Open Sans" w:cs="Open Sans"/>
          <w:sz w:val="20"/>
          <w:szCs w:val="20"/>
        </w:rPr>
        <w:t>`</w:t>
      </w:r>
      <w:r w:rsidR="00E0714C" w:rsidRPr="004C6826">
        <w:rPr>
          <w:rFonts w:ascii="Open Sans" w:hAnsi="Open Sans" w:cs="Open Sans"/>
          <w:sz w:val="20"/>
          <w:szCs w:val="20"/>
        </w:rPr>
        <w:t xml:space="preserve"> but also where there is a need</w:t>
      </w:r>
      <w:r w:rsidR="004C6826" w:rsidRPr="004C6826">
        <w:rPr>
          <w:rFonts w:ascii="Open Sans" w:hAnsi="Open Sans" w:cs="Open Sans"/>
          <w:sz w:val="20"/>
          <w:szCs w:val="20"/>
        </w:rPr>
        <w:t xml:space="preserve"> </w:t>
      </w:r>
      <w:r w:rsidR="00E0714C" w:rsidRPr="004C6826">
        <w:rPr>
          <w:rFonts w:ascii="Open Sans" w:hAnsi="Open Sans" w:cs="Open Sans"/>
          <w:sz w:val="20"/>
          <w:szCs w:val="20"/>
        </w:rPr>
        <w:t xml:space="preserve">for a transitioning period. </w:t>
      </w:r>
      <w:r w:rsidR="004C6826" w:rsidRPr="004C6826">
        <w:rPr>
          <w:rFonts w:ascii="Open Sans" w:hAnsi="Open Sans" w:cs="Open Sans"/>
          <w:sz w:val="20"/>
          <w:szCs w:val="20"/>
        </w:rPr>
        <w:t>Until there is a pipeline network there will be reliance in storage systems and transport</w:t>
      </w:r>
      <w:r w:rsidR="005D303A" w:rsidRPr="004C6826">
        <w:rPr>
          <w:rFonts w:ascii="Open Sans" w:hAnsi="Open Sans" w:cs="Open Sans"/>
          <w:sz w:val="20"/>
          <w:szCs w:val="20"/>
        </w:rPr>
        <w:t xml:space="preserve">. </w:t>
      </w:r>
    </w:p>
    <w:p w14:paraId="395D85FF" w14:textId="77777777" w:rsidR="00DE228D" w:rsidRPr="00517675" w:rsidRDefault="00694539" w:rsidP="00DE228D">
      <w:pPr>
        <w:rPr>
          <w:rFonts w:ascii="Open Sans" w:hAnsi="Open Sans" w:cs="Open Sans"/>
          <w:b/>
          <w:bCs/>
        </w:rPr>
      </w:pPr>
      <w:r w:rsidRPr="00517675">
        <w:rPr>
          <w:rFonts w:ascii="Open Sans" w:hAnsi="Open Sans" w:cs="Open Sans"/>
          <w:b/>
          <w:bCs/>
          <w:sz w:val="20"/>
          <w:szCs w:val="20"/>
        </w:rPr>
        <w:t xml:space="preserve">19. For selecting an allocation body to administer price-based competitive allocation, do you agree that these are the right factors to be included in the Secretary of State’s decision? </w:t>
      </w:r>
    </w:p>
    <w:p w14:paraId="7BB26D13" w14:textId="2A00B725" w:rsidR="00694539" w:rsidRPr="00517675" w:rsidRDefault="00482D2B" w:rsidP="002714A0">
      <w:pPr>
        <w:rPr>
          <w:rFonts w:ascii="Open Sans" w:hAnsi="Open Sans" w:cs="Open Sans"/>
          <w:sz w:val="20"/>
          <w:szCs w:val="20"/>
        </w:rPr>
      </w:pPr>
      <w:r>
        <w:rPr>
          <w:rFonts w:ascii="Open Sans" w:hAnsi="Open Sans" w:cs="Open Sans"/>
          <w:sz w:val="20"/>
          <w:szCs w:val="20"/>
        </w:rPr>
        <w:t xml:space="preserve">Currently the </w:t>
      </w:r>
      <w:r w:rsidR="00661184" w:rsidRPr="00517675">
        <w:rPr>
          <w:rFonts w:ascii="Open Sans" w:hAnsi="Open Sans" w:cs="Open Sans"/>
          <w:sz w:val="20"/>
          <w:szCs w:val="20"/>
        </w:rPr>
        <w:t xml:space="preserve">LCCC </w:t>
      </w:r>
      <w:r w:rsidR="004B70DC">
        <w:rPr>
          <w:rFonts w:ascii="Open Sans" w:hAnsi="Open Sans" w:cs="Open Sans"/>
          <w:sz w:val="20"/>
          <w:szCs w:val="20"/>
        </w:rPr>
        <w:t xml:space="preserve">is a </w:t>
      </w:r>
      <w:r w:rsidR="00661184" w:rsidRPr="00517675">
        <w:rPr>
          <w:rFonts w:ascii="Open Sans" w:hAnsi="Open Sans" w:cs="Open Sans"/>
          <w:sz w:val="20"/>
          <w:szCs w:val="20"/>
        </w:rPr>
        <w:t xml:space="preserve">private company </w:t>
      </w:r>
      <w:r w:rsidR="008F3C48">
        <w:rPr>
          <w:rFonts w:ascii="Open Sans" w:hAnsi="Open Sans" w:cs="Open Sans"/>
          <w:sz w:val="20"/>
          <w:szCs w:val="20"/>
        </w:rPr>
        <w:t>wh</w:t>
      </w:r>
      <w:r w:rsidR="004B70DC">
        <w:rPr>
          <w:rFonts w:ascii="Open Sans" w:hAnsi="Open Sans" w:cs="Open Sans"/>
          <w:sz w:val="20"/>
          <w:szCs w:val="20"/>
        </w:rPr>
        <w:t>ere the</w:t>
      </w:r>
      <w:r w:rsidR="008F3C48">
        <w:rPr>
          <w:rFonts w:ascii="Open Sans" w:hAnsi="Open Sans" w:cs="Open Sans"/>
          <w:sz w:val="20"/>
          <w:szCs w:val="20"/>
        </w:rPr>
        <w:t xml:space="preserve"> </w:t>
      </w:r>
      <w:r w:rsidR="004B70DC" w:rsidRPr="00517675">
        <w:rPr>
          <w:rFonts w:ascii="Open Sans" w:hAnsi="Open Sans" w:cs="Open Sans"/>
          <w:sz w:val="20"/>
          <w:szCs w:val="20"/>
        </w:rPr>
        <w:t>government</w:t>
      </w:r>
      <w:r w:rsidR="004B70DC">
        <w:rPr>
          <w:rFonts w:ascii="Open Sans" w:hAnsi="Open Sans" w:cs="Open Sans"/>
          <w:sz w:val="20"/>
          <w:szCs w:val="20"/>
        </w:rPr>
        <w:t xml:space="preserve"> is the </w:t>
      </w:r>
      <w:r w:rsidR="00661184" w:rsidRPr="00517675">
        <w:rPr>
          <w:rFonts w:ascii="Open Sans" w:hAnsi="Open Sans" w:cs="Open Sans"/>
          <w:sz w:val="20"/>
          <w:szCs w:val="20"/>
        </w:rPr>
        <w:t>shareholder</w:t>
      </w:r>
      <w:r w:rsidR="004B70DC">
        <w:rPr>
          <w:rFonts w:ascii="Open Sans" w:hAnsi="Open Sans" w:cs="Open Sans"/>
          <w:sz w:val="20"/>
          <w:szCs w:val="20"/>
        </w:rPr>
        <w:t xml:space="preserve">. </w:t>
      </w:r>
      <w:r w:rsidR="00661184" w:rsidRPr="00517675">
        <w:rPr>
          <w:rFonts w:ascii="Open Sans" w:hAnsi="Open Sans" w:cs="Open Sans"/>
          <w:sz w:val="20"/>
          <w:szCs w:val="20"/>
        </w:rPr>
        <w:t xml:space="preserve"> </w:t>
      </w:r>
      <w:r w:rsidR="00505909">
        <w:rPr>
          <w:rFonts w:ascii="Open Sans" w:hAnsi="Open Sans" w:cs="Open Sans"/>
          <w:sz w:val="20"/>
          <w:szCs w:val="20"/>
        </w:rPr>
        <w:t>It runs other</w:t>
      </w:r>
      <w:r w:rsidR="003D5B0A">
        <w:rPr>
          <w:rFonts w:ascii="Open Sans" w:hAnsi="Open Sans" w:cs="Open Sans"/>
          <w:sz w:val="20"/>
          <w:szCs w:val="20"/>
        </w:rPr>
        <w:t xml:space="preserve"> CfD systems so would be familiar with the process and mechanism</w:t>
      </w:r>
      <w:r w:rsidR="00F4305A">
        <w:rPr>
          <w:rFonts w:ascii="Open Sans" w:hAnsi="Open Sans" w:cs="Open Sans"/>
          <w:sz w:val="20"/>
          <w:szCs w:val="20"/>
        </w:rPr>
        <w:t>.</w:t>
      </w:r>
      <w:r w:rsidR="003D5B0A">
        <w:rPr>
          <w:rFonts w:ascii="Open Sans" w:hAnsi="Open Sans" w:cs="Open Sans"/>
          <w:sz w:val="20"/>
          <w:szCs w:val="20"/>
        </w:rPr>
        <w:t xml:space="preserve"> </w:t>
      </w:r>
      <w:proofErr w:type="gramStart"/>
      <w:r w:rsidR="003D5B0A">
        <w:rPr>
          <w:rFonts w:ascii="Open Sans" w:hAnsi="Open Sans" w:cs="Open Sans"/>
          <w:sz w:val="20"/>
          <w:szCs w:val="20"/>
        </w:rPr>
        <w:t>so</w:t>
      </w:r>
      <w:proofErr w:type="gramEnd"/>
      <w:r w:rsidR="003D5B0A">
        <w:rPr>
          <w:rFonts w:ascii="Open Sans" w:hAnsi="Open Sans" w:cs="Open Sans"/>
          <w:sz w:val="20"/>
          <w:szCs w:val="20"/>
        </w:rPr>
        <w:t xml:space="preserve"> there would be value in keeping the similar process </w:t>
      </w:r>
      <w:r w:rsidR="00076A5E">
        <w:rPr>
          <w:rFonts w:ascii="Open Sans" w:hAnsi="Open Sans" w:cs="Open Sans"/>
          <w:sz w:val="20"/>
          <w:szCs w:val="20"/>
        </w:rPr>
        <w:t xml:space="preserve">when a price/based </w:t>
      </w:r>
      <w:r w:rsidR="009106DE">
        <w:rPr>
          <w:rFonts w:ascii="Open Sans" w:hAnsi="Open Sans" w:cs="Open Sans"/>
          <w:sz w:val="20"/>
          <w:szCs w:val="20"/>
        </w:rPr>
        <w:t>competitive</w:t>
      </w:r>
      <w:r w:rsidR="00076A5E">
        <w:rPr>
          <w:rFonts w:ascii="Open Sans" w:hAnsi="Open Sans" w:cs="Open Sans"/>
          <w:sz w:val="20"/>
          <w:szCs w:val="20"/>
        </w:rPr>
        <w:t xml:space="preserve"> allocation is </w:t>
      </w:r>
      <w:r w:rsidR="009106DE">
        <w:rPr>
          <w:rFonts w:ascii="Open Sans" w:hAnsi="Open Sans" w:cs="Open Sans"/>
          <w:sz w:val="20"/>
          <w:szCs w:val="20"/>
        </w:rPr>
        <w:t xml:space="preserve">in place. </w:t>
      </w:r>
      <w:r w:rsidR="00F26E02">
        <w:rPr>
          <w:rFonts w:ascii="Open Sans" w:hAnsi="Open Sans" w:cs="Open Sans"/>
          <w:sz w:val="20"/>
          <w:szCs w:val="20"/>
        </w:rPr>
        <w:t>However,</w:t>
      </w:r>
      <w:r w:rsidR="00E26DA1">
        <w:rPr>
          <w:rFonts w:ascii="Open Sans" w:hAnsi="Open Sans" w:cs="Open Sans"/>
          <w:sz w:val="20"/>
          <w:szCs w:val="20"/>
        </w:rPr>
        <w:t xml:space="preserve"> </w:t>
      </w:r>
      <w:proofErr w:type="spellStart"/>
      <w:r w:rsidR="00E26DA1">
        <w:rPr>
          <w:rFonts w:ascii="Open Sans" w:hAnsi="Open Sans" w:cs="Open Sans"/>
          <w:sz w:val="20"/>
          <w:szCs w:val="20"/>
        </w:rPr>
        <w:t>its</w:t>
      </w:r>
      <w:proofErr w:type="spellEnd"/>
      <w:r w:rsidR="00E26DA1">
        <w:rPr>
          <w:rFonts w:ascii="Open Sans" w:hAnsi="Open Sans" w:cs="Open Sans"/>
          <w:sz w:val="20"/>
          <w:szCs w:val="20"/>
        </w:rPr>
        <w:t xml:space="preserve"> not </w:t>
      </w:r>
      <w:r w:rsidR="00F26E02">
        <w:rPr>
          <w:rFonts w:ascii="Open Sans" w:hAnsi="Open Sans" w:cs="Open Sans"/>
          <w:sz w:val="20"/>
          <w:szCs w:val="20"/>
        </w:rPr>
        <w:t xml:space="preserve">believed </w:t>
      </w:r>
      <w:r w:rsidR="00E26DA1">
        <w:rPr>
          <w:rFonts w:ascii="Open Sans" w:hAnsi="Open Sans" w:cs="Open Sans"/>
          <w:sz w:val="20"/>
          <w:szCs w:val="20"/>
        </w:rPr>
        <w:t xml:space="preserve">the </w:t>
      </w:r>
      <w:r w:rsidR="00F26E02">
        <w:rPr>
          <w:rFonts w:ascii="Open Sans" w:hAnsi="Open Sans" w:cs="Open Sans"/>
          <w:sz w:val="20"/>
          <w:szCs w:val="20"/>
        </w:rPr>
        <w:t xml:space="preserve">LCCC will also run the auction process. </w:t>
      </w:r>
      <w:r w:rsidR="00F26E02" w:rsidRPr="00F26E02">
        <w:rPr>
          <w:rFonts w:ascii="Open Sans" w:hAnsi="Open Sans" w:cs="Open Sans"/>
          <w:i/>
          <w:iCs/>
          <w:sz w:val="20"/>
          <w:szCs w:val="20"/>
        </w:rPr>
        <w:t>I</w:t>
      </w:r>
      <w:r w:rsidR="00661184" w:rsidRPr="00F26E02">
        <w:rPr>
          <w:rFonts w:ascii="Open Sans" w:hAnsi="Open Sans" w:cs="Open Sans"/>
          <w:i/>
          <w:iCs/>
          <w:sz w:val="20"/>
          <w:szCs w:val="20"/>
        </w:rPr>
        <w:t xml:space="preserve">s the Private law company </w:t>
      </w:r>
      <w:r w:rsidR="00325C1F" w:rsidRPr="00F26E02">
        <w:rPr>
          <w:rFonts w:ascii="Open Sans" w:hAnsi="Open Sans" w:cs="Open Sans"/>
          <w:i/>
          <w:iCs/>
          <w:sz w:val="20"/>
          <w:szCs w:val="20"/>
        </w:rPr>
        <w:t xml:space="preserve">dealt with through contract law with </w:t>
      </w:r>
      <w:r w:rsidR="004216B6" w:rsidRPr="00F26E02">
        <w:rPr>
          <w:rFonts w:ascii="Open Sans" w:hAnsi="Open Sans" w:cs="Open Sans"/>
          <w:i/>
          <w:iCs/>
          <w:sz w:val="20"/>
          <w:szCs w:val="20"/>
        </w:rPr>
        <w:t>government-based</w:t>
      </w:r>
      <w:r w:rsidR="00325C1F" w:rsidRPr="00F26E02">
        <w:rPr>
          <w:rFonts w:ascii="Open Sans" w:hAnsi="Open Sans" w:cs="Open Sans"/>
          <w:i/>
          <w:iCs/>
          <w:sz w:val="20"/>
          <w:szCs w:val="20"/>
        </w:rPr>
        <w:t xml:space="preserve"> counterparty</w:t>
      </w:r>
      <w:r w:rsidR="00F26E02" w:rsidRPr="00F26E02">
        <w:rPr>
          <w:rFonts w:ascii="Open Sans" w:hAnsi="Open Sans" w:cs="Open Sans"/>
          <w:i/>
          <w:iCs/>
          <w:sz w:val="20"/>
          <w:szCs w:val="20"/>
        </w:rPr>
        <w:t>?</w:t>
      </w:r>
      <w:r w:rsidR="00F26E02">
        <w:rPr>
          <w:rFonts w:ascii="Open Sans" w:hAnsi="Open Sans" w:cs="Open Sans"/>
          <w:sz w:val="20"/>
          <w:szCs w:val="20"/>
        </w:rPr>
        <w:t xml:space="preserve"> </w:t>
      </w:r>
    </w:p>
    <w:p w14:paraId="6159DA9D" w14:textId="77777777" w:rsidR="00DE228D" w:rsidRPr="00517675" w:rsidRDefault="00694539" w:rsidP="00DE228D">
      <w:pPr>
        <w:rPr>
          <w:rFonts w:ascii="Open Sans" w:hAnsi="Open Sans" w:cs="Open Sans"/>
          <w:b/>
          <w:bCs/>
        </w:rPr>
      </w:pPr>
      <w:r w:rsidRPr="00517675">
        <w:rPr>
          <w:rFonts w:ascii="Open Sans" w:hAnsi="Open Sans" w:cs="Open Sans"/>
          <w:b/>
          <w:bCs/>
          <w:sz w:val="20"/>
          <w:szCs w:val="20"/>
        </w:rPr>
        <w:lastRenderedPageBreak/>
        <w:t xml:space="preserve">20. If a price competitive process adopted the concept of ‘Delivery Years’, </w:t>
      </w:r>
      <w:proofErr w:type="gramStart"/>
      <w:r w:rsidRPr="00517675">
        <w:rPr>
          <w:rFonts w:ascii="Open Sans" w:hAnsi="Open Sans" w:cs="Open Sans"/>
          <w:b/>
          <w:bCs/>
          <w:sz w:val="20"/>
          <w:szCs w:val="20"/>
        </w:rPr>
        <w:t>similar to</w:t>
      </w:r>
      <w:proofErr w:type="gramEnd"/>
      <w:r w:rsidRPr="00517675">
        <w:rPr>
          <w:rFonts w:ascii="Open Sans" w:hAnsi="Open Sans" w:cs="Open Sans"/>
          <w:b/>
          <w:bCs/>
          <w:sz w:val="20"/>
          <w:szCs w:val="20"/>
        </w:rPr>
        <w:t xml:space="preserve"> the CfD regime, how should we approach designing Delivery Years for non-CCUS low carbon hydrogen projects? Please set out, with evidence, if certain types of projects might require longer lead-in times? </w:t>
      </w:r>
    </w:p>
    <w:p w14:paraId="287CF400" w14:textId="2D41CE97" w:rsidR="00AA6FC7" w:rsidRDefault="00130158" w:rsidP="002714A0">
      <w:pPr>
        <w:rPr>
          <w:rFonts w:ascii="Open Sans" w:hAnsi="Open Sans" w:cs="Open Sans"/>
          <w:sz w:val="20"/>
          <w:szCs w:val="20"/>
        </w:rPr>
      </w:pPr>
      <w:r>
        <w:rPr>
          <w:rFonts w:ascii="Open Sans" w:hAnsi="Open Sans" w:cs="Open Sans"/>
          <w:sz w:val="20"/>
          <w:szCs w:val="20"/>
        </w:rPr>
        <w:t xml:space="preserve">The </w:t>
      </w:r>
      <w:r w:rsidR="00D71CAF">
        <w:rPr>
          <w:rFonts w:ascii="Open Sans" w:hAnsi="Open Sans" w:cs="Open Sans"/>
          <w:sz w:val="20"/>
          <w:szCs w:val="20"/>
        </w:rPr>
        <w:t>premise</w:t>
      </w:r>
      <w:r>
        <w:rPr>
          <w:rFonts w:ascii="Open Sans" w:hAnsi="Open Sans" w:cs="Open Sans"/>
          <w:sz w:val="20"/>
          <w:szCs w:val="20"/>
        </w:rPr>
        <w:t xml:space="preserve"> of </w:t>
      </w:r>
      <w:r w:rsidR="00D71CAF">
        <w:rPr>
          <w:rFonts w:ascii="Open Sans" w:hAnsi="Open Sans" w:cs="Open Sans"/>
          <w:sz w:val="20"/>
          <w:szCs w:val="20"/>
        </w:rPr>
        <w:t>the delivery years m</w:t>
      </w:r>
      <w:r w:rsidR="004A4D19" w:rsidRPr="00517675">
        <w:rPr>
          <w:rFonts w:ascii="Open Sans" w:hAnsi="Open Sans" w:cs="Open Sans"/>
          <w:sz w:val="20"/>
          <w:szCs w:val="20"/>
        </w:rPr>
        <w:t xml:space="preserve">atches </w:t>
      </w:r>
      <w:r w:rsidR="00D71CAF">
        <w:rPr>
          <w:rFonts w:ascii="Open Sans" w:hAnsi="Open Sans" w:cs="Open Sans"/>
          <w:sz w:val="20"/>
          <w:szCs w:val="20"/>
        </w:rPr>
        <w:t xml:space="preserve">the </w:t>
      </w:r>
      <w:r w:rsidR="004A4D19" w:rsidRPr="00517675">
        <w:rPr>
          <w:rFonts w:ascii="Open Sans" w:hAnsi="Open Sans" w:cs="Open Sans"/>
          <w:sz w:val="20"/>
          <w:szCs w:val="20"/>
        </w:rPr>
        <w:t xml:space="preserve">concept </w:t>
      </w:r>
      <w:r w:rsidR="00D71CAF">
        <w:rPr>
          <w:rFonts w:ascii="Open Sans" w:hAnsi="Open Sans" w:cs="Open Sans"/>
          <w:sz w:val="20"/>
          <w:szCs w:val="20"/>
        </w:rPr>
        <w:t xml:space="preserve">set </w:t>
      </w:r>
      <w:r w:rsidR="004A4D19" w:rsidRPr="00517675">
        <w:rPr>
          <w:rFonts w:ascii="Open Sans" w:hAnsi="Open Sans" w:cs="Open Sans"/>
          <w:sz w:val="20"/>
          <w:szCs w:val="20"/>
        </w:rPr>
        <w:t xml:space="preserve">in the Power </w:t>
      </w:r>
      <w:r w:rsidR="00D71CAF">
        <w:rPr>
          <w:rFonts w:ascii="Open Sans" w:hAnsi="Open Sans" w:cs="Open Sans"/>
          <w:sz w:val="20"/>
          <w:szCs w:val="20"/>
        </w:rPr>
        <w:t>CfD</w:t>
      </w:r>
      <w:r w:rsidR="004A4D19" w:rsidRPr="00517675">
        <w:rPr>
          <w:rFonts w:ascii="Open Sans" w:hAnsi="Open Sans" w:cs="Open Sans"/>
          <w:sz w:val="20"/>
          <w:szCs w:val="20"/>
        </w:rPr>
        <w:t xml:space="preserve">. </w:t>
      </w:r>
      <w:r w:rsidR="00D71CAF">
        <w:rPr>
          <w:rFonts w:ascii="Open Sans" w:hAnsi="Open Sans" w:cs="Open Sans"/>
          <w:sz w:val="20"/>
          <w:szCs w:val="20"/>
        </w:rPr>
        <w:t xml:space="preserve">This approach can be particularly good </w:t>
      </w:r>
      <w:r w:rsidR="004A4D19" w:rsidRPr="00517675">
        <w:rPr>
          <w:rFonts w:ascii="Open Sans" w:hAnsi="Open Sans" w:cs="Open Sans"/>
          <w:sz w:val="20"/>
          <w:szCs w:val="20"/>
        </w:rPr>
        <w:t>for technologies that will take longer</w:t>
      </w:r>
      <w:r w:rsidR="00345985">
        <w:rPr>
          <w:rFonts w:ascii="Open Sans" w:hAnsi="Open Sans" w:cs="Open Sans"/>
          <w:sz w:val="20"/>
          <w:szCs w:val="20"/>
        </w:rPr>
        <w:t>,</w:t>
      </w:r>
      <w:r w:rsidR="004A4D19" w:rsidRPr="00517675">
        <w:rPr>
          <w:rFonts w:ascii="Open Sans" w:hAnsi="Open Sans" w:cs="Open Sans"/>
          <w:sz w:val="20"/>
          <w:szCs w:val="20"/>
        </w:rPr>
        <w:t xml:space="preserve"> </w:t>
      </w:r>
      <w:r w:rsidR="00D71CAF">
        <w:rPr>
          <w:rFonts w:ascii="Open Sans" w:hAnsi="Open Sans" w:cs="Open Sans"/>
          <w:sz w:val="20"/>
          <w:szCs w:val="20"/>
        </w:rPr>
        <w:t xml:space="preserve">to ensure they </w:t>
      </w:r>
      <w:r w:rsidR="004A4D19" w:rsidRPr="00517675">
        <w:rPr>
          <w:rFonts w:ascii="Open Sans" w:hAnsi="Open Sans" w:cs="Open Sans"/>
          <w:sz w:val="20"/>
          <w:szCs w:val="20"/>
        </w:rPr>
        <w:t>aren’t rule</w:t>
      </w:r>
      <w:r w:rsidR="00345985">
        <w:rPr>
          <w:rFonts w:ascii="Open Sans" w:hAnsi="Open Sans" w:cs="Open Sans"/>
          <w:sz w:val="20"/>
          <w:szCs w:val="20"/>
        </w:rPr>
        <w:t>d</w:t>
      </w:r>
      <w:r w:rsidR="004A4D19" w:rsidRPr="00517675">
        <w:rPr>
          <w:rFonts w:ascii="Open Sans" w:hAnsi="Open Sans" w:cs="Open Sans"/>
          <w:sz w:val="20"/>
          <w:szCs w:val="20"/>
        </w:rPr>
        <w:t xml:space="preserve"> out </w:t>
      </w:r>
      <w:r w:rsidR="00345985">
        <w:rPr>
          <w:rFonts w:ascii="Open Sans" w:hAnsi="Open Sans" w:cs="Open Sans"/>
          <w:sz w:val="20"/>
          <w:szCs w:val="20"/>
        </w:rPr>
        <w:t>on</w:t>
      </w:r>
      <w:r w:rsidR="00AA6FC7">
        <w:rPr>
          <w:rFonts w:ascii="Open Sans" w:hAnsi="Open Sans" w:cs="Open Sans"/>
          <w:sz w:val="20"/>
          <w:szCs w:val="20"/>
        </w:rPr>
        <w:t xml:space="preserve"> eligibility</w:t>
      </w:r>
      <w:r w:rsidR="00345985">
        <w:rPr>
          <w:rFonts w:ascii="Open Sans" w:hAnsi="Open Sans" w:cs="Open Sans"/>
          <w:sz w:val="20"/>
          <w:szCs w:val="20"/>
        </w:rPr>
        <w:t xml:space="preserve"> criteria</w:t>
      </w:r>
      <w:r w:rsidR="00AA6FC7">
        <w:rPr>
          <w:rFonts w:ascii="Open Sans" w:hAnsi="Open Sans" w:cs="Open Sans"/>
          <w:sz w:val="20"/>
          <w:szCs w:val="20"/>
        </w:rPr>
        <w:t>. Furthermore, the concept can</w:t>
      </w:r>
      <w:r w:rsidR="004A4D19" w:rsidRPr="00517675">
        <w:rPr>
          <w:rFonts w:ascii="Open Sans" w:hAnsi="Open Sans" w:cs="Open Sans"/>
          <w:sz w:val="20"/>
          <w:szCs w:val="20"/>
        </w:rPr>
        <w:t xml:space="preserve"> help projects to set delivery </w:t>
      </w:r>
      <w:r w:rsidR="00345985">
        <w:rPr>
          <w:rFonts w:ascii="Open Sans" w:hAnsi="Open Sans" w:cs="Open Sans"/>
          <w:sz w:val="20"/>
          <w:szCs w:val="20"/>
        </w:rPr>
        <w:t>timelines</w:t>
      </w:r>
      <w:r w:rsidR="004A4D19" w:rsidRPr="00517675">
        <w:rPr>
          <w:rFonts w:ascii="Open Sans" w:hAnsi="Open Sans" w:cs="Open Sans"/>
          <w:sz w:val="20"/>
          <w:szCs w:val="20"/>
        </w:rPr>
        <w:t xml:space="preserve"> that are realistic. </w:t>
      </w:r>
      <w:r w:rsidR="003F7257" w:rsidRPr="00517675">
        <w:rPr>
          <w:rFonts w:ascii="Open Sans" w:hAnsi="Open Sans" w:cs="Open Sans"/>
          <w:sz w:val="20"/>
          <w:szCs w:val="20"/>
        </w:rPr>
        <w:t>(</w:t>
      </w:r>
      <w:r w:rsidR="003F7257" w:rsidRPr="002724C5">
        <w:rPr>
          <w:rFonts w:ascii="Open Sans" w:hAnsi="Open Sans" w:cs="Open Sans"/>
          <w:i/>
          <w:iCs/>
          <w:sz w:val="20"/>
          <w:szCs w:val="20"/>
        </w:rPr>
        <w:t xml:space="preserve">Check HAR1 feedback </w:t>
      </w:r>
      <w:r w:rsidR="005E7F9D" w:rsidRPr="002724C5">
        <w:rPr>
          <w:rFonts w:ascii="Open Sans" w:hAnsi="Open Sans" w:cs="Open Sans"/>
          <w:i/>
          <w:iCs/>
          <w:sz w:val="20"/>
          <w:szCs w:val="20"/>
        </w:rPr>
        <w:t>consultation</w:t>
      </w:r>
      <w:r w:rsidR="003F7257" w:rsidRPr="002724C5">
        <w:rPr>
          <w:rFonts w:ascii="Open Sans" w:hAnsi="Open Sans" w:cs="Open Sans"/>
          <w:i/>
          <w:iCs/>
          <w:sz w:val="20"/>
          <w:szCs w:val="20"/>
        </w:rPr>
        <w:t xml:space="preserve"> response</w:t>
      </w:r>
      <w:r w:rsidR="003F7257" w:rsidRPr="00517675">
        <w:rPr>
          <w:rFonts w:ascii="Open Sans" w:hAnsi="Open Sans" w:cs="Open Sans"/>
          <w:sz w:val="20"/>
          <w:szCs w:val="20"/>
        </w:rPr>
        <w:t xml:space="preserve">). </w:t>
      </w:r>
    </w:p>
    <w:p w14:paraId="73604C98" w14:textId="4C4B5BD9" w:rsidR="00694539" w:rsidRPr="00517675" w:rsidRDefault="002724C5" w:rsidP="002714A0">
      <w:pPr>
        <w:rPr>
          <w:rFonts w:ascii="Open Sans" w:hAnsi="Open Sans" w:cs="Open Sans"/>
          <w:sz w:val="20"/>
          <w:szCs w:val="20"/>
        </w:rPr>
      </w:pPr>
      <w:r>
        <w:rPr>
          <w:rFonts w:ascii="Open Sans" w:hAnsi="Open Sans" w:cs="Open Sans"/>
          <w:sz w:val="20"/>
          <w:szCs w:val="20"/>
        </w:rPr>
        <w:t>The c</w:t>
      </w:r>
      <w:r w:rsidR="003F7257" w:rsidRPr="00517675">
        <w:rPr>
          <w:rFonts w:ascii="Open Sans" w:hAnsi="Open Sans" w:cs="Open Sans"/>
          <w:sz w:val="20"/>
          <w:szCs w:val="20"/>
        </w:rPr>
        <w:t xml:space="preserve">ommissioning date definition includes </w:t>
      </w:r>
      <w:r w:rsidR="00345985">
        <w:rPr>
          <w:rFonts w:ascii="Open Sans" w:hAnsi="Open Sans" w:cs="Open Sans"/>
          <w:sz w:val="20"/>
          <w:szCs w:val="20"/>
        </w:rPr>
        <w:t xml:space="preserve">a </w:t>
      </w:r>
      <w:r w:rsidR="003F7257" w:rsidRPr="00517675">
        <w:rPr>
          <w:rFonts w:ascii="Open Sans" w:hAnsi="Open Sans" w:cs="Open Sans"/>
          <w:sz w:val="20"/>
          <w:szCs w:val="20"/>
        </w:rPr>
        <w:t>testing</w:t>
      </w:r>
      <w:r>
        <w:rPr>
          <w:rFonts w:ascii="Open Sans" w:hAnsi="Open Sans" w:cs="Open Sans"/>
          <w:sz w:val="20"/>
          <w:szCs w:val="20"/>
        </w:rPr>
        <w:t xml:space="preserve"> requirement</w:t>
      </w:r>
      <w:r w:rsidR="003F7257" w:rsidRPr="00517675">
        <w:rPr>
          <w:rFonts w:ascii="Open Sans" w:hAnsi="Open Sans" w:cs="Open Sans"/>
          <w:sz w:val="20"/>
          <w:szCs w:val="20"/>
        </w:rPr>
        <w:t xml:space="preserve"> </w:t>
      </w:r>
      <w:r w:rsidR="005E7F9D" w:rsidRPr="00517675">
        <w:rPr>
          <w:rFonts w:ascii="Open Sans" w:hAnsi="Open Sans" w:cs="Open Sans"/>
          <w:sz w:val="20"/>
          <w:szCs w:val="20"/>
        </w:rPr>
        <w:t>for proving commercial operation</w:t>
      </w:r>
      <w:r>
        <w:rPr>
          <w:rFonts w:ascii="Open Sans" w:hAnsi="Open Sans" w:cs="Open Sans"/>
          <w:sz w:val="20"/>
          <w:szCs w:val="20"/>
        </w:rPr>
        <w:t xml:space="preserve">, as </w:t>
      </w:r>
      <w:r w:rsidR="00095060" w:rsidRPr="00517675">
        <w:rPr>
          <w:rFonts w:ascii="Open Sans" w:hAnsi="Open Sans" w:cs="Open Sans"/>
          <w:sz w:val="20"/>
          <w:szCs w:val="20"/>
        </w:rPr>
        <w:t xml:space="preserve">opposed </w:t>
      </w:r>
      <w:r w:rsidR="005E7F9D" w:rsidRPr="00517675">
        <w:rPr>
          <w:rFonts w:ascii="Open Sans" w:hAnsi="Open Sans" w:cs="Open Sans"/>
          <w:sz w:val="20"/>
          <w:szCs w:val="20"/>
        </w:rPr>
        <w:t xml:space="preserve">to </w:t>
      </w:r>
      <w:r w:rsidR="00095060" w:rsidRPr="00517675">
        <w:rPr>
          <w:rFonts w:ascii="Open Sans" w:hAnsi="Open Sans" w:cs="Open Sans"/>
          <w:sz w:val="20"/>
          <w:szCs w:val="20"/>
        </w:rPr>
        <w:t>performance</w:t>
      </w:r>
      <w:r w:rsidR="005E7F9D" w:rsidRPr="00517675">
        <w:rPr>
          <w:rFonts w:ascii="Open Sans" w:hAnsi="Open Sans" w:cs="Open Sans"/>
          <w:sz w:val="20"/>
          <w:szCs w:val="20"/>
        </w:rPr>
        <w:t xml:space="preserve"> testing t</w:t>
      </w:r>
      <w:r w:rsidR="00095060" w:rsidRPr="00517675">
        <w:rPr>
          <w:rFonts w:ascii="Open Sans" w:hAnsi="Open Sans" w:cs="Open Sans"/>
          <w:sz w:val="20"/>
          <w:szCs w:val="20"/>
        </w:rPr>
        <w:t>o</w:t>
      </w:r>
      <w:r w:rsidR="005E7F9D" w:rsidRPr="00517675">
        <w:rPr>
          <w:rFonts w:ascii="Open Sans" w:hAnsi="Open Sans" w:cs="Open Sans"/>
          <w:sz w:val="20"/>
          <w:szCs w:val="20"/>
        </w:rPr>
        <w:t xml:space="preserve"> a significantly high % for a period time</w:t>
      </w:r>
      <w:r w:rsidR="0063578C" w:rsidRPr="00517675">
        <w:rPr>
          <w:rFonts w:ascii="Open Sans" w:hAnsi="Open Sans" w:cs="Open Sans"/>
          <w:sz w:val="20"/>
          <w:szCs w:val="20"/>
        </w:rPr>
        <w:t xml:space="preserve"> which will be </w:t>
      </w:r>
      <w:r w:rsidR="00EB7BA9" w:rsidRPr="00517675">
        <w:rPr>
          <w:rFonts w:ascii="Open Sans" w:hAnsi="Open Sans" w:cs="Open Sans"/>
          <w:sz w:val="20"/>
          <w:szCs w:val="20"/>
        </w:rPr>
        <w:t>problematic</w:t>
      </w:r>
      <w:r w:rsidR="0063578C" w:rsidRPr="00517675">
        <w:rPr>
          <w:rFonts w:ascii="Open Sans" w:hAnsi="Open Sans" w:cs="Open Sans"/>
          <w:sz w:val="20"/>
          <w:szCs w:val="20"/>
        </w:rPr>
        <w:t xml:space="preserve"> for </w:t>
      </w:r>
      <w:r w:rsidR="00EB7BA9" w:rsidRPr="00517675">
        <w:rPr>
          <w:rFonts w:ascii="Open Sans" w:hAnsi="Open Sans" w:cs="Open Sans"/>
          <w:sz w:val="20"/>
          <w:szCs w:val="20"/>
        </w:rPr>
        <w:t xml:space="preserve">projects. </w:t>
      </w:r>
      <w:r w:rsidR="00345985">
        <w:rPr>
          <w:rFonts w:ascii="Open Sans" w:hAnsi="Open Sans" w:cs="Open Sans"/>
          <w:sz w:val="20"/>
          <w:szCs w:val="20"/>
        </w:rPr>
        <w:t>So,</w:t>
      </w:r>
      <w:r>
        <w:rPr>
          <w:rFonts w:ascii="Open Sans" w:hAnsi="Open Sans" w:cs="Open Sans"/>
          <w:sz w:val="20"/>
          <w:szCs w:val="20"/>
        </w:rPr>
        <w:t xml:space="preserve"> there is </w:t>
      </w:r>
      <w:r w:rsidR="00EF6E8A">
        <w:rPr>
          <w:rFonts w:ascii="Open Sans" w:hAnsi="Open Sans" w:cs="Open Sans"/>
          <w:sz w:val="20"/>
          <w:szCs w:val="20"/>
        </w:rPr>
        <w:t>support</w:t>
      </w:r>
      <w:r>
        <w:rPr>
          <w:rFonts w:ascii="Open Sans" w:hAnsi="Open Sans" w:cs="Open Sans"/>
          <w:sz w:val="20"/>
          <w:szCs w:val="20"/>
        </w:rPr>
        <w:t xml:space="preserve"> for </w:t>
      </w:r>
      <w:r w:rsidR="001236CB" w:rsidRPr="00517675">
        <w:rPr>
          <w:rFonts w:ascii="Open Sans" w:hAnsi="Open Sans" w:cs="Open Sans"/>
          <w:sz w:val="20"/>
          <w:szCs w:val="20"/>
        </w:rPr>
        <w:t xml:space="preserve">delivery years </w:t>
      </w:r>
      <w:r w:rsidR="00EF6E8A">
        <w:rPr>
          <w:rFonts w:ascii="Open Sans" w:hAnsi="Open Sans" w:cs="Open Sans"/>
          <w:sz w:val="20"/>
          <w:szCs w:val="20"/>
        </w:rPr>
        <w:t xml:space="preserve">as it works successfully in other </w:t>
      </w:r>
      <w:r w:rsidR="00200035">
        <w:rPr>
          <w:rFonts w:ascii="Open Sans" w:hAnsi="Open Sans" w:cs="Open Sans"/>
          <w:sz w:val="20"/>
          <w:szCs w:val="20"/>
        </w:rPr>
        <w:t>systems,</w:t>
      </w:r>
      <w:r w:rsidR="00EF6E8A">
        <w:rPr>
          <w:rFonts w:ascii="Open Sans" w:hAnsi="Open Sans" w:cs="Open Sans"/>
          <w:sz w:val="20"/>
          <w:szCs w:val="20"/>
        </w:rPr>
        <w:t xml:space="preserve"> </w:t>
      </w:r>
      <w:r w:rsidR="001236CB" w:rsidRPr="00517675">
        <w:rPr>
          <w:rFonts w:ascii="Open Sans" w:hAnsi="Open Sans" w:cs="Open Sans"/>
          <w:sz w:val="20"/>
          <w:szCs w:val="20"/>
        </w:rPr>
        <w:t xml:space="preserve">but performance testing criteria will put unnecessary pressure on projects. </w:t>
      </w:r>
    </w:p>
    <w:p w14:paraId="1C2534A7" w14:textId="070F5C9B" w:rsidR="00694539" w:rsidRPr="00517675" w:rsidRDefault="00694539" w:rsidP="002714A0">
      <w:pPr>
        <w:rPr>
          <w:rFonts w:ascii="Open Sans" w:hAnsi="Open Sans" w:cs="Open Sans"/>
          <w:b/>
          <w:bCs/>
          <w:sz w:val="20"/>
          <w:szCs w:val="20"/>
        </w:rPr>
      </w:pPr>
      <w:r w:rsidRPr="00517675">
        <w:rPr>
          <w:rFonts w:ascii="Open Sans" w:hAnsi="Open Sans" w:cs="Open Sans"/>
          <w:b/>
          <w:bCs/>
          <w:sz w:val="20"/>
          <w:szCs w:val="20"/>
        </w:rPr>
        <w:t>21. For HAR1, there was a minimum size eligibility threshold for projects of 5MW. Do you think this threshold should increase for allocation rounds launching from the mid-20s, and if so, to what value? Should the same threshold apply to all non-CCUS enabled production technologies? Please use evidence to support your answers.</w:t>
      </w:r>
    </w:p>
    <w:p w14:paraId="7D5E23AC" w14:textId="1CD33FD7" w:rsidR="00B70E14" w:rsidRDefault="003D67D4" w:rsidP="002E15D0">
      <w:pPr>
        <w:rPr>
          <w:rFonts w:ascii="Open Sans" w:hAnsi="Open Sans" w:cs="Open Sans"/>
          <w:sz w:val="20"/>
          <w:szCs w:val="20"/>
        </w:rPr>
      </w:pPr>
      <w:r w:rsidRPr="00351B3C">
        <w:rPr>
          <w:rFonts w:ascii="Open Sans" w:hAnsi="Open Sans" w:cs="Open Sans"/>
          <w:sz w:val="20"/>
          <w:szCs w:val="20"/>
        </w:rPr>
        <w:t>A</w:t>
      </w:r>
      <w:r>
        <w:rPr>
          <w:rFonts w:ascii="Open Sans" w:hAnsi="Open Sans" w:cs="Open Sans"/>
          <w:sz w:val="20"/>
          <w:szCs w:val="20"/>
        </w:rPr>
        <w:t>s mentioned in the</w:t>
      </w:r>
      <w:r w:rsidR="004423CA">
        <w:rPr>
          <w:rFonts w:ascii="Open Sans" w:hAnsi="Open Sans" w:cs="Open Sans"/>
          <w:sz w:val="20"/>
          <w:szCs w:val="20"/>
        </w:rPr>
        <w:t xml:space="preserve"> </w:t>
      </w:r>
      <w:r>
        <w:rPr>
          <w:rFonts w:ascii="Open Sans" w:hAnsi="Open Sans" w:cs="Open Sans"/>
          <w:sz w:val="20"/>
          <w:szCs w:val="20"/>
        </w:rPr>
        <w:t>response to qu</w:t>
      </w:r>
      <w:r w:rsidR="004423CA">
        <w:rPr>
          <w:rFonts w:ascii="Open Sans" w:hAnsi="Open Sans" w:cs="Open Sans"/>
          <w:sz w:val="20"/>
          <w:szCs w:val="20"/>
        </w:rPr>
        <w:t>estion 1, the objective `</w:t>
      </w:r>
      <w:r w:rsidRPr="00351B3C">
        <w:rPr>
          <w:rFonts w:ascii="Open Sans" w:hAnsi="Open Sans" w:cs="Open Sans"/>
          <w:sz w:val="20"/>
          <w:szCs w:val="20"/>
        </w:rPr>
        <w:t>deployment at scale</w:t>
      </w:r>
      <w:r w:rsidR="004423CA">
        <w:rPr>
          <w:rFonts w:ascii="Open Sans" w:hAnsi="Open Sans" w:cs="Open Sans"/>
          <w:sz w:val="20"/>
          <w:szCs w:val="20"/>
        </w:rPr>
        <w:t>`</w:t>
      </w:r>
      <w:r w:rsidRPr="00351B3C">
        <w:rPr>
          <w:rFonts w:ascii="Open Sans" w:hAnsi="Open Sans" w:cs="Open Sans"/>
          <w:sz w:val="20"/>
          <w:szCs w:val="20"/>
        </w:rPr>
        <w:t xml:space="preserve"> </w:t>
      </w:r>
      <w:r>
        <w:rPr>
          <w:rFonts w:ascii="Open Sans" w:hAnsi="Open Sans" w:cs="Open Sans"/>
          <w:sz w:val="20"/>
          <w:szCs w:val="20"/>
        </w:rPr>
        <w:t>is</w:t>
      </w:r>
      <w:r w:rsidRPr="00351B3C">
        <w:rPr>
          <w:rFonts w:ascii="Open Sans" w:hAnsi="Open Sans" w:cs="Open Sans"/>
          <w:sz w:val="20"/>
          <w:szCs w:val="20"/>
        </w:rPr>
        <w:t xml:space="preserve"> focussed on scaling up specific projects </w:t>
      </w:r>
      <w:r>
        <w:rPr>
          <w:rFonts w:ascii="Open Sans" w:hAnsi="Open Sans" w:cs="Open Sans"/>
          <w:sz w:val="20"/>
          <w:szCs w:val="20"/>
        </w:rPr>
        <w:t xml:space="preserve">(larger individual projects) </w:t>
      </w:r>
      <w:r w:rsidRPr="00351B3C">
        <w:rPr>
          <w:rFonts w:ascii="Open Sans" w:hAnsi="Open Sans" w:cs="Open Sans"/>
          <w:sz w:val="20"/>
          <w:szCs w:val="20"/>
        </w:rPr>
        <w:t xml:space="preserve">rather than providing a scaleup on the number of projects. </w:t>
      </w:r>
      <w:r>
        <w:rPr>
          <w:rFonts w:ascii="Open Sans" w:hAnsi="Open Sans" w:cs="Open Sans"/>
          <w:sz w:val="20"/>
          <w:szCs w:val="20"/>
        </w:rPr>
        <w:t xml:space="preserve">We agree </w:t>
      </w:r>
      <w:r w:rsidRPr="00351B3C">
        <w:rPr>
          <w:rFonts w:ascii="Open Sans" w:hAnsi="Open Sans" w:cs="Open Sans"/>
          <w:sz w:val="20"/>
          <w:szCs w:val="20"/>
        </w:rPr>
        <w:t xml:space="preserve">this would </w:t>
      </w:r>
      <w:r>
        <w:rPr>
          <w:rFonts w:ascii="Open Sans" w:hAnsi="Open Sans" w:cs="Open Sans"/>
          <w:sz w:val="20"/>
          <w:szCs w:val="20"/>
        </w:rPr>
        <w:t xml:space="preserve">help </w:t>
      </w:r>
      <w:r w:rsidRPr="00351B3C">
        <w:rPr>
          <w:rFonts w:ascii="Open Sans" w:hAnsi="Open Sans" w:cs="Open Sans"/>
          <w:sz w:val="20"/>
          <w:szCs w:val="20"/>
        </w:rPr>
        <w:t>achiev</w:t>
      </w:r>
      <w:r>
        <w:rPr>
          <w:rFonts w:ascii="Open Sans" w:hAnsi="Open Sans" w:cs="Open Sans"/>
          <w:sz w:val="20"/>
          <w:szCs w:val="20"/>
        </w:rPr>
        <w:t>e</w:t>
      </w:r>
      <w:r w:rsidRPr="00351B3C">
        <w:rPr>
          <w:rFonts w:ascii="Open Sans" w:hAnsi="Open Sans" w:cs="Open Sans"/>
          <w:sz w:val="20"/>
          <w:szCs w:val="20"/>
        </w:rPr>
        <w:t xml:space="preserve"> the </w:t>
      </w:r>
      <w:r>
        <w:rPr>
          <w:rFonts w:ascii="Open Sans" w:hAnsi="Open Sans" w:cs="Open Sans"/>
          <w:sz w:val="20"/>
          <w:szCs w:val="20"/>
        </w:rPr>
        <w:t xml:space="preserve">10GW target of low carbon hydrogen by 2030 </w:t>
      </w:r>
      <w:r w:rsidRPr="00351B3C">
        <w:rPr>
          <w:rFonts w:ascii="Open Sans" w:hAnsi="Open Sans" w:cs="Open Sans"/>
          <w:sz w:val="20"/>
          <w:szCs w:val="20"/>
        </w:rPr>
        <w:t xml:space="preserve">target but may not be possible to get a quick and guaranteed roll out. </w:t>
      </w:r>
      <w:r w:rsidR="005D70DC">
        <w:rPr>
          <w:rFonts w:ascii="Open Sans" w:hAnsi="Open Sans" w:cs="Open Sans"/>
          <w:sz w:val="20"/>
          <w:szCs w:val="20"/>
        </w:rPr>
        <w:t>The hy</w:t>
      </w:r>
      <w:r w:rsidRPr="00351B3C">
        <w:rPr>
          <w:rFonts w:ascii="Open Sans" w:hAnsi="Open Sans" w:cs="Open Sans"/>
          <w:sz w:val="20"/>
          <w:szCs w:val="20"/>
        </w:rPr>
        <w:t xml:space="preserve">drogen </w:t>
      </w:r>
      <w:r w:rsidR="005D70DC">
        <w:rPr>
          <w:rFonts w:ascii="Open Sans" w:hAnsi="Open Sans" w:cs="Open Sans"/>
          <w:sz w:val="20"/>
          <w:szCs w:val="20"/>
        </w:rPr>
        <w:t xml:space="preserve">market may need </w:t>
      </w:r>
      <w:r w:rsidR="00DF7ADF">
        <w:rPr>
          <w:rFonts w:ascii="Open Sans" w:hAnsi="Open Sans" w:cs="Open Sans"/>
          <w:sz w:val="20"/>
          <w:szCs w:val="20"/>
        </w:rPr>
        <w:t>time</w:t>
      </w:r>
      <w:r w:rsidRPr="00351B3C">
        <w:rPr>
          <w:rFonts w:ascii="Open Sans" w:hAnsi="Open Sans" w:cs="Open Sans"/>
          <w:sz w:val="20"/>
          <w:szCs w:val="20"/>
        </w:rPr>
        <w:t xml:space="preserve"> for the whole system to grow more naturally. </w:t>
      </w:r>
      <w:r w:rsidR="00DF7ADF">
        <w:rPr>
          <w:rFonts w:ascii="Open Sans" w:hAnsi="Open Sans" w:cs="Open Sans"/>
          <w:sz w:val="20"/>
          <w:szCs w:val="20"/>
        </w:rPr>
        <w:t>As has been the case in other industries, b</w:t>
      </w:r>
      <w:r w:rsidR="00851D3E" w:rsidRPr="00517675">
        <w:rPr>
          <w:rFonts w:ascii="Open Sans" w:hAnsi="Open Sans" w:cs="Open Sans"/>
          <w:sz w:val="20"/>
          <w:szCs w:val="20"/>
        </w:rPr>
        <w:t xml:space="preserve">igger </w:t>
      </w:r>
      <w:r w:rsidR="00DF7ADF">
        <w:rPr>
          <w:rFonts w:ascii="Open Sans" w:hAnsi="Open Sans" w:cs="Open Sans"/>
          <w:sz w:val="20"/>
          <w:szCs w:val="20"/>
        </w:rPr>
        <w:t xml:space="preserve">is </w:t>
      </w:r>
      <w:r w:rsidR="00851D3E" w:rsidRPr="00517675">
        <w:rPr>
          <w:rFonts w:ascii="Open Sans" w:hAnsi="Open Sans" w:cs="Open Sans"/>
          <w:sz w:val="20"/>
          <w:szCs w:val="20"/>
        </w:rPr>
        <w:t xml:space="preserve">not </w:t>
      </w:r>
      <w:r w:rsidR="00DF7ADF">
        <w:rPr>
          <w:rFonts w:ascii="Open Sans" w:hAnsi="Open Sans" w:cs="Open Sans"/>
          <w:sz w:val="20"/>
          <w:szCs w:val="20"/>
        </w:rPr>
        <w:t xml:space="preserve">always </w:t>
      </w:r>
      <w:r w:rsidR="00851D3E" w:rsidRPr="00517675">
        <w:rPr>
          <w:rFonts w:ascii="Open Sans" w:hAnsi="Open Sans" w:cs="Open Sans"/>
          <w:sz w:val="20"/>
          <w:szCs w:val="20"/>
        </w:rPr>
        <w:t>better</w:t>
      </w:r>
      <w:r w:rsidR="00DF7ADF">
        <w:rPr>
          <w:rFonts w:ascii="Open Sans" w:hAnsi="Open Sans" w:cs="Open Sans"/>
          <w:sz w:val="20"/>
          <w:szCs w:val="20"/>
        </w:rPr>
        <w:t xml:space="preserve"> and although there may be a be</w:t>
      </w:r>
      <w:r w:rsidR="00943BF4">
        <w:rPr>
          <w:rFonts w:ascii="Open Sans" w:hAnsi="Open Sans" w:cs="Open Sans"/>
          <w:sz w:val="20"/>
          <w:szCs w:val="20"/>
        </w:rPr>
        <w:t>n</w:t>
      </w:r>
      <w:r w:rsidR="00DF7ADF">
        <w:rPr>
          <w:rFonts w:ascii="Open Sans" w:hAnsi="Open Sans" w:cs="Open Sans"/>
          <w:sz w:val="20"/>
          <w:szCs w:val="20"/>
        </w:rPr>
        <w:t>efit to providing</w:t>
      </w:r>
      <w:r w:rsidR="00943BF4">
        <w:rPr>
          <w:rFonts w:ascii="Open Sans" w:hAnsi="Open Sans" w:cs="Open Sans"/>
          <w:sz w:val="20"/>
          <w:szCs w:val="20"/>
        </w:rPr>
        <w:t xml:space="preserve"> less projects </w:t>
      </w:r>
      <w:r w:rsidR="00B95C74">
        <w:rPr>
          <w:rFonts w:ascii="Open Sans" w:hAnsi="Open Sans" w:cs="Open Sans"/>
          <w:sz w:val="20"/>
          <w:szCs w:val="20"/>
        </w:rPr>
        <w:t>allocation to</w:t>
      </w:r>
      <w:r w:rsidR="00AA03D9">
        <w:rPr>
          <w:rFonts w:ascii="Open Sans" w:hAnsi="Open Sans" w:cs="Open Sans"/>
          <w:sz w:val="20"/>
          <w:szCs w:val="20"/>
        </w:rPr>
        <w:t xml:space="preserve"> achieve the target</w:t>
      </w:r>
      <w:r w:rsidR="00C85ABF">
        <w:rPr>
          <w:rFonts w:ascii="Open Sans" w:hAnsi="Open Sans" w:cs="Open Sans"/>
          <w:sz w:val="20"/>
          <w:szCs w:val="20"/>
        </w:rPr>
        <w:t>,</w:t>
      </w:r>
      <w:r w:rsidR="00AA03D9">
        <w:rPr>
          <w:rFonts w:ascii="Open Sans" w:hAnsi="Open Sans" w:cs="Open Sans"/>
          <w:sz w:val="20"/>
          <w:szCs w:val="20"/>
        </w:rPr>
        <w:t xml:space="preserve"> the scale up doesn’t necessarily mean a </w:t>
      </w:r>
      <w:r w:rsidR="00B70E14">
        <w:rPr>
          <w:rFonts w:ascii="Open Sans" w:hAnsi="Open Sans" w:cs="Open Sans"/>
          <w:sz w:val="20"/>
          <w:szCs w:val="20"/>
        </w:rPr>
        <w:t>proportionate</w:t>
      </w:r>
      <w:r w:rsidR="00AA03D9">
        <w:rPr>
          <w:rFonts w:ascii="Open Sans" w:hAnsi="Open Sans" w:cs="Open Sans"/>
          <w:sz w:val="20"/>
          <w:szCs w:val="20"/>
        </w:rPr>
        <w:t xml:space="preserve"> increase in hydrogen production</w:t>
      </w:r>
      <w:r w:rsidR="00851D3E" w:rsidRPr="00517675">
        <w:rPr>
          <w:rFonts w:ascii="Open Sans" w:hAnsi="Open Sans" w:cs="Open Sans"/>
          <w:sz w:val="20"/>
          <w:szCs w:val="20"/>
        </w:rPr>
        <w:t>.</w:t>
      </w:r>
      <w:r w:rsidR="00C126C1">
        <w:rPr>
          <w:rFonts w:ascii="Open Sans" w:hAnsi="Open Sans" w:cs="Open Sans"/>
          <w:sz w:val="20"/>
          <w:szCs w:val="20"/>
        </w:rPr>
        <w:t xml:space="preserve"> </w:t>
      </w:r>
      <w:r w:rsidR="00C85ABF">
        <w:rPr>
          <w:rFonts w:ascii="Open Sans" w:hAnsi="Open Sans" w:cs="Open Sans"/>
          <w:sz w:val="20"/>
          <w:szCs w:val="20"/>
        </w:rPr>
        <w:t>Also,</w:t>
      </w:r>
      <w:r w:rsidR="00C126C1">
        <w:rPr>
          <w:rFonts w:ascii="Open Sans" w:hAnsi="Open Sans" w:cs="Open Sans"/>
          <w:sz w:val="20"/>
          <w:szCs w:val="20"/>
        </w:rPr>
        <w:t xml:space="preserve"> downtime can be far more </w:t>
      </w:r>
      <w:r w:rsidR="00B70E14">
        <w:rPr>
          <w:rFonts w:ascii="Open Sans" w:hAnsi="Open Sans" w:cs="Open Sans"/>
          <w:sz w:val="20"/>
          <w:szCs w:val="20"/>
        </w:rPr>
        <w:t>costly</w:t>
      </w:r>
      <w:r w:rsidR="00C126C1">
        <w:rPr>
          <w:rFonts w:ascii="Open Sans" w:hAnsi="Open Sans" w:cs="Open Sans"/>
          <w:sz w:val="20"/>
          <w:szCs w:val="20"/>
        </w:rPr>
        <w:t xml:space="preserve"> </w:t>
      </w:r>
      <w:r w:rsidR="00C85ABF">
        <w:rPr>
          <w:rFonts w:ascii="Open Sans" w:hAnsi="Open Sans" w:cs="Open Sans"/>
          <w:sz w:val="20"/>
          <w:szCs w:val="20"/>
        </w:rPr>
        <w:t xml:space="preserve">and </w:t>
      </w:r>
      <w:r w:rsidR="0098210F">
        <w:rPr>
          <w:rFonts w:ascii="Open Sans" w:hAnsi="Open Sans" w:cs="Open Sans"/>
          <w:sz w:val="20"/>
          <w:szCs w:val="20"/>
        </w:rPr>
        <w:t>detrimental</w:t>
      </w:r>
      <w:r w:rsidR="00C85ABF">
        <w:rPr>
          <w:rFonts w:ascii="Open Sans" w:hAnsi="Open Sans" w:cs="Open Sans"/>
          <w:sz w:val="20"/>
          <w:szCs w:val="20"/>
        </w:rPr>
        <w:t xml:space="preserve"> to off tak</w:t>
      </w:r>
      <w:r w:rsidR="0098210F">
        <w:rPr>
          <w:rFonts w:ascii="Open Sans" w:hAnsi="Open Sans" w:cs="Open Sans"/>
          <w:sz w:val="20"/>
          <w:szCs w:val="20"/>
        </w:rPr>
        <w:t xml:space="preserve">e demand, </w:t>
      </w:r>
      <w:r w:rsidR="00C126C1">
        <w:rPr>
          <w:rFonts w:ascii="Open Sans" w:hAnsi="Open Sans" w:cs="Open Sans"/>
          <w:sz w:val="20"/>
          <w:szCs w:val="20"/>
        </w:rPr>
        <w:t>rathe</w:t>
      </w:r>
      <w:r w:rsidR="00C85ABF">
        <w:rPr>
          <w:rFonts w:ascii="Open Sans" w:hAnsi="Open Sans" w:cs="Open Sans"/>
          <w:sz w:val="20"/>
          <w:szCs w:val="20"/>
        </w:rPr>
        <w:t>r</w:t>
      </w:r>
      <w:r w:rsidR="00C126C1">
        <w:rPr>
          <w:rFonts w:ascii="Open Sans" w:hAnsi="Open Sans" w:cs="Open Sans"/>
          <w:sz w:val="20"/>
          <w:szCs w:val="20"/>
        </w:rPr>
        <w:t xml:space="preserve"> </w:t>
      </w:r>
      <w:r w:rsidR="00B70E14">
        <w:rPr>
          <w:rFonts w:ascii="Open Sans" w:hAnsi="Open Sans" w:cs="Open Sans"/>
          <w:sz w:val="20"/>
          <w:szCs w:val="20"/>
        </w:rPr>
        <w:t>than</w:t>
      </w:r>
      <w:r w:rsidR="00C126C1">
        <w:rPr>
          <w:rFonts w:ascii="Open Sans" w:hAnsi="Open Sans" w:cs="Open Sans"/>
          <w:sz w:val="20"/>
          <w:szCs w:val="20"/>
        </w:rPr>
        <w:t xml:space="preserve"> the </w:t>
      </w:r>
      <w:r w:rsidR="00B70E14">
        <w:rPr>
          <w:rFonts w:ascii="Open Sans" w:hAnsi="Open Sans" w:cs="Open Sans"/>
          <w:sz w:val="20"/>
          <w:szCs w:val="20"/>
        </w:rPr>
        <w:t>impact</w:t>
      </w:r>
      <w:r w:rsidR="00C126C1">
        <w:rPr>
          <w:rFonts w:ascii="Open Sans" w:hAnsi="Open Sans" w:cs="Open Sans"/>
          <w:sz w:val="20"/>
          <w:szCs w:val="20"/>
        </w:rPr>
        <w:t xml:space="preserve"> from several smaller sized projects. </w:t>
      </w:r>
      <w:r w:rsidR="001D062B">
        <w:rPr>
          <w:rFonts w:ascii="Open Sans" w:hAnsi="Open Sans" w:cs="Open Sans"/>
          <w:sz w:val="20"/>
          <w:szCs w:val="20"/>
        </w:rPr>
        <w:t xml:space="preserve">This is the case for options such as hydrogen to power and </w:t>
      </w:r>
      <w:r w:rsidR="008D71B2">
        <w:rPr>
          <w:rFonts w:ascii="Open Sans" w:hAnsi="Open Sans" w:cs="Open Sans"/>
          <w:sz w:val="20"/>
          <w:szCs w:val="20"/>
        </w:rPr>
        <w:t>curtailment avoidance as</w:t>
      </w:r>
      <w:r w:rsidR="00B70E14">
        <w:rPr>
          <w:rFonts w:ascii="Open Sans" w:hAnsi="Open Sans" w:cs="Open Sans"/>
          <w:sz w:val="20"/>
          <w:szCs w:val="20"/>
        </w:rPr>
        <w:t xml:space="preserve"> </w:t>
      </w:r>
      <w:r w:rsidR="008D71B2">
        <w:rPr>
          <w:rFonts w:ascii="Open Sans" w:hAnsi="Open Sans" w:cs="Open Sans"/>
          <w:sz w:val="20"/>
          <w:szCs w:val="20"/>
        </w:rPr>
        <w:t>often the s</w:t>
      </w:r>
      <w:r w:rsidR="0098210F">
        <w:rPr>
          <w:rFonts w:ascii="Open Sans" w:hAnsi="Open Sans" w:cs="Open Sans"/>
          <w:sz w:val="20"/>
          <w:szCs w:val="20"/>
        </w:rPr>
        <w:t>ize</w:t>
      </w:r>
      <w:r w:rsidR="008D71B2">
        <w:rPr>
          <w:rFonts w:ascii="Open Sans" w:hAnsi="Open Sans" w:cs="Open Sans"/>
          <w:sz w:val="20"/>
          <w:szCs w:val="20"/>
        </w:rPr>
        <w:t xml:space="preserve"> of electrolysers needs to be small</w:t>
      </w:r>
      <w:r w:rsidR="00B70E14">
        <w:rPr>
          <w:rFonts w:ascii="Open Sans" w:hAnsi="Open Sans" w:cs="Open Sans"/>
          <w:sz w:val="20"/>
          <w:szCs w:val="20"/>
        </w:rPr>
        <w:t xml:space="preserve"> scale to be appropriate and successful. </w:t>
      </w:r>
      <w:r w:rsidR="001D062B">
        <w:rPr>
          <w:rFonts w:ascii="Open Sans" w:hAnsi="Open Sans" w:cs="Open Sans"/>
          <w:sz w:val="20"/>
          <w:szCs w:val="20"/>
        </w:rPr>
        <w:t xml:space="preserve"> </w:t>
      </w:r>
      <w:r w:rsidR="00851D3E" w:rsidRPr="00517675">
        <w:rPr>
          <w:rFonts w:ascii="Open Sans" w:hAnsi="Open Sans" w:cs="Open Sans"/>
          <w:sz w:val="20"/>
          <w:szCs w:val="20"/>
        </w:rPr>
        <w:t xml:space="preserve"> </w:t>
      </w:r>
    </w:p>
    <w:p w14:paraId="3AC4E463" w14:textId="26A8F5EC" w:rsidR="00D30101" w:rsidRPr="00517675" w:rsidRDefault="00593951" w:rsidP="002E15D0">
      <w:pPr>
        <w:rPr>
          <w:rFonts w:ascii="Open Sans" w:hAnsi="Open Sans" w:cs="Open Sans"/>
          <w:sz w:val="20"/>
          <w:szCs w:val="20"/>
        </w:rPr>
      </w:pPr>
      <w:r>
        <w:rPr>
          <w:rFonts w:ascii="Open Sans" w:hAnsi="Open Sans" w:cs="Open Sans"/>
          <w:sz w:val="20"/>
          <w:szCs w:val="20"/>
        </w:rPr>
        <w:t xml:space="preserve">In </w:t>
      </w:r>
      <w:r w:rsidR="00396945">
        <w:rPr>
          <w:rFonts w:ascii="Open Sans" w:hAnsi="Open Sans" w:cs="Open Sans"/>
          <w:sz w:val="20"/>
          <w:szCs w:val="20"/>
        </w:rPr>
        <w:t>contrary</w:t>
      </w:r>
      <w:r>
        <w:rPr>
          <w:rFonts w:ascii="Open Sans" w:hAnsi="Open Sans" w:cs="Open Sans"/>
          <w:sz w:val="20"/>
          <w:szCs w:val="20"/>
        </w:rPr>
        <w:t xml:space="preserve"> to the suggestion that the threshold should increase</w:t>
      </w:r>
      <w:r w:rsidR="0098210F">
        <w:rPr>
          <w:rFonts w:ascii="Open Sans" w:hAnsi="Open Sans" w:cs="Open Sans"/>
          <w:sz w:val="20"/>
          <w:szCs w:val="20"/>
        </w:rPr>
        <w:t>,</w:t>
      </w:r>
      <w:r>
        <w:rPr>
          <w:rFonts w:ascii="Open Sans" w:hAnsi="Open Sans" w:cs="Open Sans"/>
          <w:sz w:val="20"/>
          <w:szCs w:val="20"/>
        </w:rPr>
        <w:t xml:space="preserve"> </w:t>
      </w:r>
      <w:r w:rsidR="00A11E7F">
        <w:rPr>
          <w:rFonts w:ascii="Open Sans" w:hAnsi="Open Sans" w:cs="Open Sans"/>
          <w:sz w:val="20"/>
          <w:szCs w:val="20"/>
        </w:rPr>
        <w:t xml:space="preserve">we </w:t>
      </w:r>
      <w:r w:rsidR="00A37479">
        <w:rPr>
          <w:rFonts w:ascii="Open Sans" w:hAnsi="Open Sans" w:cs="Open Sans"/>
          <w:sz w:val="20"/>
          <w:szCs w:val="20"/>
        </w:rPr>
        <w:t>believe</w:t>
      </w:r>
      <w:r w:rsidR="00A11E7F">
        <w:rPr>
          <w:rFonts w:ascii="Open Sans" w:hAnsi="Open Sans" w:cs="Open Sans"/>
          <w:sz w:val="20"/>
          <w:szCs w:val="20"/>
        </w:rPr>
        <w:t xml:space="preserve"> that the 5MW </w:t>
      </w:r>
      <w:r w:rsidR="00A37479">
        <w:rPr>
          <w:rFonts w:ascii="Open Sans" w:hAnsi="Open Sans" w:cs="Open Sans"/>
          <w:sz w:val="20"/>
          <w:szCs w:val="20"/>
        </w:rPr>
        <w:t xml:space="preserve">is not in itself a </w:t>
      </w:r>
      <w:r w:rsidR="00851D3E" w:rsidRPr="00517675">
        <w:rPr>
          <w:rFonts w:ascii="Open Sans" w:hAnsi="Open Sans" w:cs="Open Sans"/>
          <w:sz w:val="20"/>
          <w:szCs w:val="20"/>
        </w:rPr>
        <w:t xml:space="preserve">good limit </w:t>
      </w:r>
      <w:r w:rsidR="00A37479">
        <w:rPr>
          <w:rFonts w:ascii="Open Sans" w:hAnsi="Open Sans" w:cs="Open Sans"/>
          <w:sz w:val="20"/>
          <w:szCs w:val="20"/>
        </w:rPr>
        <w:t xml:space="preserve">and for some </w:t>
      </w:r>
      <w:r w:rsidR="0036543D">
        <w:rPr>
          <w:rFonts w:ascii="Open Sans" w:hAnsi="Open Sans" w:cs="Open Sans"/>
          <w:sz w:val="20"/>
          <w:szCs w:val="20"/>
        </w:rPr>
        <w:t>industries,</w:t>
      </w:r>
      <w:r w:rsidR="00A37479">
        <w:rPr>
          <w:rFonts w:ascii="Open Sans" w:hAnsi="Open Sans" w:cs="Open Sans"/>
          <w:sz w:val="20"/>
          <w:szCs w:val="20"/>
        </w:rPr>
        <w:t xml:space="preserve"> especially those </w:t>
      </w:r>
      <w:r w:rsidR="00CC4015">
        <w:rPr>
          <w:rFonts w:ascii="Open Sans" w:hAnsi="Open Sans" w:cs="Open Sans"/>
          <w:sz w:val="20"/>
          <w:szCs w:val="20"/>
        </w:rPr>
        <w:t xml:space="preserve">with </w:t>
      </w:r>
      <w:r w:rsidR="00A37479">
        <w:rPr>
          <w:rFonts w:ascii="Open Sans" w:hAnsi="Open Sans" w:cs="Open Sans"/>
          <w:sz w:val="20"/>
          <w:szCs w:val="20"/>
        </w:rPr>
        <w:t xml:space="preserve">alternative hydrogen </w:t>
      </w:r>
      <w:r w:rsidR="00CC4015">
        <w:rPr>
          <w:rFonts w:ascii="Open Sans" w:hAnsi="Open Sans" w:cs="Open Sans"/>
          <w:sz w:val="20"/>
          <w:szCs w:val="20"/>
        </w:rPr>
        <w:t xml:space="preserve">pathways </w:t>
      </w:r>
      <w:r w:rsidR="003E15C8">
        <w:rPr>
          <w:rFonts w:ascii="Open Sans" w:hAnsi="Open Sans" w:cs="Open Sans"/>
          <w:sz w:val="20"/>
          <w:szCs w:val="20"/>
        </w:rPr>
        <w:t xml:space="preserve">technologies, </w:t>
      </w:r>
      <w:r w:rsidR="00CC4015">
        <w:rPr>
          <w:rFonts w:ascii="Open Sans" w:hAnsi="Open Sans" w:cs="Open Sans"/>
          <w:sz w:val="20"/>
          <w:szCs w:val="20"/>
        </w:rPr>
        <w:t>this is already set too high</w:t>
      </w:r>
      <w:r w:rsidR="0036543D">
        <w:rPr>
          <w:rFonts w:ascii="Open Sans" w:hAnsi="Open Sans" w:cs="Open Sans"/>
          <w:sz w:val="20"/>
          <w:szCs w:val="20"/>
        </w:rPr>
        <w:t xml:space="preserve"> so would need to reduce rather than </w:t>
      </w:r>
      <w:r w:rsidR="000C6F02">
        <w:rPr>
          <w:rFonts w:ascii="Open Sans" w:hAnsi="Open Sans" w:cs="Open Sans"/>
          <w:sz w:val="20"/>
          <w:szCs w:val="20"/>
        </w:rPr>
        <w:t>increase</w:t>
      </w:r>
      <w:r w:rsidR="00CC4015">
        <w:rPr>
          <w:rFonts w:ascii="Open Sans" w:hAnsi="Open Sans" w:cs="Open Sans"/>
          <w:sz w:val="20"/>
          <w:szCs w:val="20"/>
        </w:rPr>
        <w:t xml:space="preserve">. </w:t>
      </w:r>
      <w:r w:rsidR="0036543D">
        <w:rPr>
          <w:rFonts w:ascii="Open Sans" w:hAnsi="Open Sans" w:cs="Open Sans"/>
          <w:sz w:val="20"/>
          <w:szCs w:val="20"/>
        </w:rPr>
        <w:t>In the e</w:t>
      </w:r>
      <w:r w:rsidR="00574D54" w:rsidRPr="00517675">
        <w:rPr>
          <w:rFonts w:ascii="Open Sans" w:hAnsi="Open Sans" w:cs="Open Sans"/>
          <w:sz w:val="20"/>
          <w:szCs w:val="20"/>
        </w:rPr>
        <w:t>conomies of scale, small</w:t>
      </w:r>
      <w:r w:rsidR="0036543D">
        <w:rPr>
          <w:rFonts w:ascii="Open Sans" w:hAnsi="Open Sans" w:cs="Open Sans"/>
          <w:sz w:val="20"/>
          <w:szCs w:val="20"/>
        </w:rPr>
        <w:t>er projects</w:t>
      </w:r>
      <w:r w:rsidR="00574D54" w:rsidRPr="00517675">
        <w:rPr>
          <w:rFonts w:ascii="Open Sans" w:hAnsi="Open Sans" w:cs="Open Sans"/>
          <w:sz w:val="20"/>
          <w:szCs w:val="20"/>
        </w:rPr>
        <w:t xml:space="preserve"> should be allowed</w:t>
      </w:r>
      <w:r w:rsidR="003E15C8">
        <w:rPr>
          <w:rFonts w:ascii="Open Sans" w:hAnsi="Open Sans" w:cs="Open Sans"/>
          <w:sz w:val="20"/>
          <w:szCs w:val="20"/>
        </w:rPr>
        <w:t>,</w:t>
      </w:r>
      <w:r w:rsidR="00574D54" w:rsidRPr="00517675">
        <w:rPr>
          <w:rFonts w:ascii="Open Sans" w:hAnsi="Open Sans" w:cs="Open Sans"/>
          <w:sz w:val="20"/>
          <w:szCs w:val="20"/>
        </w:rPr>
        <w:t xml:space="preserve"> as they </w:t>
      </w:r>
      <w:r w:rsidR="003E15C8">
        <w:rPr>
          <w:rFonts w:ascii="Open Sans" w:hAnsi="Open Sans" w:cs="Open Sans"/>
          <w:sz w:val="20"/>
          <w:szCs w:val="20"/>
        </w:rPr>
        <w:t xml:space="preserve">can </w:t>
      </w:r>
      <w:r w:rsidR="00574D54" w:rsidRPr="00517675">
        <w:rPr>
          <w:rFonts w:ascii="Open Sans" w:hAnsi="Open Sans" w:cs="Open Sans"/>
          <w:sz w:val="20"/>
          <w:szCs w:val="20"/>
        </w:rPr>
        <w:t>be more optimally sized for the feedstock or off takers</w:t>
      </w:r>
      <w:r w:rsidR="0036543D">
        <w:rPr>
          <w:rFonts w:ascii="Open Sans" w:hAnsi="Open Sans" w:cs="Open Sans"/>
          <w:sz w:val="20"/>
          <w:szCs w:val="20"/>
        </w:rPr>
        <w:t xml:space="preserve"> and </w:t>
      </w:r>
      <w:r w:rsidR="000C6F02" w:rsidRPr="00F80A09">
        <w:rPr>
          <w:rFonts w:ascii="Open Sans" w:hAnsi="Open Sans" w:cs="Open Sans"/>
          <w:sz w:val="20"/>
          <w:szCs w:val="20"/>
        </w:rPr>
        <w:t>assess</w:t>
      </w:r>
      <w:r w:rsidR="000C6F02">
        <w:rPr>
          <w:rFonts w:ascii="Open Sans" w:hAnsi="Open Sans" w:cs="Open Sans"/>
          <w:sz w:val="20"/>
          <w:szCs w:val="20"/>
        </w:rPr>
        <w:t>ed</w:t>
      </w:r>
      <w:r w:rsidR="000C6F02" w:rsidRPr="00F80A09">
        <w:rPr>
          <w:rFonts w:ascii="Open Sans" w:hAnsi="Open Sans" w:cs="Open Sans"/>
          <w:sz w:val="20"/>
          <w:szCs w:val="20"/>
        </w:rPr>
        <w:t xml:space="preserve"> on social value and carbon emissions balanced. </w:t>
      </w:r>
    </w:p>
    <w:sectPr w:rsidR="00D30101" w:rsidRPr="00517675" w:rsidSect="008F79B2">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9C6C" w14:textId="77777777" w:rsidR="00A50258" w:rsidRDefault="00A50258" w:rsidP="007777AC">
      <w:pPr>
        <w:spacing w:after="0" w:line="240" w:lineRule="auto"/>
      </w:pPr>
      <w:r>
        <w:separator/>
      </w:r>
    </w:p>
  </w:endnote>
  <w:endnote w:type="continuationSeparator" w:id="0">
    <w:p w14:paraId="4FD3220F" w14:textId="77777777" w:rsidR="00A50258" w:rsidRDefault="00A50258" w:rsidP="007777AC">
      <w:pPr>
        <w:spacing w:after="0" w:line="240" w:lineRule="auto"/>
      </w:pPr>
      <w:r>
        <w:continuationSeparator/>
      </w:r>
    </w:p>
  </w:endnote>
  <w:endnote w:type="continuationNotice" w:id="1">
    <w:p w14:paraId="1B122E10" w14:textId="77777777" w:rsidR="00A50258" w:rsidRDefault="00A5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48826"/>
      <w:docPartObj>
        <w:docPartGallery w:val="Page Numbers (Bottom of Page)"/>
        <w:docPartUnique/>
      </w:docPartObj>
    </w:sdtPr>
    <w:sdtEndPr>
      <w:rPr>
        <w:noProof/>
      </w:rPr>
    </w:sdtEndPr>
    <w:sdtContent>
      <w:p w14:paraId="5F7E8D22" w14:textId="3A1C98E2" w:rsidR="00A52EEC" w:rsidRDefault="00A52E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97BE" w14:textId="7BF69B43" w:rsidR="00D61797" w:rsidRDefault="00D61797">
    <w:pPr>
      <w:pStyle w:val="Footer"/>
    </w:pPr>
  </w:p>
  <w:p w14:paraId="4B8C3503" w14:textId="77777777" w:rsidR="00D61797" w:rsidRDefault="00D61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63EF" w14:textId="77777777" w:rsidR="00A50258" w:rsidRDefault="00A50258" w:rsidP="007777AC">
      <w:pPr>
        <w:spacing w:after="0" w:line="240" w:lineRule="auto"/>
      </w:pPr>
      <w:r>
        <w:separator/>
      </w:r>
    </w:p>
  </w:footnote>
  <w:footnote w:type="continuationSeparator" w:id="0">
    <w:p w14:paraId="365DB0A6" w14:textId="77777777" w:rsidR="00A50258" w:rsidRDefault="00A50258" w:rsidP="007777AC">
      <w:pPr>
        <w:spacing w:after="0" w:line="240" w:lineRule="auto"/>
      </w:pPr>
      <w:r>
        <w:continuationSeparator/>
      </w:r>
    </w:p>
  </w:footnote>
  <w:footnote w:type="continuationNotice" w:id="1">
    <w:p w14:paraId="3D1B7104" w14:textId="77777777" w:rsidR="00A50258" w:rsidRDefault="00A5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44D5B3C2" w:rsidR="008F79B2" w:rsidRDefault="002B6F10" w:rsidP="008F79B2">
    <w:pPr>
      <w:pStyle w:val="Header"/>
    </w:pPr>
    <w:r>
      <w:rPr>
        <w:sz w:val="18"/>
        <w:szCs w:val="18"/>
      </w:rPr>
      <w:tab/>
    </w:r>
  </w:p>
  <w:p w14:paraId="2A0CB0DE" w14:textId="28F9B0F7" w:rsidR="008F79B2" w:rsidRPr="00541E87" w:rsidRDefault="00B554E8" w:rsidP="00B554E8">
    <w:pPr>
      <w:jc w:val="center"/>
      <w:rPr>
        <w:rFonts w:ascii="Open Sans" w:hAnsi="Open Sans" w:cs="Open Sans"/>
        <w:b/>
        <w:bCs/>
        <w:color w:val="06926B"/>
        <w:sz w:val="16"/>
        <w:szCs w:val="16"/>
      </w:rPr>
    </w:pPr>
    <w:r w:rsidRPr="00541E87">
      <w:rPr>
        <w:rFonts w:ascii="Open Sans" w:hAnsi="Open Sans" w:cs="Open Sans"/>
        <w:b/>
        <w:bCs/>
        <w:color w:val="06926B"/>
        <w:sz w:val="16"/>
        <w:szCs w:val="16"/>
      </w:rPr>
      <w:t>REA response to DESNZ on Market engagement for the second Hydrogen Allocation Round.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6806" w14:textId="7DE671B9" w:rsidR="008F79B2" w:rsidRPr="00B153D9" w:rsidRDefault="008F79B2" w:rsidP="008F79B2">
    <w:pPr>
      <w:pStyle w:val="Header"/>
      <w:rPr>
        <w:sz w:val="18"/>
        <w:szCs w:val="18"/>
      </w:rPr>
    </w:pPr>
    <w:r>
      <w:rPr>
        <w:noProof/>
      </w:rPr>
      <w:drawing>
        <wp:anchor distT="0" distB="0" distL="114300" distR="114300" simplePos="0" relativeHeight="251658240"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114"/>
    <w:multiLevelType w:val="hybridMultilevel"/>
    <w:tmpl w:val="4B6CDD3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F1D59"/>
    <w:multiLevelType w:val="hybridMultilevel"/>
    <w:tmpl w:val="2A9E74AA"/>
    <w:lvl w:ilvl="0" w:tplc="14902CDA">
      <w:start w:val="1"/>
      <w:numFmt w:val="decimal"/>
      <w:lvlText w:val="%1."/>
      <w:lvlJc w:val="right"/>
      <w:pPr>
        <w:ind w:left="720" w:hanging="360"/>
      </w:pPr>
      <w:rPr>
        <w:rFonts w:ascii="Open Sans" w:eastAsiaTheme="minorHAnsi" w:hAnsi="Open Sans" w:cs="Open Sans"/>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21122"/>
    <w:multiLevelType w:val="hybridMultilevel"/>
    <w:tmpl w:val="0C78C7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901D29"/>
    <w:multiLevelType w:val="hybridMultilevel"/>
    <w:tmpl w:val="EC340E0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1C3836"/>
    <w:multiLevelType w:val="hybridMultilevel"/>
    <w:tmpl w:val="606A2C6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456872"/>
    <w:multiLevelType w:val="hybridMultilevel"/>
    <w:tmpl w:val="4FEC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783F"/>
    <w:multiLevelType w:val="hybridMultilevel"/>
    <w:tmpl w:val="DC8EE34E"/>
    <w:lvl w:ilvl="0" w:tplc="1FBE1810">
      <w:start w:val="1"/>
      <w:numFmt w:val="bullet"/>
      <w:pStyle w:val="FOF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EF7616"/>
    <w:multiLevelType w:val="hybridMultilevel"/>
    <w:tmpl w:val="173C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61589"/>
    <w:multiLevelType w:val="hybridMultilevel"/>
    <w:tmpl w:val="A0742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A5C37"/>
    <w:multiLevelType w:val="hybridMultilevel"/>
    <w:tmpl w:val="C7E4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308C5"/>
    <w:multiLevelType w:val="hybridMultilevel"/>
    <w:tmpl w:val="192A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71AA1"/>
    <w:multiLevelType w:val="hybridMultilevel"/>
    <w:tmpl w:val="A858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76B57"/>
    <w:multiLevelType w:val="hybridMultilevel"/>
    <w:tmpl w:val="A678B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2B5F62"/>
    <w:multiLevelType w:val="hybridMultilevel"/>
    <w:tmpl w:val="0586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2603E"/>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50D61"/>
    <w:multiLevelType w:val="hybridMultilevel"/>
    <w:tmpl w:val="EB3A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26CE4"/>
    <w:multiLevelType w:val="hybridMultilevel"/>
    <w:tmpl w:val="5420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75004"/>
    <w:multiLevelType w:val="hybridMultilevel"/>
    <w:tmpl w:val="CE3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14C6A"/>
    <w:multiLevelType w:val="hybridMultilevel"/>
    <w:tmpl w:val="21AC1DD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662596">
    <w:abstractNumId w:val="14"/>
  </w:num>
  <w:num w:numId="2" w16cid:durableId="1111702369">
    <w:abstractNumId w:val="1"/>
  </w:num>
  <w:num w:numId="3" w16cid:durableId="312028053">
    <w:abstractNumId w:val="9"/>
  </w:num>
  <w:num w:numId="4" w16cid:durableId="1184129943">
    <w:abstractNumId w:val="17"/>
  </w:num>
  <w:num w:numId="5" w16cid:durableId="563415588">
    <w:abstractNumId w:val="8"/>
  </w:num>
  <w:num w:numId="6" w16cid:durableId="953707894">
    <w:abstractNumId w:val="2"/>
  </w:num>
  <w:num w:numId="7" w16cid:durableId="43650381">
    <w:abstractNumId w:val="6"/>
  </w:num>
  <w:num w:numId="8" w16cid:durableId="1847331365">
    <w:abstractNumId w:val="3"/>
    <w:lvlOverride w:ilvl="0">
      <w:startOverride w:val="1"/>
    </w:lvlOverride>
    <w:lvlOverride w:ilvl="1"/>
    <w:lvlOverride w:ilvl="2"/>
    <w:lvlOverride w:ilvl="3"/>
    <w:lvlOverride w:ilvl="4"/>
    <w:lvlOverride w:ilvl="5"/>
    <w:lvlOverride w:ilvl="6"/>
    <w:lvlOverride w:ilvl="7"/>
    <w:lvlOverride w:ilvl="8"/>
  </w:num>
  <w:num w:numId="9" w16cid:durableId="741175342">
    <w:abstractNumId w:val="4"/>
    <w:lvlOverride w:ilvl="0">
      <w:startOverride w:val="1"/>
    </w:lvlOverride>
    <w:lvlOverride w:ilvl="1"/>
    <w:lvlOverride w:ilvl="2"/>
    <w:lvlOverride w:ilvl="3"/>
    <w:lvlOverride w:ilvl="4"/>
    <w:lvlOverride w:ilvl="5"/>
    <w:lvlOverride w:ilvl="6"/>
    <w:lvlOverride w:ilvl="7"/>
    <w:lvlOverride w:ilvl="8"/>
  </w:num>
  <w:num w:numId="10" w16cid:durableId="526410220">
    <w:abstractNumId w:val="13"/>
  </w:num>
  <w:num w:numId="11" w16cid:durableId="1345787326">
    <w:abstractNumId w:val="15"/>
  </w:num>
  <w:num w:numId="12" w16cid:durableId="37244569">
    <w:abstractNumId w:val="3"/>
  </w:num>
  <w:num w:numId="13" w16cid:durableId="1595438445">
    <w:abstractNumId w:val="5"/>
  </w:num>
  <w:num w:numId="14" w16cid:durableId="1390376190">
    <w:abstractNumId w:val="16"/>
  </w:num>
  <w:num w:numId="15" w16cid:durableId="1669362319">
    <w:abstractNumId w:val="7"/>
  </w:num>
  <w:num w:numId="16" w16cid:durableId="428159881">
    <w:abstractNumId w:val="11"/>
  </w:num>
  <w:num w:numId="17" w16cid:durableId="1796176194">
    <w:abstractNumId w:val="10"/>
  </w:num>
  <w:num w:numId="18" w16cid:durableId="1098714186">
    <w:abstractNumId w:val="0"/>
  </w:num>
  <w:num w:numId="19" w16cid:durableId="1664579552">
    <w:abstractNumId w:val="18"/>
  </w:num>
  <w:num w:numId="20" w16cid:durableId="185494985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0F05"/>
    <w:rsid w:val="00001D58"/>
    <w:rsid w:val="00002FA1"/>
    <w:rsid w:val="00003453"/>
    <w:rsid w:val="000040A6"/>
    <w:rsid w:val="00005C2C"/>
    <w:rsid w:val="000077A0"/>
    <w:rsid w:val="0001028A"/>
    <w:rsid w:val="0001066D"/>
    <w:rsid w:val="00011880"/>
    <w:rsid w:val="0001210C"/>
    <w:rsid w:val="0001290B"/>
    <w:rsid w:val="00012C09"/>
    <w:rsid w:val="00013741"/>
    <w:rsid w:val="00013FE7"/>
    <w:rsid w:val="00014B9A"/>
    <w:rsid w:val="00014DF3"/>
    <w:rsid w:val="00017429"/>
    <w:rsid w:val="00017625"/>
    <w:rsid w:val="00017C74"/>
    <w:rsid w:val="00020993"/>
    <w:rsid w:val="00021FB0"/>
    <w:rsid w:val="00024049"/>
    <w:rsid w:val="0002476E"/>
    <w:rsid w:val="00024FEF"/>
    <w:rsid w:val="0002670E"/>
    <w:rsid w:val="00026BB2"/>
    <w:rsid w:val="000274B7"/>
    <w:rsid w:val="00033C3F"/>
    <w:rsid w:val="00036118"/>
    <w:rsid w:val="0003622B"/>
    <w:rsid w:val="00037B2E"/>
    <w:rsid w:val="00037B35"/>
    <w:rsid w:val="00037FD9"/>
    <w:rsid w:val="0004039B"/>
    <w:rsid w:val="00040DF6"/>
    <w:rsid w:val="00044C0F"/>
    <w:rsid w:val="00044F74"/>
    <w:rsid w:val="000514EB"/>
    <w:rsid w:val="0005152E"/>
    <w:rsid w:val="00052062"/>
    <w:rsid w:val="0005341B"/>
    <w:rsid w:val="000564E5"/>
    <w:rsid w:val="000622D2"/>
    <w:rsid w:val="0006325D"/>
    <w:rsid w:val="00063B03"/>
    <w:rsid w:val="0006472B"/>
    <w:rsid w:val="0006498C"/>
    <w:rsid w:val="00067650"/>
    <w:rsid w:val="000717CA"/>
    <w:rsid w:val="00072972"/>
    <w:rsid w:val="00076A5E"/>
    <w:rsid w:val="000773E8"/>
    <w:rsid w:val="00081A4A"/>
    <w:rsid w:val="000835FC"/>
    <w:rsid w:val="000843F0"/>
    <w:rsid w:val="00087312"/>
    <w:rsid w:val="00094501"/>
    <w:rsid w:val="000946D7"/>
    <w:rsid w:val="00095060"/>
    <w:rsid w:val="00095C3D"/>
    <w:rsid w:val="00096FA3"/>
    <w:rsid w:val="00096FE9"/>
    <w:rsid w:val="000976B3"/>
    <w:rsid w:val="000A0A8E"/>
    <w:rsid w:val="000A26F7"/>
    <w:rsid w:val="000A3635"/>
    <w:rsid w:val="000A4300"/>
    <w:rsid w:val="000A44D5"/>
    <w:rsid w:val="000A4A47"/>
    <w:rsid w:val="000A4DB6"/>
    <w:rsid w:val="000A5033"/>
    <w:rsid w:val="000B26CC"/>
    <w:rsid w:val="000B2A51"/>
    <w:rsid w:val="000B36BB"/>
    <w:rsid w:val="000B480D"/>
    <w:rsid w:val="000B4868"/>
    <w:rsid w:val="000B62FF"/>
    <w:rsid w:val="000B71A8"/>
    <w:rsid w:val="000C0655"/>
    <w:rsid w:val="000C534C"/>
    <w:rsid w:val="000C652B"/>
    <w:rsid w:val="000C688C"/>
    <w:rsid w:val="000C6F02"/>
    <w:rsid w:val="000C7291"/>
    <w:rsid w:val="000C7C92"/>
    <w:rsid w:val="000D1D81"/>
    <w:rsid w:val="000D2243"/>
    <w:rsid w:val="000D56D1"/>
    <w:rsid w:val="000D5F16"/>
    <w:rsid w:val="000D6522"/>
    <w:rsid w:val="000D6C42"/>
    <w:rsid w:val="000E02BD"/>
    <w:rsid w:val="000E0D33"/>
    <w:rsid w:val="000E0E70"/>
    <w:rsid w:val="000E14CF"/>
    <w:rsid w:val="000E2AA0"/>
    <w:rsid w:val="000E46CA"/>
    <w:rsid w:val="000E6E0C"/>
    <w:rsid w:val="000F1810"/>
    <w:rsid w:val="000F1981"/>
    <w:rsid w:val="000F2AC3"/>
    <w:rsid w:val="000F678A"/>
    <w:rsid w:val="000F7F8D"/>
    <w:rsid w:val="00102613"/>
    <w:rsid w:val="00102C07"/>
    <w:rsid w:val="00103283"/>
    <w:rsid w:val="00103792"/>
    <w:rsid w:val="0010410A"/>
    <w:rsid w:val="00104749"/>
    <w:rsid w:val="00110148"/>
    <w:rsid w:val="00110E2A"/>
    <w:rsid w:val="00111554"/>
    <w:rsid w:val="00112DFC"/>
    <w:rsid w:val="00113685"/>
    <w:rsid w:val="00120324"/>
    <w:rsid w:val="001209BA"/>
    <w:rsid w:val="001223F0"/>
    <w:rsid w:val="001236CB"/>
    <w:rsid w:val="00125828"/>
    <w:rsid w:val="00126A7E"/>
    <w:rsid w:val="00130158"/>
    <w:rsid w:val="001309D7"/>
    <w:rsid w:val="0013126A"/>
    <w:rsid w:val="001313BC"/>
    <w:rsid w:val="00132F3B"/>
    <w:rsid w:val="00133644"/>
    <w:rsid w:val="00135EC1"/>
    <w:rsid w:val="00136A67"/>
    <w:rsid w:val="00137B6C"/>
    <w:rsid w:val="00140F82"/>
    <w:rsid w:val="00143A81"/>
    <w:rsid w:val="0014461A"/>
    <w:rsid w:val="00150917"/>
    <w:rsid w:val="00151722"/>
    <w:rsid w:val="00151C2E"/>
    <w:rsid w:val="001534A2"/>
    <w:rsid w:val="00153CE5"/>
    <w:rsid w:val="0016204E"/>
    <w:rsid w:val="00162DD0"/>
    <w:rsid w:val="00163D80"/>
    <w:rsid w:val="00164A74"/>
    <w:rsid w:val="001657E6"/>
    <w:rsid w:val="001701F4"/>
    <w:rsid w:val="001725D8"/>
    <w:rsid w:val="001727E3"/>
    <w:rsid w:val="00172EF2"/>
    <w:rsid w:val="00173925"/>
    <w:rsid w:val="00174095"/>
    <w:rsid w:val="001740F2"/>
    <w:rsid w:val="0017475B"/>
    <w:rsid w:val="00174770"/>
    <w:rsid w:val="00175ED6"/>
    <w:rsid w:val="001771C3"/>
    <w:rsid w:val="00177C4A"/>
    <w:rsid w:val="00180640"/>
    <w:rsid w:val="0018092A"/>
    <w:rsid w:val="00181967"/>
    <w:rsid w:val="0018215D"/>
    <w:rsid w:val="00182AD8"/>
    <w:rsid w:val="00183EE7"/>
    <w:rsid w:val="00185F6F"/>
    <w:rsid w:val="00186C18"/>
    <w:rsid w:val="00190A39"/>
    <w:rsid w:val="0019148C"/>
    <w:rsid w:val="00195628"/>
    <w:rsid w:val="00196AF0"/>
    <w:rsid w:val="001A021F"/>
    <w:rsid w:val="001A1C2E"/>
    <w:rsid w:val="001A2E34"/>
    <w:rsid w:val="001A3358"/>
    <w:rsid w:val="001A4BE5"/>
    <w:rsid w:val="001A5BA9"/>
    <w:rsid w:val="001A5D95"/>
    <w:rsid w:val="001B03CA"/>
    <w:rsid w:val="001B0B4D"/>
    <w:rsid w:val="001B1A59"/>
    <w:rsid w:val="001B5B98"/>
    <w:rsid w:val="001B5D2F"/>
    <w:rsid w:val="001B60A1"/>
    <w:rsid w:val="001B6847"/>
    <w:rsid w:val="001B6A0D"/>
    <w:rsid w:val="001B6C0A"/>
    <w:rsid w:val="001B7135"/>
    <w:rsid w:val="001B7B2B"/>
    <w:rsid w:val="001C108B"/>
    <w:rsid w:val="001C126A"/>
    <w:rsid w:val="001C1C75"/>
    <w:rsid w:val="001C22D9"/>
    <w:rsid w:val="001C3035"/>
    <w:rsid w:val="001C44FF"/>
    <w:rsid w:val="001C4CC3"/>
    <w:rsid w:val="001C798E"/>
    <w:rsid w:val="001D062B"/>
    <w:rsid w:val="001D52B3"/>
    <w:rsid w:val="001D5C04"/>
    <w:rsid w:val="001D647B"/>
    <w:rsid w:val="001D6C1A"/>
    <w:rsid w:val="001D7A21"/>
    <w:rsid w:val="001E0449"/>
    <w:rsid w:val="001E1DD1"/>
    <w:rsid w:val="001E2550"/>
    <w:rsid w:val="001E3BEC"/>
    <w:rsid w:val="001E4277"/>
    <w:rsid w:val="001E4D6A"/>
    <w:rsid w:val="001E5702"/>
    <w:rsid w:val="001F2738"/>
    <w:rsid w:val="001F3165"/>
    <w:rsid w:val="001F4956"/>
    <w:rsid w:val="001F58EA"/>
    <w:rsid w:val="001F5E53"/>
    <w:rsid w:val="001F70B4"/>
    <w:rsid w:val="00200035"/>
    <w:rsid w:val="002023AA"/>
    <w:rsid w:val="00204DF3"/>
    <w:rsid w:val="0020578E"/>
    <w:rsid w:val="00206091"/>
    <w:rsid w:val="002066B5"/>
    <w:rsid w:val="0020695E"/>
    <w:rsid w:val="00206B05"/>
    <w:rsid w:val="00206E5E"/>
    <w:rsid w:val="00210636"/>
    <w:rsid w:val="002108B4"/>
    <w:rsid w:val="00211130"/>
    <w:rsid w:val="00212017"/>
    <w:rsid w:val="0021296F"/>
    <w:rsid w:val="0021330A"/>
    <w:rsid w:val="00214647"/>
    <w:rsid w:val="00220257"/>
    <w:rsid w:val="0022350D"/>
    <w:rsid w:val="00223B9F"/>
    <w:rsid w:val="002241FE"/>
    <w:rsid w:val="00226C92"/>
    <w:rsid w:val="00230520"/>
    <w:rsid w:val="00233B55"/>
    <w:rsid w:val="00235F0A"/>
    <w:rsid w:val="00235FD4"/>
    <w:rsid w:val="002404A2"/>
    <w:rsid w:val="00241C00"/>
    <w:rsid w:val="00241FE2"/>
    <w:rsid w:val="0024256F"/>
    <w:rsid w:val="00244877"/>
    <w:rsid w:val="00247C85"/>
    <w:rsid w:val="002503BF"/>
    <w:rsid w:val="00250666"/>
    <w:rsid w:val="00250A34"/>
    <w:rsid w:val="00251E91"/>
    <w:rsid w:val="00252CB6"/>
    <w:rsid w:val="00252CFB"/>
    <w:rsid w:val="00253B79"/>
    <w:rsid w:val="002554EB"/>
    <w:rsid w:val="0025598E"/>
    <w:rsid w:val="002564E9"/>
    <w:rsid w:val="002614DE"/>
    <w:rsid w:val="00261A3D"/>
    <w:rsid w:val="00263EBB"/>
    <w:rsid w:val="00265A3D"/>
    <w:rsid w:val="00267E30"/>
    <w:rsid w:val="00270DD9"/>
    <w:rsid w:val="002714A0"/>
    <w:rsid w:val="00271943"/>
    <w:rsid w:val="002724C5"/>
    <w:rsid w:val="00273616"/>
    <w:rsid w:val="00273E84"/>
    <w:rsid w:val="00274F35"/>
    <w:rsid w:val="00275C5D"/>
    <w:rsid w:val="0027758A"/>
    <w:rsid w:val="00277D6B"/>
    <w:rsid w:val="0028059A"/>
    <w:rsid w:val="0028160B"/>
    <w:rsid w:val="002822EC"/>
    <w:rsid w:val="0028347F"/>
    <w:rsid w:val="00287877"/>
    <w:rsid w:val="002912A1"/>
    <w:rsid w:val="00291EBC"/>
    <w:rsid w:val="00292DBD"/>
    <w:rsid w:val="0029493B"/>
    <w:rsid w:val="00294AE9"/>
    <w:rsid w:val="00296366"/>
    <w:rsid w:val="00296454"/>
    <w:rsid w:val="002A0348"/>
    <w:rsid w:val="002A0F33"/>
    <w:rsid w:val="002A1BFC"/>
    <w:rsid w:val="002A2492"/>
    <w:rsid w:val="002A2552"/>
    <w:rsid w:val="002A417B"/>
    <w:rsid w:val="002A4B24"/>
    <w:rsid w:val="002A6CCA"/>
    <w:rsid w:val="002A6FC0"/>
    <w:rsid w:val="002A7067"/>
    <w:rsid w:val="002B1525"/>
    <w:rsid w:val="002B2129"/>
    <w:rsid w:val="002B3800"/>
    <w:rsid w:val="002B51DC"/>
    <w:rsid w:val="002B6F10"/>
    <w:rsid w:val="002B6F75"/>
    <w:rsid w:val="002B79D2"/>
    <w:rsid w:val="002B7EFB"/>
    <w:rsid w:val="002C0290"/>
    <w:rsid w:val="002C2379"/>
    <w:rsid w:val="002C476E"/>
    <w:rsid w:val="002C4E12"/>
    <w:rsid w:val="002C6DEA"/>
    <w:rsid w:val="002D296A"/>
    <w:rsid w:val="002D2CED"/>
    <w:rsid w:val="002D2D42"/>
    <w:rsid w:val="002D358F"/>
    <w:rsid w:val="002D41B7"/>
    <w:rsid w:val="002D4D2C"/>
    <w:rsid w:val="002D4D93"/>
    <w:rsid w:val="002D56B3"/>
    <w:rsid w:val="002D6397"/>
    <w:rsid w:val="002D6847"/>
    <w:rsid w:val="002D7A3D"/>
    <w:rsid w:val="002E0D36"/>
    <w:rsid w:val="002E15D0"/>
    <w:rsid w:val="002E186C"/>
    <w:rsid w:val="002E3D9B"/>
    <w:rsid w:val="002E3E13"/>
    <w:rsid w:val="002E40DA"/>
    <w:rsid w:val="002E4518"/>
    <w:rsid w:val="002E5ADD"/>
    <w:rsid w:val="002E5F58"/>
    <w:rsid w:val="002E6DEF"/>
    <w:rsid w:val="002F1E33"/>
    <w:rsid w:val="002F3FB6"/>
    <w:rsid w:val="002F6048"/>
    <w:rsid w:val="002F63D9"/>
    <w:rsid w:val="002F7E01"/>
    <w:rsid w:val="0030014B"/>
    <w:rsid w:val="00302D50"/>
    <w:rsid w:val="00304EE9"/>
    <w:rsid w:val="003109F6"/>
    <w:rsid w:val="00310F4D"/>
    <w:rsid w:val="00312410"/>
    <w:rsid w:val="003131AD"/>
    <w:rsid w:val="00313BF5"/>
    <w:rsid w:val="00313E1D"/>
    <w:rsid w:val="00315F63"/>
    <w:rsid w:val="003164BD"/>
    <w:rsid w:val="0032007C"/>
    <w:rsid w:val="00325C1F"/>
    <w:rsid w:val="00327642"/>
    <w:rsid w:val="003326BA"/>
    <w:rsid w:val="00332A0E"/>
    <w:rsid w:val="00336D88"/>
    <w:rsid w:val="003414FD"/>
    <w:rsid w:val="0034363A"/>
    <w:rsid w:val="00344FB0"/>
    <w:rsid w:val="00345985"/>
    <w:rsid w:val="00346420"/>
    <w:rsid w:val="0035022E"/>
    <w:rsid w:val="00351B3C"/>
    <w:rsid w:val="00354CAA"/>
    <w:rsid w:val="003555D9"/>
    <w:rsid w:val="00357CD9"/>
    <w:rsid w:val="00357F0E"/>
    <w:rsid w:val="0036214D"/>
    <w:rsid w:val="00362A84"/>
    <w:rsid w:val="0036441F"/>
    <w:rsid w:val="0036543D"/>
    <w:rsid w:val="0036568A"/>
    <w:rsid w:val="00365D54"/>
    <w:rsid w:val="003706CE"/>
    <w:rsid w:val="00370856"/>
    <w:rsid w:val="003711FD"/>
    <w:rsid w:val="003716AA"/>
    <w:rsid w:val="003718D1"/>
    <w:rsid w:val="0037201A"/>
    <w:rsid w:val="00372F5E"/>
    <w:rsid w:val="00373239"/>
    <w:rsid w:val="003738D6"/>
    <w:rsid w:val="00377D30"/>
    <w:rsid w:val="00382269"/>
    <w:rsid w:val="00383225"/>
    <w:rsid w:val="003841E1"/>
    <w:rsid w:val="00384954"/>
    <w:rsid w:val="003849F6"/>
    <w:rsid w:val="00386A5D"/>
    <w:rsid w:val="00387796"/>
    <w:rsid w:val="00387952"/>
    <w:rsid w:val="00387CCE"/>
    <w:rsid w:val="00390297"/>
    <w:rsid w:val="00391CEF"/>
    <w:rsid w:val="00392433"/>
    <w:rsid w:val="00392880"/>
    <w:rsid w:val="00394347"/>
    <w:rsid w:val="00394BC9"/>
    <w:rsid w:val="00396820"/>
    <w:rsid w:val="00396945"/>
    <w:rsid w:val="00397098"/>
    <w:rsid w:val="003970AB"/>
    <w:rsid w:val="00397D44"/>
    <w:rsid w:val="003A05F9"/>
    <w:rsid w:val="003A2360"/>
    <w:rsid w:val="003A2969"/>
    <w:rsid w:val="003A2B72"/>
    <w:rsid w:val="003A2E5E"/>
    <w:rsid w:val="003A348B"/>
    <w:rsid w:val="003A46C1"/>
    <w:rsid w:val="003A5097"/>
    <w:rsid w:val="003B0EA0"/>
    <w:rsid w:val="003B2075"/>
    <w:rsid w:val="003B2C36"/>
    <w:rsid w:val="003B4415"/>
    <w:rsid w:val="003B4EF9"/>
    <w:rsid w:val="003B51E8"/>
    <w:rsid w:val="003B51F7"/>
    <w:rsid w:val="003B5A6C"/>
    <w:rsid w:val="003B74C1"/>
    <w:rsid w:val="003C2F4C"/>
    <w:rsid w:val="003C42F8"/>
    <w:rsid w:val="003C480D"/>
    <w:rsid w:val="003D01D3"/>
    <w:rsid w:val="003D0898"/>
    <w:rsid w:val="003D0D44"/>
    <w:rsid w:val="003D17E7"/>
    <w:rsid w:val="003D191B"/>
    <w:rsid w:val="003D2A05"/>
    <w:rsid w:val="003D46C9"/>
    <w:rsid w:val="003D5176"/>
    <w:rsid w:val="003D55A0"/>
    <w:rsid w:val="003D5B0A"/>
    <w:rsid w:val="003D67D4"/>
    <w:rsid w:val="003E15C8"/>
    <w:rsid w:val="003E1983"/>
    <w:rsid w:val="003F09E8"/>
    <w:rsid w:val="003F0A53"/>
    <w:rsid w:val="003F0D2A"/>
    <w:rsid w:val="003F3E27"/>
    <w:rsid w:val="003F48DD"/>
    <w:rsid w:val="003F7257"/>
    <w:rsid w:val="00400652"/>
    <w:rsid w:val="0040132C"/>
    <w:rsid w:val="00406304"/>
    <w:rsid w:val="00410450"/>
    <w:rsid w:val="00410EED"/>
    <w:rsid w:val="00412007"/>
    <w:rsid w:val="0041275E"/>
    <w:rsid w:val="00413659"/>
    <w:rsid w:val="00415724"/>
    <w:rsid w:val="00416F4F"/>
    <w:rsid w:val="004200FB"/>
    <w:rsid w:val="004205B0"/>
    <w:rsid w:val="004214E5"/>
    <w:rsid w:val="004215BC"/>
    <w:rsid w:val="004216B6"/>
    <w:rsid w:val="00422BC3"/>
    <w:rsid w:val="00425193"/>
    <w:rsid w:val="00431747"/>
    <w:rsid w:val="00431ECA"/>
    <w:rsid w:val="00433C02"/>
    <w:rsid w:val="00435679"/>
    <w:rsid w:val="0044027D"/>
    <w:rsid w:val="00440EF9"/>
    <w:rsid w:val="004423CA"/>
    <w:rsid w:val="00445039"/>
    <w:rsid w:val="00445CB9"/>
    <w:rsid w:val="00445FC4"/>
    <w:rsid w:val="00447911"/>
    <w:rsid w:val="00452A28"/>
    <w:rsid w:val="004530BA"/>
    <w:rsid w:val="004568A5"/>
    <w:rsid w:val="00457649"/>
    <w:rsid w:val="004605BD"/>
    <w:rsid w:val="0046069B"/>
    <w:rsid w:val="00462472"/>
    <w:rsid w:val="00462B0E"/>
    <w:rsid w:val="0046322D"/>
    <w:rsid w:val="00463EC5"/>
    <w:rsid w:val="00464208"/>
    <w:rsid w:val="00465909"/>
    <w:rsid w:val="00466385"/>
    <w:rsid w:val="00470935"/>
    <w:rsid w:val="00470F89"/>
    <w:rsid w:val="004711DB"/>
    <w:rsid w:val="00471BF1"/>
    <w:rsid w:val="00472DC0"/>
    <w:rsid w:val="00472F34"/>
    <w:rsid w:val="00473CDE"/>
    <w:rsid w:val="0047456D"/>
    <w:rsid w:val="00482D2B"/>
    <w:rsid w:val="0048365B"/>
    <w:rsid w:val="00484678"/>
    <w:rsid w:val="00487F88"/>
    <w:rsid w:val="00490AC5"/>
    <w:rsid w:val="004933F5"/>
    <w:rsid w:val="004939FF"/>
    <w:rsid w:val="00493A4E"/>
    <w:rsid w:val="00493BA3"/>
    <w:rsid w:val="0049405F"/>
    <w:rsid w:val="00494EDC"/>
    <w:rsid w:val="004968D5"/>
    <w:rsid w:val="00497395"/>
    <w:rsid w:val="004A0354"/>
    <w:rsid w:val="004A0681"/>
    <w:rsid w:val="004A1164"/>
    <w:rsid w:val="004A1A9C"/>
    <w:rsid w:val="004A37F1"/>
    <w:rsid w:val="004A4D19"/>
    <w:rsid w:val="004A5545"/>
    <w:rsid w:val="004A5B13"/>
    <w:rsid w:val="004A6F7F"/>
    <w:rsid w:val="004A707D"/>
    <w:rsid w:val="004A70B3"/>
    <w:rsid w:val="004B062E"/>
    <w:rsid w:val="004B1FF3"/>
    <w:rsid w:val="004B3139"/>
    <w:rsid w:val="004B3F56"/>
    <w:rsid w:val="004B66EA"/>
    <w:rsid w:val="004B70DC"/>
    <w:rsid w:val="004C28D6"/>
    <w:rsid w:val="004C2B51"/>
    <w:rsid w:val="004C34F9"/>
    <w:rsid w:val="004C3842"/>
    <w:rsid w:val="004C3E86"/>
    <w:rsid w:val="004C4708"/>
    <w:rsid w:val="004C535A"/>
    <w:rsid w:val="004C6826"/>
    <w:rsid w:val="004C72FE"/>
    <w:rsid w:val="004D2618"/>
    <w:rsid w:val="004D2926"/>
    <w:rsid w:val="004D4032"/>
    <w:rsid w:val="004D4AD1"/>
    <w:rsid w:val="004D4E11"/>
    <w:rsid w:val="004D5865"/>
    <w:rsid w:val="004D697B"/>
    <w:rsid w:val="004D796D"/>
    <w:rsid w:val="004D7B6F"/>
    <w:rsid w:val="004E0E91"/>
    <w:rsid w:val="004E0EE5"/>
    <w:rsid w:val="004E1AAE"/>
    <w:rsid w:val="004E33EC"/>
    <w:rsid w:val="004E49BB"/>
    <w:rsid w:val="004E7198"/>
    <w:rsid w:val="004F1676"/>
    <w:rsid w:val="004F1F61"/>
    <w:rsid w:val="004F40EA"/>
    <w:rsid w:val="004F4C28"/>
    <w:rsid w:val="004F751E"/>
    <w:rsid w:val="00501E5B"/>
    <w:rsid w:val="00505909"/>
    <w:rsid w:val="00505D9B"/>
    <w:rsid w:val="0051038C"/>
    <w:rsid w:val="005143BA"/>
    <w:rsid w:val="00514B63"/>
    <w:rsid w:val="00516F14"/>
    <w:rsid w:val="00517675"/>
    <w:rsid w:val="005179A0"/>
    <w:rsid w:val="00520458"/>
    <w:rsid w:val="00520A41"/>
    <w:rsid w:val="00522275"/>
    <w:rsid w:val="005268D2"/>
    <w:rsid w:val="005272A8"/>
    <w:rsid w:val="00527952"/>
    <w:rsid w:val="005318E9"/>
    <w:rsid w:val="00534235"/>
    <w:rsid w:val="0053603B"/>
    <w:rsid w:val="00537142"/>
    <w:rsid w:val="00541E87"/>
    <w:rsid w:val="005434C0"/>
    <w:rsid w:val="00543A40"/>
    <w:rsid w:val="0054744D"/>
    <w:rsid w:val="00550261"/>
    <w:rsid w:val="00550A2E"/>
    <w:rsid w:val="005532E7"/>
    <w:rsid w:val="005569AB"/>
    <w:rsid w:val="00557EF6"/>
    <w:rsid w:val="00561E24"/>
    <w:rsid w:val="00562759"/>
    <w:rsid w:val="00562F71"/>
    <w:rsid w:val="0056430A"/>
    <w:rsid w:val="0056501E"/>
    <w:rsid w:val="005663FE"/>
    <w:rsid w:val="00567B79"/>
    <w:rsid w:val="005702AB"/>
    <w:rsid w:val="00572350"/>
    <w:rsid w:val="00572DFD"/>
    <w:rsid w:val="00573F98"/>
    <w:rsid w:val="00574530"/>
    <w:rsid w:val="00574D54"/>
    <w:rsid w:val="0057571C"/>
    <w:rsid w:val="00576DDC"/>
    <w:rsid w:val="00581FE5"/>
    <w:rsid w:val="005829F6"/>
    <w:rsid w:val="005834D1"/>
    <w:rsid w:val="005840B7"/>
    <w:rsid w:val="0058465A"/>
    <w:rsid w:val="00584AC8"/>
    <w:rsid w:val="005851D8"/>
    <w:rsid w:val="005851EB"/>
    <w:rsid w:val="00586AD0"/>
    <w:rsid w:val="00587459"/>
    <w:rsid w:val="00587DF1"/>
    <w:rsid w:val="005919CA"/>
    <w:rsid w:val="00592DA0"/>
    <w:rsid w:val="00593951"/>
    <w:rsid w:val="00594F59"/>
    <w:rsid w:val="00595898"/>
    <w:rsid w:val="00596F03"/>
    <w:rsid w:val="005A0EC3"/>
    <w:rsid w:val="005A0F89"/>
    <w:rsid w:val="005A104E"/>
    <w:rsid w:val="005A1A66"/>
    <w:rsid w:val="005A2672"/>
    <w:rsid w:val="005A2866"/>
    <w:rsid w:val="005A4820"/>
    <w:rsid w:val="005A4A6D"/>
    <w:rsid w:val="005A5650"/>
    <w:rsid w:val="005B0881"/>
    <w:rsid w:val="005B4B6B"/>
    <w:rsid w:val="005B65C2"/>
    <w:rsid w:val="005B6EC7"/>
    <w:rsid w:val="005C0948"/>
    <w:rsid w:val="005C1B66"/>
    <w:rsid w:val="005C20E6"/>
    <w:rsid w:val="005C257F"/>
    <w:rsid w:val="005C2A6C"/>
    <w:rsid w:val="005C3284"/>
    <w:rsid w:val="005C4D1D"/>
    <w:rsid w:val="005C6032"/>
    <w:rsid w:val="005C62E1"/>
    <w:rsid w:val="005C773B"/>
    <w:rsid w:val="005C7A57"/>
    <w:rsid w:val="005D0043"/>
    <w:rsid w:val="005D303A"/>
    <w:rsid w:val="005D61ED"/>
    <w:rsid w:val="005D64C8"/>
    <w:rsid w:val="005D70DC"/>
    <w:rsid w:val="005D7C91"/>
    <w:rsid w:val="005D7FFA"/>
    <w:rsid w:val="005E1AA8"/>
    <w:rsid w:val="005E3370"/>
    <w:rsid w:val="005E3903"/>
    <w:rsid w:val="005E5C42"/>
    <w:rsid w:val="005E78C7"/>
    <w:rsid w:val="005E7F0D"/>
    <w:rsid w:val="005E7F9D"/>
    <w:rsid w:val="005F0882"/>
    <w:rsid w:val="005F0DCB"/>
    <w:rsid w:val="005F324F"/>
    <w:rsid w:val="005F4D6A"/>
    <w:rsid w:val="005F52AF"/>
    <w:rsid w:val="005F5A55"/>
    <w:rsid w:val="005F64FB"/>
    <w:rsid w:val="005F763E"/>
    <w:rsid w:val="00600168"/>
    <w:rsid w:val="00600736"/>
    <w:rsid w:val="006012A7"/>
    <w:rsid w:val="00603AB2"/>
    <w:rsid w:val="006049C5"/>
    <w:rsid w:val="00604FEB"/>
    <w:rsid w:val="0060521F"/>
    <w:rsid w:val="00610B17"/>
    <w:rsid w:val="00613368"/>
    <w:rsid w:val="00614103"/>
    <w:rsid w:val="00615E8A"/>
    <w:rsid w:val="00617A3E"/>
    <w:rsid w:val="00617B37"/>
    <w:rsid w:val="006216DE"/>
    <w:rsid w:val="006218B9"/>
    <w:rsid w:val="006239DE"/>
    <w:rsid w:val="00625956"/>
    <w:rsid w:val="006267B7"/>
    <w:rsid w:val="006269E3"/>
    <w:rsid w:val="0063081A"/>
    <w:rsid w:val="0063083B"/>
    <w:rsid w:val="00631BBE"/>
    <w:rsid w:val="0063439D"/>
    <w:rsid w:val="0063578C"/>
    <w:rsid w:val="00637E8A"/>
    <w:rsid w:val="006408EC"/>
    <w:rsid w:val="0064108C"/>
    <w:rsid w:val="00641486"/>
    <w:rsid w:val="00641ADB"/>
    <w:rsid w:val="00642CDC"/>
    <w:rsid w:val="00644907"/>
    <w:rsid w:val="00644E94"/>
    <w:rsid w:val="00647F83"/>
    <w:rsid w:val="00653137"/>
    <w:rsid w:val="00653256"/>
    <w:rsid w:val="00653571"/>
    <w:rsid w:val="0065480E"/>
    <w:rsid w:val="00654E4F"/>
    <w:rsid w:val="006557FC"/>
    <w:rsid w:val="00656037"/>
    <w:rsid w:val="0065769E"/>
    <w:rsid w:val="00661184"/>
    <w:rsid w:val="00662811"/>
    <w:rsid w:val="00662A59"/>
    <w:rsid w:val="0066336B"/>
    <w:rsid w:val="0066517A"/>
    <w:rsid w:val="00665C85"/>
    <w:rsid w:val="00667E13"/>
    <w:rsid w:val="00671296"/>
    <w:rsid w:val="00672C0E"/>
    <w:rsid w:val="00673061"/>
    <w:rsid w:val="006733BD"/>
    <w:rsid w:val="006767C5"/>
    <w:rsid w:val="00676896"/>
    <w:rsid w:val="00681E52"/>
    <w:rsid w:val="006831C1"/>
    <w:rsid w:val="0068404F"/>
    <w:rsid w:val="00690284"/>
    <w:rsid w:val="0069177B"/>
    <w:rsid w:val="0069312B"/>
    <w:rsid w:val="006935A4"/>
    <w:rsid w:val="00694539"/>
    <w:rsid w:val="00695303"/>
    <w:rsid w:val="00695CD6"/>
    <w:rsid w:val="00696AD6"/>
    <w:rsid w:val="006A00BC"/>
    <w:rsid w:val="006A1105"/>
    <w:rsid w:val="006A1F2F"/>
    <w:rsid w:val="006A23C4"/>
    <w:rsid w:val="006A274E"/>
    <w:rsid w:val="006A29DD"/>
    <w:rsid w:val="006A30C7"/>
    <w:rsid w:val="006A3331"/>
    <w:rsid w:val="006A38D9"/>
    <w:rsid w:val="006A3F6B"/>
    <w:rsid w:val="006A448A"/>
    <w:rsid w:val="006A6935"/>
    <w:rsid w:val="006B04D8"/>
    <w:rsid w:val="006B0873"/>
    <w:rsid w:val="006B2392"/>
    <w:rsid w:val="006B342A"/>
    <w:rsid w:val="006B5125"/>
    <w:rsid w:val="006B5751"/>
    <w:rsid w:val="006B6465"/>
    <w:rsid w:val="006B7F61"/>
    <w:rsid w:val="006C02C9"/>
    <w:rsid w:val="006C0D46"/>
    <w:rsid w:val="006C227E"/>
    <w:rsid w:val="006C379B"/>
    <w:rsid w:val="006C3A3B"/>
    <w:rsid w:val="006C5286"/>
    <w:rsid w:val="006C634F"/>
    <w:rsid w:val="006C78C1"/>
    <w:rsid w:val="006D02A0"/>
    <w:rsid w:val="006D2634"/>
    <w:rsid w:val="006D28A4"/>
    <w:rsid w:val="006D47A1"/>
    <w:rsid w:val="006D48C1"/>
    <w:rsid w:val="006D67A2"/>
    <w:rsid w:val="006D708F"/>
    <w:rsid w:val="006D7A46"/>
    <w:rsid w:val="006D7C50"/>
    <w:rsid w:val="006E1E75"/>
    <w:rsid w:val="006E221C"/>
    <w:rsid w:val="006E3C13"/>
    <w:rsid w:val="006E3C4C"/>
    <w:rsid w:val="006E4884"/>
    <w:rsid w:val="006E511A"/>
    <w:rsid w:val="006E5127"/>
    <w:rsid w:val="006E6BE9"/>
    <w:rsid w:val="006F061C"/>
    <w:rsid w:val="006F1439"/>
    <w:rsid w:val="006F2592"/>
    <w:rsid w:val="006F4D15"/>
    <w:rsid w:val="006F6F3A"/>
    <w:rsid w:val="0070065E"/>
    <w:rsid w:val="00700CD0"/>
    <w:rsid w:val="007014D4"/>
    <w:rsid w:val="007020A2"/>
    <w:rsid w:val="007048CD"/>
    <w:rsid w:val="00704E9B"/>
    <w:rsid w:val="00706225"/>
    <w:rsid w:val="007102F0"/>
    <w:rsid w:val="007109D1"/>
    <w:rsid w:val="00711AAD"/>
    <w:rsid w:val="0071321A"/>
    <w:rsid w:val="00713831"/>
    <w:rsid w:val="00724184"/>
    <w:rsid w:val="00726045"/>
    <w:rsid w:val="0072773A"/>
    <w:rsid w:val="007300CD"/>
    <w:rsid w:val="00732C5C"/>
    <w:rsid w:val="007359FE"/>
    <w:rsid w:val="00735E67"/>
    <w:rsid w:val="0073629A"/>
    <w:rsid w:val="00736310"/>
    <w:rsid w:val="00737A50"/>
    <w:rsid w:val="00740688"/>
    <w:rsid w:val="0074223B"/>
    <w:rsid w:val="00742E91"/>
    <w:rsid w:val="00743B33"/>
    <w:rsid w:val="00743ECE"/>
    <w:rsid w:val="007451AB"/>
    <w:rsid w:val="00747CFE"/>
    <w:rsid w:val="007504FA"/>
    <w:rsid w:val="007531B2"/>
    <w:rsid w:val="0075426C"/>
    <w:rsid w:val="00754CA3"/>
    <w:rsid w:val="007552A6"/>
    <w:rsid w:val="0075597A"/>
    <w:rsid w:val="00755C25"/>
    <w:rsid w:val="007564EC"/>
    <w:rsid w:val="00756EE6"/>
    <w:rsid w:val="00760205"/>
    <w:rsid w:val="00761EDA"/>
    <w:rsid w:val="0076220A"/>
    <w:rsid w:val="007643B2"/>
    <w:rsid w:val="00765744"/>
    <w:rsid w:val="007658FB"/>
    <w:rsid w:val="00765DE9"/>
    <w:rsid w:val="00770095"/>
    <w:rsid w:val="007723E7"/>
    <w:rsid w:val="00776245"/>
    <w:rsid w:val="00776B27"/>
    <w:rsid w:val="007777AC"/>
    <w:rsid w:val="007813F5"/>
    <w:rsid w:val="00781E77"/>
    <w:rsid w:val="0078218F"/>
    <w:rsid w:val="00782565"/>
    <w:rsid w:val="007835F4"/>
    <w:rsid w:val="007841D8"/>
    <w:rsid w:val="00785168"/>
    <w:rsid w:val="00785194"/>
    <w:rsid w:val="00785913"/>
    <w:rsid w:val="00786088"/>
    <w:rsid w:val="0078624E"/>
    <w:rsid w:val="00787077"/>
    <w:rsid w:val="007908A3"/>
    <w:rsid w:val="007924F7"/>
    <w:rsid w:val="00793832"/>
    <w:rsid w:val="00794267"/>
    <w:rsid w:val="00796838"/>
    <w:rsid w:val="007A2300"/>
    <w:rsid w:val="007A3C34"/>
    <w:rsid w:val="007A3D3C"/>
    <w:rsid w:val="007A4115"/>
    <w:rsid w:val="007A6FF0"/>
    <w:rsid w:val="007A7398"/>
    <w:rsid w:val="007B2B4B"/>
    <w:rsid w:val="007B5E42"/>
    <w:rsid w:val="007C2C1C"/>
    <w:rsid w:val="007C622A"/>
    <w:rsid w:val="007D0176"/>
    <w:rsid w:val="007D189C"/>
    <w:rsid w:val="007D381B"/>
    <w:rsid w:val="007D3900"/>
    <w:rsid w:val="007D5809"/>
    <w:rsid w:val="007D6113"/>
    <w:rsid w:val="007D74C6"/>
    <w:rsid w:val="007E1345"/>
    <w:rsid w:val="007E1515"/>
    <w:rsid w:val="007E20C9"/>
    <w:rsid w:val="007E2FCE"/>
    <w:rsid w:val="007E39EE"/>
    <w:rsid w:val="007E44DA"/>
    <w:rsid w:val="007E46AB"/>
    <w:rsid w:val="007E5CD3"/>
    <w:rsid w:val="007E5E52"/>
    <w:rsid w:val="007E7D10"/>
    <w:rsid w:val="007F1D1E"/>
    <w:rsid w:val="007F3698"/>
    <w:rsid w:val="007F5789"/>
    <w:rsid w:val="007F75B0"/>
    <w:rsid w:val="008021C9"/>
    <w:rsid w:val="00802288"/>
    <w:rsid w:val="008032E1"/>
    <w:rsid w:val="0080364A"/>
    <w:rsid w:val="00804094"/>
    <w:rsid w:val="00804AF0"/>
    <w:rsid w:val="00807468"/>
    <w:rsid w:val="00810139"/>
    <w:rsid w:val="00810550"/>
    <w:rsid w:val="00812090"/>
    <w:rsid w:val="00812B76"/>
    <w:rsid w:val="00812CC5"/>
    <w:rsid w:val="00813223"/>
    <w:rsid w:val="008163A2"/>
    <w:rsid w:val="008209F6"/>
    <w:rsid w:val="00821F8E"/>
    <w:rsid w:val="008239A8"/>
    <w:rsid w:val="00825D1B"/>
    <w:rsid w:val="00825D5F"/>
    <w:rsid w:val="00825DD8"/>
    <w:rsid w:val="00831E27"/>
    <w:rsid w:val="00832702"/>
    <w:rsid w:val="00832A04"/>
    <w:rsid w:val="00832AB6"/>
    <w:rsid w:val="00833E2D"/>
    <w:rsid w:val="008374D7"/>
    <w:rsid w:val="00840916"/>
    <w:rsid w:val="008439A2"/>
    <w:rsid w:val="008451F9"/>
    <w:rsid w:val="00845DA8"/>
    <w:rsid w:val="0084772B"/>
    <w:rsid w:val="00847DA8"/>
    <w:rsid w:val="00850032"/>
    <w:rsid w:val="008509A6"/>
    <w:rsid w:val="00850F62"/>
    <w:rsid w:val="00851D3E"/>
    <w:rsid w:val="0085599D"/>
    <w:rsid w:val="00857177"/>
    <w:rsid w:val="008601CD"/>
    <w:rsid w:val="008608B5"/>
    <w:rsid w:val="00862963"/>
    <w:rsid w:val="00864177"/>
    <w:rsid w:val="00867136"/>
    <w:rsid w:val="00870348"/>
    <w:rsid w:val="00873E2B"/>
    <w:rsid w:val="00875A6D"/>
    <w:rsid w:val="008765FE"/>
    <w:rsid w:val="0087676B"/>
    <w:rsid w:val="008768C1"/>
    <w:rsid w:val="00876F76"/>
    <w:rsid w:val="0088177C"/>
    <w:rsid w:val="008821C3"/>
    <w:rsid w:val="00882FC4"/>
    <w:rsid w:val="0088399E"/>
    <w:rsid w:val="00887BFA"/>
    <w:rsid w:val="0089019E"/>
    <w:rsid w:val="00890902"/>
    <w:rsid w:val="008910A6"/>
    <w:rsid w:val="00894852"/>
    <w:rsid w:val="00894858"/>
    <w:rsid w:val="008955CE"/>
    <w:rsid w:val="00895BD7"/>
    <w:rsid w:val="00896C04"/>
    <w:rsid w:val="008979A9"/>
    <w:rsid w:val="008A0A93"/>
    <w:rsid w:val="008A11D3"/>
    <w:rsid w:val="008A319C"/>
    <w:rsid w:val="008A5C91"/>
    <w:rsid w:val="008A773A"/>
    <w:rsid w:val="008A7D03"/>
    <w:rsid w:val="008B04F7"/>
    <w:rsid w:val="008B2C24"/>
    <w:rsid w:val="008B6196"/>
    <w:rsid w:val="008B6EEE"/>
    <w:rsid w:val="008C0168"/>
    <w:rsid w:val="008C1DA4"/>
    <w:rsid w:val="008C210A"/>
    <w:rsid w:val="008C2761"/>
    <w:rsid w:val="008C462D"/>
    <w:rsid w:val="008C48F8"/>
    <w:rsid w:val="008C5467"/>
    <w:rsid w:val="008C5E84"/>
    <w:rsid w:val="008C6806"/>
    <w:rsid w:val="008D2F33"/>
    <w:rsid w:val="008D4B61"/>
    <w:rsid w:val="008D6D60"/>
    <w:rsid w:val="008D71B2"/>
    <w:rsid w:val="008E03F4"/>
    <w:rsid w:val="008E069C"/>
    <w:rsid w:val="008E0FB5"/>
    <w:rsid w:val="008E1178"/>
    <w:rsid w:val="008E2321"/>
    <w:rsid w:val="008E24A9"/>
    <w:rsid w:val="008E2E25"/>
    <w:rsid w:val="008E3BFC"/>
    <w:rsid w:val="008E48FA"/>
    <w:rsid w:val="008E4D0A"/>
    <w:rsid w:val="008E56BC"/>
    <w:rsid w:val="008E58C9"/>
    <w:rsid w:val="008F0326"/>
    <w:rsid w:val="008F09CE"/>
    <w:rsid w:val="008F37C4"/>
    <w:rsid w:val="008F3C48"/>
    <w:rsid w:val="008F431B"/>
    <w:rsid w:val="008F541D"/>
    <w:rsid w:val="008F5EAD"/>
    <w:rsid w:val="008F792E"/>
    <w:rsid w:val="008F79B2"/>
    <w:rsid w:val="00901855"/>
    <w:rsid w:val="00902322"/>
    <w:rsid w:val="00903DA3"/>
    <w:rsid w:val="00905646"/>
    <w:rsid w:val="009106DE"/>
    <w:rsid w:val="00911657"/>
    <w:rsid w:val="00913650"/>
    <w:rsid w:val="00915308"/>
    <w:rsid w:val="0091531F"/>
    <w:rsid w:val="00916F0A"/>
    <w:rsid w:val="00920002"/>
    <w:rsid w:val="0092188E"/>
    <w:rsid w:val="00921AE1"/>
    <w:rsid w:val="00923308"/>
    <w:rsid w:val="00923427"/>
    <w:rsid w:val="009244A0"/>
    <w:rsid w:val="009247B2"/>
    <w:rsid w:val="00924D1F"/>
    <w:rsid w:val="00925525"/>
    <w:rsid w:val="00926870"/>
    <w:rsid w:val="00930AAB"/>
    <w:rsid w:val="00930BD7"/>
    <w:rsid w:val="00931094"/>
    <w:rsid w:val="009330EE"/>
    <w:rsid w:val="00933A3F"/>
    <w:rsid w:val="00933D47"/>
    <w:rsid w:val="00933F2C"/>
    <w:rsid w:val="00934C0D"/>
    <w:rsid w:val="00937774"/>
    <w:rsid w:val="00937B26"/>
    <w:rsid w:val="00937B61"/>
    <w:rsid w:val="00937EB9"/>
    <w:rsid w:val="00943BF4"/>
    <w:rsid w:val="009442B0"/>
    <w:rsid w:val="00944466"/>
    <w:rsid w:val="00944C84"/>
    <w:rsid w:val="00944DA2"/>
    <w:rsid w:val="009464C7"/>
    <w:rsid w:val="009465AD"/>
    <w:rsid w:val="009505BD"/>
    <w:rsid w:val="00950618"/>
    <w:rsid w:val="0095094B"/>
    <w:rsid w:val="00950F93"/>
    <w:rsid w:val="009542A3"/>
    <w:rsid w:val="009552BB"/>
    <w:rsid w:val="009555E9"/>
    <w:rsid w:val="00955A10"/>
    <w:rsid w:val="00955C92"/>
    <w:rsid w:val="00956B46"/>
    <w:rsid w:val="0096122D"/>
    <w:rsid w:val="009614BF"/>
    <w:rsid w:val="00961C52"/>
    <w:rsid w:val="00963ED7"/>
    <w:rsid w:val="00964C3A"/>
    <w:rsid w:val="00965284"/>
    <w:rsid w:val="00970FC6"/>
    <w:rsid w:val="00971088"/>
    <w:rsid w:val="00971C5E"/>
    <w:rsid w:val="0097232E"/>
    <w:rsid w:val="00975456"/>
    <w:rsid w:val="00975FAC"/>
    <w:rsid w:val="00977C0B"/>
    <w:rsid w:val="00977C83"/>
    <w:rsid w:val="00977CB0"/>
    <w:rsid w:val="009801F9"/>
    <w:rsid w:val="00981570"/>
    <w:rsid w:val="00981859"/>
    <w:rsid w:val="00981B74"/>
    <w:rsid w:val="0098210F"/>
    <w:rsid w:val="0098262B"/>
    <w:rsid w:val="009879B4"/>
    <w:rsid w:val="00991DB0"/>
    <w:rsid w:val="00993247"/>
    <w:rsid w:val="0099514A"/>
    <w:rsid w:val="00995171"/>
    <w:rsid w:val="009975F0"/>
    <w:rsid w:val="00997FBB"/>
    <w:rsid w:val="009A205B"/>
    <w:rsid w:val="009A3BBA"/>
    <w:rsid w:val="009A492A"/>
    <w:rsid w:val="009A6E15"/>
    <w:rsid w:val="009B16B2"/>
    <w:rsid w:val="009B3CEC"/>
    <w:rsid w:val="009B46C4"/>
    <w:rsid w:val="009B4F43"/>
    <w:rsid w:val="009B71CA"/>
    <w:rsid w:val="009C11D3"/>
    <w:rsid w:val="009C12EB"/>
    <w:rsid w:val="009C1DC8"/>
    <w:rsid w:val="009C397B"/>
    <w:rsid w:val="009C3E38"/>
    <w:rsid w:val="009C519A"/>
    <w:rsid w:val="009C5F06"/>
    <w:rsid w:val="009C6EEA"/>
    <w:rsid w:val="009C7B7D"/>
    <w:rsid w:val="009D18E6"/>
    <w:rsid w:val="009D1C50"/>
    <w:rsid w:val="009D35A6"/>
    <w:rsid w:val="009D48F9"/>
    <w:rsid w:val="009D5997"/>
    <w:rsid w:val="009D6AB6"/>
    <w:rsid w:val="009D755A"/>
    <w:rsid w:val="009E146A"/>
    <w:rsid w:val="009E2421"/>
    <w:rsid w:val="009E2E7F"/>
    <w:rsid w:val="009E353C"/>
    <w:rsid w:val="009E3DB2"/>
    <w:rsid w:val="009E535F"/>
    <w:rsid w:val="009E647A"/>
    <w:rsid w:val="009E6D6F"/>
    <w:rsid w:val="009E7636"/>
    <w:rsid w:val="009E7AF7"/>
    <w:rsid w:val="009E7C96"/>
    <w:rsid w:val="009F0304"/>
    <w:rsid w:val="009F098D"/>
    <w:rsid w:val="009F46C3"/>
    <w:rsid w:val="009F4958"/>
    <w:rsid w:val="009F56BA"/>
    <w:rsid w:val="009F6874"/>
    <w:rsid w:val="00A012EF"/>
    <w:rsid w:val="00A0186A"/>
    <w:rsid w:val="00A02679"/>
    <w:rsid w:val="00A0313A"/>
    <w:rsid w:val="00A061AD"/>
    <w:rsid w:val="00A064C0"/>
    <w:rsid w:val="00A07AD0"/>
    <w:rsid w:val="00A11E7F"/>
    <w:rsid w:val="00A14F13"/>
    <w:rsid w:val="00A1513F"/>
    <w:rsid w:val="00A16E28"/>
    <w:rsid w:val="00A209DE"/>
    <w:rsid w:val="00A213FB"/>
    <w:rsid w:val="00A21723"/>
    <w:rsid w:val="00A21A7D"/>
    <w:rsid w:val="00A22764"/>
    <w:rsid w:val="00A22F37"/>
    <w:rsid w:val="00A24BB5"/>
    <w:rsid w:val="00A26708"/>
    <w:rsid w:val="00A27A83"/>
    <w:rsid w:val="00A3053D"/>
    <w:rsid w:val="00A31E3D"/>
    <w:rsid w:val="00A32026"/>
    <w:rsid w:val="00A35170"/>
    <w:rsid w:val="00A351A7"/>
    <w:rsid w:val="00A37479"/>
    <w:rsid w:val="00A41446"/>
    <w:rsid w:val="00A41B27"/>
    <w:rsid w:val="00A428A8"/>
    <w:rsid w:val="00A43134"/>
    <w:rsid w:val="00A438A1"/>
    <w:rsid w:val="00A451B3"/>
    <w:rsid w:val="00A50258"/>
    <w:rsid w:val="00A50EF3"/>
    <w:rsid w:val="00A52A5C"/>
    <w:rsid w:val="00A52EEC"/>
    <w:rsid w:val="00A55234"/>
    <w:rsid w:val="00A5625D"/>
    <w:rsid w:val="00A56753"/>
    <w:rsid w:val="00A60983"/>
    <w:rsid w:val="00A6183F"/>
    <w:rsid w:val="00A663C8"/>
    <w:rsid w:val="00A66477"/>
    <w:rsid w:val="00A67F06"/>
    <w:rsid w:val="00A703FC"/>
    <w:rsid w:val="00A71882"/>
    <w:rsid w:val="00A7231D"/>
    <w:rsid w:val="00A72B6F"/>
    <w:rsid w:val="00A7459A"/>
    <w:rsid w:val="00A8044F"/>
    <w:rsid w:val="00A83FA0"/>
    <w:rsid w:val="00A85AF3"/>
    <w:rsid w:val="00A918D7"/>
    <w:rsid w:val="00A9251D"/>
    <w:rsid w:val="00A92ECA"/>
    <w:rsid w:val="00A9348D"/>
    <w:rsid w:val="00A97931"/>
    <w:rsid w:val="00AA03D9"/>
    <w:rsid w:val="00AA2798"/>
    <w:rsid w:val="00AA2E6E"/>
    <w:rsid w:val="00AA3319"/>
    <w:rsid w:val="00AA40DA"/>
    <w:rsid w:val="00AA50B2"/>
    <w:rsid w:val="00AA6FC7"/>
    <w:rsid w:val="00AA7AA5"/>
    <w:rsid w:val="00AB382B"/>
    <w:rsid w:val="00AB3AEF"/>
    <w:rsid w:val="00AB66FE"/>
    <w:rsid w:val="00AB723F"/>
    <w:rsid w:val="00AC0194"/>
    <w:rsid w:val="00AC0EE5"/>
    <w:rsid w:val="00AC2C81"/>
    <w:rsid w:val="00AC33A1"/>
    <w:rsid w:val="00AC6C17"/>
    <w:rsid w:val="00AD0AA8"/>
    <w:rsid w:val="00AD1D49"/>
    <w:rsid w:val="00AD1F73"/>
    <w:rsid w:val="00AD27AE"/>
    <w:rsid w:val="00AD39A3"/>
    <w:rsid w:val="00AD4882"/>
    <w:rsid w:val="00AD5489"/>
    <w:rsid w:val="00AD6FB5"/>
    <w:rsid w:val="00AD7571"/>
    <w:rsid w:val="00AE10E4"/>
    <w:rsid w:val="00AE249C"/>
    <w:rsid w:val="00AE4DE0"/>
    <w:rsid w:val="00AE4FA5"/>
    <w:rsid w:val="00AE5E77"/>
    <w:rsid w:val="00AE6840"/>
    <w:rsid w:val="00AE7444"/>
    <w:rsid w:val="00AF142C"/>
    <w:rsid w:val="00AF1E81"/>
    <w:rsid w:val="00AF32BE"/>
    <w:rsid w:val="00AF33AB"/>
    <w:rsid w:val="00AF39DC"/>
    <w:rsid w:val="00AF5419"/>
    <w:rsid w:val="00AF7B82"/>
    <w:rsid w:val="00B006DA"/>
    <w:rsid w:val="00B02804"/>
    <w:rsid w:val="00B046A0"/>
    <w:rsid w:val="00B05A48"/>
    <w:rsid w:val="00B061AB"/>
    <w:rsid w:val="00B110E4"/>
    <w:rsid w:val="00B12058"/>
    <w:rsid w:val="00B14135"/>
    <w:rsid w:val="00B153D9"/>
    <w:rsid w:val="00B15A49"/>
    <w:rsid w:val="00B16A3E"/>
    <w:rsid w:val="00B22B96"/>
    <w:rsid w:val="00B23003"/>
    <w:rsid w:val="00B246A0"/>
    <w:rsid w:val="00B24E63"/>
    <w:rsid w:val="00B3074A"/>
    <w:rsid w:val="00B31BEA"/>
    <w:rsid w:val="00B325FE"/>
    <w:rsid w:val="00B326CF"/>
    <w:rsid w:val="00B33552"/>
    <w:rsid w:val="00B350A1"/>
    <w:rsid w:val="00B357E2"/>
    <w:rsid w:val="00B401EC"/>
    <w:rsid w:val="00B41557"/>
    <w:rsid w:val="00B4340D"/>
    <w:rsid w:val="00B4397B"/>
    <w:rsid w:val="00B465FA"/>
    <w:rsid w:val="00B47B7E"/>
    <w:rsid w:val="00B47DD9"/>
    <w:rsid w:val="00B5046B"/>
    <w:rsid w:val="00B50C3F"/>
    <w:rsid w:val="00B50FF3"/>
    <w:rsid w:val="00B51FC2"/>
    <w:rsid w:val="00B527D3"/>
    <w:rsid w:val="00B54056"/>
    <w:rsid w:val="00B54D5C"/>
    <w:rsid w:val="00B55094"/>
    <w:rsid w:val="00B554E8"/>
    <w:rsid w:val="00B55B5C"/>
    <w:rsid w:val="00B632CA"/>
    <w:rsid w:val="00B6549E"/>
    <w:rsid w:val="00B65F98"/>
    <w:rsid w:val="00B676E9"/>
    <w:rsid w:val="00B706AB"/>
    <w:rsid w:val="00B70C4F"/>
    <w:rsid w:val="00B70E14"/>
    <w:rsid w:val="00B71E91"/>
    <w:rsid w:val="00B745D3"/>
    <w:rsid w:val="00B75220"/>
    <w:rsid w:val="00B77154"/>
    <w:rsid w:val="00B77708"/>
    <w:rsid w:val="00B812B1"/>
    <w:rsid w:val="00B82A77"/>
    <w:rsid w:val="00B8327A"/>
    <w:rsid w:val="00B8338A"/>
    <w:rsid w:val="00B849C8"/>
    <w:rsid w:val="00B8535D"/>
    <w:rsid w:val="00B85908"/>
    <w:rsid w:val="00B907DA"/>
    <w:rsid w:val="00B9122F"/>
    <w:rsid w:val="00B95C74"/>
    <w:rsid w:val="00B97E03"/>
    <w:rsid w:val="00BA0D24"/>
    <w:rsid w:val="00BA1C33"/>
    <w:rsid w:val="00BA24F8"/>
    <w:rsid w:val="00BA2E42"/>
    <w:rsid w:val="00BA2E70"/>
    <w:rsid w:val="00BA4572"/>
    <w:rsid w:val="00BA62FA"/>
    <w:rsid w:val="00BA6AAF"/>
    <w:rsid w:val="00BB1589"/>
    <w:rsid w:val="00BB2333"/>
    <w:rsid w:val="00BB4662"/>
    <w:rsid w:val="00BB7D8E"/>
    <w:rsid w:val="00BC18D1"/>
    <w:rsid w:val="00BC3A53"/>
    <w:rsid w:val="00BC545F"/>
    <w:rsid w:val="00BC54A1"/>
    <w:rsid w:val="00BC5FB0"/>
    <w:rsid w:val="00BD0520"/>
    <w:rsid w:val="00BD09FA"/>
    <w:rsid w:val="00BD1951"/>
    <w:rsid w:val="00BD2C45"/>
    <w:rsid w:val="00BD5D83"/>
    <w:rsid w:val="00BD66FA"/>
    <w:rsid w:val="00BD7CB2"/>
    <w:rsid w:val="00BD7F4B"/>
    <w:rsid w:val="00BE0F98"/>
    <w:rsid w:val="00BE17CC"/>
    <w:rsid w:val="00BE263A"/>
    <w:rsid w:val="00BE38D7"/>
    <w:rsid w:val="00BE45F8"/>
    <w:rsid w:val="00BE4A74"/>
    <w:rsid w:val="00BE562D"/>
    <w:rsid w:val="00BE5B27"/>
    <w:rsid w:val="00BE78C3"/>
    <w:rsid w:val="00BF1D13"/>
    <w:rsid w:val="00BF2289"/>
    <w:rsid w:val="00BF22A9"/>
    <w:rsid w:val="00BF29DF"/>
    <w:rsid w:val="00BF2D25"/>
    <w:rsid w:val="00BF64EA"/>
    <w:rsid w:val="00C0028D"/>
    <w:rsid w:val="00C00AF2"/>
    <w:rsid w:val="00C00B0B"/>
    <w:rsid w:val="00C0134D"/>
    <w:rsid w:val="00C04405"/>
    <w:rsid w:val="00C04DD9"/>
    <w:rsid w:val="00C0625F"/>
    <w:rsid w:val="00C07F46"/>
    <w:rsid w:val="00C11AD9"/>
    <w:rsid w:val="00C126C1"/>
    <w:rsid w:val="00C13977"/>
    <w:rsid w:val="00C14B49"/>
    <w:rsid w:val="00C151B0"/>
    <w:rsid w:val="00C15586"/>
    <w:rsid w:val="00C15AF3"/>
    <w:rsid w:val="00C1794D"/>
    <w:rsid w:val="00C17E5D"/>
    <w:rsid w:val="00C20684"/>
    <w:rsid w:val="00C22200"/>
    <w:rsid w:val="00C23FBC"/>
    <w:rsid w:val="00C270D2"/>
    <w:rsid w:val="00C27DA4"/>
    <w:rsid w:val="00C304AB"/>
    <w:rsid w:val="00C30D8D"/>
    <w:rsid w:val="00C32BDD"/>
    <w:rsid w:val="00C335AF"/>
    <w:rsid w:val="00C34BBF"/>
    <w:rsid w:val="00C35091"/>
    <w:rsid w:val="00C36567"/>
    <w:rsid w:val="00C4094C"/>
    <w:rsid w:val="00C44AFB"/>
    <w:rsid w:val="00C44BE8"/>
    <w:rsid w:val="00C45ED5"/>
    <w:rsid w:val="00C45F72"/>
    <w:rsid w:val="00C46B01"/>
    <w:rsid w:val="00C503A0"/>
    <w:rsid w:val="00C507DF"/>
    <w:rsid w:val="00C51379"/>
    <w:rsid w:val="00C51945"/>
    <w:rsid w:val="00C51E17"/>
    <w:rsid w:val="00C520EB"/>
    <w:rsid w:val="00C52B7D"/>
    <w:rsid w:val="00C53211"/>
    <w:rsid w:val="00C53597"/>
    <w:rsid w:val="00C53A9A"/>
    <w:rsid w:val="00C54729"/>
    <w:rsid w:val="00C54C9A"/>
    <w:rsid w:val="00C54E33"/>
    <w:rsid w:val="00C55CF4"/>
    <w:rsid w:val="00C56C6E"/>
    <w:rsid w:val="00C5743B"/>
    <w:rsid w:val="00C577D8"/>
    <w:rsid w:val="00C60052"/>
    <w:rsid w:val="00C657EE"/>
    <w:rsid w:val="00C66481"/>
    <w:rsid w:val="00C6798F"/>
    <w:rsid w:val="00C70629"/>
    <w:rsid w:val="00C7276F"/>
    <w:rsid w:val="00C738DF"/>
    <w:rsid w:val="00C73F32"/>
    <w:rsid w:val="00C74EA4"/>
    <w:rsid w:val="00C7525D"/>
    <w:rsid w:val="00C7793E"/>
    <w:rsid w:val="00C81C12"/>
    <w:rsid w:val="00C824DF"/>
    <w:rsid w:val="00C846A6"/>
    <w:rsid w:val="00C84C83"/>
    <w:rsid w:val="00C85417"/>
    <w:rsid w:val="00C85ABF"/>
    <w:rsid w:val="00C85D7C"/>
    <w:rsid w:val="00C87989"/>
    <w:rsid w:val="00C90693"/>
    <w:rsid w:val="00C907FE"/>
    <w:rsid w:val="00C91D09"/>
    <w:rsid w:val="00C951E9"/>
    <w:rsid w:val="00C963E2"/>
    <w:rsid w:val="00C967FD"/>
    <w:rsid w:val="00C976D8"/>
    <w:rsid w:val="00C97CC0"/>
    <w:rsid w:val="00C97EEA"/>
    <w:rsid w:val="00CA2FAF"/>
    <w:rsid w:val="00CA4ECF"/>
    <w:rsid w:val="00CA5460"/>
    <w:rsid w:val="00CB07FC"/>
    <w:rsid w:val="00CB1E72"/>
    <w:rsid w:val="00CB36B4"/>
    <w:rsid w:val="00CB38AA"/>
    <w:rsid w:val="00CB3A74"/>
    <w:rsid w:val="00CB4A6F"/>
    <w:rsid w:val="00CB4AA6"/>
    <w:rsid w:val="00CB5436"/>
    <w:rsid w:val="00CC005C"/>
    <w:rsid w:val="00CC12E5"/>
    <w:rsid w:val="00CC2E46"/>
    <w:rsid w:val="00CC4015"/>
    <w:rsid w:val="00CC410A"/>
    <w:rsid w:val="00CC68F8"/>
    <w:rsid w:val="00CC6D68"/>
    <w:rsid w:val="00CC720C"/>
    <w:rsid w:val="00CC7A93"/>
    <w:rsid w:val="00CD34AA"/>
    <w:rsid w:val="00CD4F10"/>
    <w:rsid w:val="00CD7C14"/>
    <w:rsid w:val="00CE0688"/>
    <w:rsid w:val="00CE341C"/>
    <w:rsid w:val="00CE52F7"/>
    <w:rsid w:val="00CE5BC1"/>
    <w:rsid w:val="00CE6613"/>
    <w:rsid w:val="00CF1952"/>
    <w:rsid w:val="00CF244E"/>
    <w:rsid w:val="00CF4EB0"/>
    <w:rsid w:val="00CF533B"/>
    <w:rsid w:val="00CF6146"/>
    <w:rsid w:val="00CF6894"/>
    <w:rsid w:val="00CF7597"/>
    <w:rsid w:val="00D00C46"/>
    <w:rsid w:val="00D04FA7"/>
    <w:rsid w:val="00D0504C"/>
    <w:rsid w:val="00D051BD"/>
    <w:rsid w:val="00D0548E"/>
    <w:rsid w:val="00D06370"/>
    <w:rsid w:val="00D06EDE"/>
    <w:rsid w:val="00D0734A"/>
    <w:rsid w:val="00D0756B"/>
    <w:rsid w:val="00D10585"/>
    <w:rsid w:val="00D1280E"/>
    <w:rsid w:val="00D12889"/>
    <w:rsid w:val="00D16E24"/>
    <w:rsid w:val="00D16EA6"/>
    <w:rsid w:val="00D17716"/>
    <w:rsid w:val="00D17968"/>
    <w:rsid w:val="00D17F0E"/>
    <w:rsid w:val="00D215A9"/>
    <w:rsid w:val="00D2399F"/>
    <w:rsid w:val="00D2531D"/>
    <w:rsid w:val="00D30101"/>
    <w:rsid w:val="00D3332E"/>
    <w:rsid w:val="00D33A58"/>
    <w:rsid w:val="00D33D31"/>
    <w:rsid w:val="00D341A0"/>
    <w:rsid w:val="00D34F86"/>
    <w:rsid w:val="00D3674C"/>
    <w:rsid w:val="00D36A52"/>
    <w:rsid w:val="00D4036D"/>
    <w:rsid w:val="00D42C53"/>
    <w:rsid w:val="00D50B2F"/>
    <w:rsid w:val="00D51370"/>
    <w:rsid w:val="00D51913"/>
    <w:rsid w:val="00D51ECF"/>
    <w:rsid w:val="00D52190"/>
    <w:rsid w:val="00D53266"/>
    <w:rsid w:val="00D5409E"/>
    <w:rsid w:val="00D54728"/>
    <w:rsid w:val="00D54F84"/>
    <w:rsid w:val="00D55922"/>
    <w:rsid w:val="00D55CC4"/>
    <w:rsid w:val="00D569A3"/>
    <w:rsid w:val="00D57686"/>
    <w:rsid w:val="00D61797"/>
    <w:rsid w:val="00D6282B"/>
    <w:rsid w:val="00D6325D"/>
    <w:rsid w:val="00D658B0"/>
    <w:rsid w:val="00D6687A"/>
    <w:rsid w:val="00D70108"/>
    <w:rsid w:val="00D71CAF"/>
    <w:rsid w:val="00D74227"/>
    <w:rsid w:val="00D743F8"/>
    <w:rsid w:val="00D74F62"/>
    <w:rsid w:val="00D75B73"/>
    <w:rsid w:val="00D77BDC"/>
    <w:rsid w:val="00D80277"/>
    <w:rsid w:val="00D84D93"/>
    <w:rsid w:val="00D864D6"/>
    <w:rsid w:val="00D90C62"/>
    <w:rsid w:val="00D91286"/>
    <w:rsid w:val="00D91667"/>
    <w:rsid w:val="00D9342D"/>
    <w:rsid w:val="00D96EF9"/>
    <w:rsid w:val="00DA1E99"/>
    <w:rsid w:val="00DA2AEA"/>
    <w:rsid w:val="00DA393E"/>
    <w:rsid w:val="00DA5260"/>
    <w:rsid w:val="00DB2928"/>
    <w:rsid w:val="00DB5321"/>
    <w:rsid w:val="00DB7D28"/>
    <w:rsid w:val="00DC04E4"/>
    <w:rsid w:val="00DC070E"/>
    <w:rsid w:val="00DC0BFF"/>
    <w:rsid w:val="00DC0CF5"/>
    <w:rsid w:val="00DC456C"/>
    <w:rsid w:val="00DC6A0A"/>
    <w:rsid w:val="00DC78AC"/>
    <w:rsid w:val="00DD089F"/>
    <w:rsid w:val="00DD0A00"/>
    <w:rsid w:val="00DD12D8"/>
    <w:rsid w:val="00DD2E81"/>
    <w:rsid w:val="00DD463A"/>
    <w:rsid w:val="00DD4763"/>
    <w:rsid w:val="00DD57CC"/>
    <w:rsid w:val="00DD7DEE"/>
    <w:rsid w:val="00DE1D2E"/>
    <w:rsid w:val="00DE2014"/>
    <w:rsid w:val="00DE228D"/>
    <w:rsid w:val="00DE3C02"/>
    <w:rsid w:val="00DE3C1D"/>
    <w:rsid w:val="00DE5336"/>
    <w:rsid w:val="00DE5554"/>
    <w:rsid w:val="00DE56D4"/>
    <w:rsid w:val="00DE6000"/>
    <w:rsid w:val="00DF06F0"/>
    <w:rsid w:val="00DF0B0C"/>
    <w:rsid w:val="00DF171B"/>
    <w:rsid w:val="00DF3663"/>
    <w:rsid w:val="00DF4BBF"/>
    <w:rsid w:val="00DF4E18"/>
    <w:rsid w:val="00DF4E3F"/>
    <w:rsid w:val="00DF5CBD"/>
    <w:rsid w:val="00DF7275"/>
    <w:rsid w:val="00DF7ADF"/>
    <w:rsid w:val="00E00271"/>
    <w:rsid w:val="00E008B2"/>
    <w:rsid w:val="00E056B5"/>
    <w:rsid w:val="00E0713A"/>
    <w:rsid w:val="00E0714C"/>
    <w:rsid w:val="00E10032"/>
    <w:rsid w:val="00E109E4"/>
    <w:rsid w:val="00E11008"/>
    <w:rsid w:val="00E13526"/>
    <w:rsid w:val="00E13E81"/>
    <w:rsid w:val="00E16121"/>
    <w:rsid w:val="00E17406"/>
    <w:rsid w:val="00E21810"/>
    <w:rsid w:val="00E21F64"/>
    <w:rsid w:val="00E26DA1"/>
    <w:rsid w:val="00E26EB1"/>
    <w:rsid w:val="00E26FBF"/>
    <w:rsid w:val="00E30669"/>
    <w:rsid w:val="00E3441E"/>
    <w:rsid w:val="00E362BA"/>
    <w:rsid w:val="00E36AD9"/>
    <w:rsid w:val="00E36C0E"/>
    <w:rsid w:val="00E37F73"/>
    <w:rsid w:val="00E42224"/>
    <w:rsid w:val="00E46AED"/>
    <w:rsid w:val="00E527C6"/>
    <w:rsid w:val="00E52F9A"/>
    <w:rsid w:val="00E538C6"/>
    <w:rsid w:val="00E55948"/>
    <w:rsid w:val="00E57D59"/>
    <w:rsid w:val="00E609FC"/>
    <w:rsid w:val="00E65833"/>
    <w:rsid w:val="00E67463"/>
    <w:rsid w:val="00E70C4E"/>
    <w:rsid w:val="00E73A03"/>
    <w:rsid w:val="00E73DF6"/>
    <w:rsid w:val="00E7615B"/>
    <w:rsid w:val="00E81B06"/>
    <w:rsid w:val="00E81BBF"/>
    <w:rsid w:val="00E8290D"/>
    <w:rsid w:val="00E82DC6"/>
    <w:rsid w:val="00E84AA1"/>
    <w:rsid w:val="00E869E9"/>
    <w:rsid w:val="00E87045"/>
    <w:rsid w:val="00E87F71"/>
    <w:rsid w:val="00E92C15"/>
    <w:rsid w:val="00E938D7"/>
    <w:rsid w:val="00E939F4"/>
    <w:rsid w:val="00E95BCC"/>
    <w:rsid w:val="00EA0C82"/>
    <w:rsid w:val="00EA0EBE"/>
    <w:rsid w:val="00EA3705"/>
    <w:rsid w:val="00EA3B86"/>
    <w:rsid w:val="00EA3D5E"/>
    <w:rsid w:val="00EB0334"/>
    <w:rsid w:val="00EB1770"/>
    <w:rsid w:val="00EB245E"/>
    <w:rsid w:val="00EB515B"/>
    <w:rsid w:val="00EB771E"/>
    <w:rsid w:val="00EB77B8"/>
    <w:rsid w:val="00EB7BA9"/>
    <w:rsid w:val="00EC0CB7"/>
    <w:rsid w:val="00EC216F"/>
    <w:rsid w:val="00EC2F0F"/>
    <w:rsid w:val="00EC3D19"/>
    <w:rsid w:val="00EC52DF"/>
    <w:rsid w:val="00EC6A3C"/>
    <w:rsid w:val="00EC6D5D"/>
    <w:rsid w:val="00EC700C"/>
    <w:rsid w:val="00ED0279"/>
    <w:rsid w:val="00ED1553"/>
    <w:rsid w:val="00ED1B06"/>
    <w:rsid w:val="00ED2011"/>
    <w:rsid w:val="00ED2482"/>
    <w:rsid w:val="00ED4413"/>
    <w:rsid w:val="00ED4715"/>
    <w:rsid w:val="00ED63D7"/>
    <w:rsid w:val="00ED6719"/>
    <w:rsid w:val="00ED71E5"/>
    <w:rsid w:val="00ED7ADD"/>
    <w:rsid w:val="00EE14E3"/>
    <w:rsid w:val="00EE1AC8"/>
    <w:rsid w:val="00EE1D42"/>
    <w:rsid w:val="00EE34CA"/>
    <w:rsid w:val="00EF05F6"/>
    <w:rsid w:val="00EF102B"/>
    <w:rsid w:val="00EF288A"/>
    <w:rsid w:val="00EF51C0"/>
    <w:rsid w:val="00EF523A"/>
    <w:rsid w:val="00EF65AD"/>
    <w:rsid w:val="00EF6B7C"/>
    <w:rsid w:val="00EF6E8A"/>
    <w:rsid w:val="00EF6F5D"/>
    <w:rsid w:val="00EF700A"/>
    <w:rsid w:val="00F01BC0"/>
    <w:rsid w:val="00F029ED"/>
    <w:rsid w:val="00F051C2"/>
    <w:rsid w:val="00F068CE"/>
    <w:rsid w:val="00F07BE2"/>
    <w:rsid w:val="00F1011C"/>
    <w:rsid w:val="00F10496"/>
    <w:rsid w:val="00F13CFB"/>
    <w:rsid w:val="00F157B3"/>
    <w:rsid w:val="00F162DB"/>
    <w:rsid w:val="00F16B7E"/>
    <w:rsid w:val="00F16CA4"/>
    <w:rsid w:val="00F211B1"/>
    <w:rsid w:val="00F23DCC"/>
    <w:rsid w:val="00F25F0F"/>
    <w:rsid w:val="00F25F6B"/>
    <w:rsid w:val="00F26E02"/>
    <w:rsid w:val="00F26FD6"/>
    <w:rsid w:val="00F279CA"/>
    <w:rsid w:val="00F319CD"/>
    <w:rsid w:val="00F32F81"/>
    <w:rsid w:val="00F33F29"/>
    <w:rsid w:val="00F368EC"/>
    <w:rsid w:val="00F36EEC"/>
    <w:rsid w:val="00F3727D"/>
    <w:rsid w:val="00F4305A"/>
    <w:rsid w:val="00F43E63"/>
    <w:rsid w:val="00F4404C"/>
    <w:rsid w:val="00F45444"/>
    <w:rsid w:val="00F45F89"/>
    <w:rsid w:val="00F465CA"/>
    <w:rsid w:val="00F47716"/>
    <w:rsid w:val="00F51682"/>
    <w:rsid w:val="00F51CD5"/>
    <w:rsid w:val="00F52B93"/>
    <w:rsid w:val="00F534B8"/>
    <w:rsid w:val="00F53506"/>
    <w:rsid w:val="00F550C6"/>
    <w:rsid w:val="00F552DA"/>
    <w:rsid w:val="00F56C25"/>
    <w:rsid w:val="00F5796A"/>
    <w:rsid w:val="00F60548"/>
    <w:rsid w:val="00F6251D"/>
    <w:rsid w:val="00F62B22"/>
    <w:rsid w:val="00F63184"/>
    <w:rsid w:val="00F634FF"/>
    <w:rsid w:val="00F63736"/>
    <w:rsid w:val="00F63757"/>
    <w:rsid w:val="00F63811"/>
    <w:rsid w:val="00F656D3"/>
    <w:rsid w:val="00F66C5F"/>
    <w:rsid w:val="00F679A6"/>
    <w:rsid w:val="00F67EC2"/>
    <w:rsid w:val="00F70F60"/>
    <w:rsid w:val="00F71B41"/>
    <w:rsid w:val="00F731BE"/>
    <w:rsid w:val="00F74616"/>
    <w:rsid w:val="00F74D64"/>
    <w:rsid w:val="00F76BA0"/>
    <w:rsid w:val="00F80A09"/>
    <w:rsid w:val="00F815B2"/>
    <w:rsid w:val="00F83515"/>
    <w:rsid w:val="00F83C29"/>
    <w:rsid w:val="00F8618D"/>
    <w:rsid w:val="00F86744"/>
    <w:rsid w:val="00F86F61"/>
    <w:rsid w:val="00F87BE2"/>
    <w:rsid w:val="00F91461"/>
    <w:rsid w:val="00F92323"/>
    <w:rsid w:val="00F94F31"/>
    <w:rsid w:val="00F95685"/>
    <w:rsid w:val="00FA0BAB"/>
    <w:rsid w:val="00FA17DD"/>
    <w:rsid w:val="00FA17DE"/>
    <w:rsid w:val="00FA23C1"/>
    <w:rsid w:val="00FA3A98"/>
    <w:rsid w:val="00FA3D44"/>
    <w:rsid w:val="00FA54BA"/>
    <w:rsid w:val="00FB2E6A"/>
    <w:rsid w:val="00FB4F63"/>
    <w:rsid w:val="00FB518C"/>
    <w:rsid w:val="00FB572E"/>
    <w:rsid w:val="00FC113B"/>
    <w:rsid w:val="00FC21E6"/>
    <w:rsid w:val="00FC2CC2"/>
    <w:rsid w:val="00FC461D"/>
    <w:rsid w:val="00FC5E44"/>
    <w:rsid w:val="00FC7404"/>
    <w:rsid w:val="00FD1E09"/>
    <w:rsid w:val="00FD261D"/>
    <w:rsid w:val="00FD62BE"/>
    <w:rsid w:val="00FD6846"/>
    <w:rsid w:val="00FE1E75"/>
    <w:rsid w:val="00FE21B9"/>
    <w:rsid w:val="00FE2A49"/>
    <w:rsid w:val="00FE32EA"/>
    <w:rsid w:val="00FE642C"/>
    <w:rsid w:val="00FE6E4E"/>
    <w:rsid w:val="00FF137B"/>
    <w:rsid w:val="00FF1DD7"/>
    <w:rsid w:val="00FF28DD"/>
    <w:rsid w:val="00FF35B3"/>
    <w:rsid w:val="00FF7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9D78"/>
  <w15:chartTrackingRefBased/>
  <w15:docId w15:val="{766EA392-1504-4A09-B433-E080D294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unhideWhenUsed/>
    <w:rsid w:val="00B849C8"/>
    <w:rPr>
      <w:vertAlign w:val="superscript"/>
    </w:rPr>
  </w:style>
  <w:style w:type="paragraph" w:styleId="CommentText">
    <w:name w:val="annotation text"/>
    <w:basedOn w:val="Normal"/>
    <w:link w:val="CommentTextChar"/>
    <w:uiPriority w:val="99"/>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semiHidden/>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 w:type="character" w:customStyle="1" w:styleId="ListParagraphChar">
    <w:name w:val="List Paragraph Char"/>
    <w:aliases w:val="Dot pt Char"/>
    <w:link w:val="ListParagraph"/>
    <w:uiPriority w:val="34"/>
    <w:locked/>
    <w:rsid w:val="00A92ECA"/>
  </w:style>
  <w:style w:type="character" w:customStyle="1" w:styleId="wixguard">
    <w:name w:val="wixguard"/>
    <w:basedOn w:val="DefaultParagraphFont"/>
    <w:rsid w:val="001701F4"/>
  </w:style>
  <w:style w:type="paragraph" w:customStyle="1" w:styleId="BodyText1">
    <w:name w:val="Body Text1"/>
    <w:basedOn w:val="Normal"/>
    <w:link w:val="BodytextChar"/>
    <w:qFormat/>
    <w:rsid w:val="007E46AB"/>
    <w:pPr>
      <w:spacing w:before="120" w:after="0" w:line="312" w:lineRule="auto"/>
      <w:ind w:firstLine="720"/>
      <w:jc w:val="both"/>
    </w:pPr>
    <w:rPr>
      <w:rFonts w:ascii="Calibri" w:eastAsia="Times New Roman" w:hAnsi="Calibri" w:cs="Times New Roman"/>
      <w:kern w:val="20"/>
      <w:sz w:val="20"/>
      <w:szCs w:val="20"/>
    </w:rPr>
  </w:style>
  <w:style w:type="character" w:customStyle="1" w:styleId="BodytextChar">
    <w:name w:val="Body text Char"/>
    <w:basedOn w:val="DefaultParagraphFont"/>
    <w:link w:val="BodyText1"/>
    <w:rsid w:val="007E46AB"/>
    <w:rPr>
      <w:rFonts w:ascii="Calibri" w:eastAsia="Times New Roman" w:hAnsi="Calibri" w:cs="Times New Roman"/>
      <w:kern w:val="20"/>
      <w:sz w:val="20"/>
      <w:szCs w:val="20"/>
    </w:rPr>
  </w:style>
  <w:style w:type="paragraph" w:styleId="CommentSubject">
    <w:name w:val="annotation subject"/>
    <w:basedOn w:val="CommentText"/>
    <w:next w:val="CommentText"/>
    <w:link w:val="CommentSubjectChar"/>
    <w:uiPriority w:val="99"/>
    <w:semiHidden/>
    <w:unhideWhenUsed/>
    <w:rsid w:val="00970FC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0FC6"/>
    <w:rPr>
      <w:rFonts w:ascii="Calibri" w:eastAsia="Times New Roman" w:hAnsi="Calibri" w:cs="Calibri"/>
      <w:b/>
      <w:bCs/>
      <w:sz w:val="20"/>
      <w:szCs w:val="20"/>
      <w:lang w:eastAsia="en-GB"/>
    </w:rPr>
  </w:style>
  <w:style w:type="character" w:customStyle="1" w:styleId="markedcontent">
    <w:name w:val="markedcontent"/>
    <w:basedOn w:val="DefaultParagraphFont"/>
    <w:rsid w:val="008608B5"/>
  </w:style>
  <w:style w:type="paragraph" w:customStyle="1" w:styleId="xmsonormal">
    <w:name w:val="x_msonormal"/>
    <w:basedOn w:val="Normal"/>
    <w:rsid w:val="00DA5260"/>
    <w:pPr>
      <w:spacing w:before="100" w:beforeAutospacing="1" w:after="100" w:afterAutospacing="1" w:line="240" w:lineRule="auto"/>
    </w:pPr>
    <w:rPr>
      <w:rFonts w:ascii="Calibri" w:hAnsi="Calibri" w:cs="Calibri"/>
      <w:lang w:eastAsia="en-GB"/>
    </w:rPr>
  </w:style>
  <w:style w:type="paragraph" w:styleId="Revision">
    <w:name w:val="Revision"/>
    <w:uiPriority w:val="99"/>
    <w:semiHidden/>
    <w:rsid w:val="009D1C50"/>
    <w:pPr>
      <w:spacing w:after="0" w:line="240" w:lineRule="auto"/>
    </w:pPr>
    <w:rPr>
      <w:sz w:val="24"/>
      <w:szCs w:val="24"/>
    </w:rPr>
  </w:style>
  <w:style w:type="character" w:customStyle="1" w:styleId="FootnotesChar">
    <w:name w:val="Footnotes Char"/>
    <w:basedOn w:val="DefaultParagraphFont"/>
    <w:link w:val="Footnotes"/>
    <w:uiPriority w:val="20"/>
    <w:locked/>
    <w:rsid w:val="009D1C50"/>
    <w:rPr>
      <w:rFonts w:ascii="Times New Roman" w:eastAsia="Times New Roman" w:hAnsi="Times New Roman" w:cstheme="minorHAnsi"/>
      <w:sz w:val="20"/>
      <w:szCs w:val="20"/>
      <w:shd w:val="clear" w:color="auto" w:fill="FFFFFF"/>
      <w:lang w:val="en-US"/>
    </w:rPr>
  </w:style>
  <w:style w:type="paragraph" w:customStyle="1" w:styleId="Footnotes">
    <w:name w:val="Footnotes"/>
    <w:basedOn w:val="BodyText"/>
    <w:link w:val="FootnotesChar"/>
    <w:autoRedefine/>
    <w:uiPriority w:val="20"/>
    <w:qFormat/>
    <w:rsid w:val="009D1C50"/>
    <w:pPr>
      <w:widowControl w:val="0"/>
      <w:shd w:val="clear" w:color="auto" w:fill="FFFFFF"/>
      <w:autoSpaceDE w:val="0"/>
      <w:autoSpaceDN w:val="0"/>
      <w:spacing w:after="0" w:line="240" w:lineRule="auto"/>
    </w:pPr>
    <w:rPr>
      <w:rFonts w:ascii="Times New Roman" w:eastAsia="Times New Roman" w:hAnsi="Times New Roman" w:cstheme="minorHAnsi"/>
      <w:sz w:val="20"/>
      <w:szCs w:val="20"/>
      <w:lang w:val="en-US"/>
    </w:rPr>
  </w:style>
  <w:style w:type="character" w:customStyle="1" w:styleId="FOFlistChar">
    <w:name w:val="FOF list Char"/>
    <w:basedOn w:val="DefaultParagraphFont"/>
    <w:link w:val="FOFlist"/>
    <w:locked/>
    <w:rsid w:val="009D1C50"/>
    <w:rPr>
      <w:rFonts w:ascii="Century Gothic" w:hAnsi="Century Gothic" w:cstheme="minorHAnsi"/>
      <w:bCs/>
      <w:noProof/>
      <w:color w:val="000000" w:themeColor="text1"/>
      <w:lang w:eastAsia="en-GB"/>
    </w:rPr>
  </w:style>
  <w:style w:type="paragraph" w:customStyle="1" w:styleId="FOFlist">
    <w:name w:val="FOF list"/>
    <w:basedOn w:val="ListParagraph"/>
    <w:link w:val="FOFlistChar"/>
    <w:qFormat/>
    <w:rsid w:val="009D1C50"/>
    <w:pPr>
      <w:widowControl w:val="0"/>
      <w:numPr>
        <w:numId w:val="7"/>
      </w:numPr>
      <w:autoSpaceDE w:val="0"/>
      <w:autoSpaceDN w:val="0"/>
      <w:spacing w:line="276" w:lineRule="auto"/>
      <w:contextualSpacing w:val="0"/>
      <w:jc w:val="both"/>
    </w:pPr>
    <w:rPr>
      <w:rFonts w:ascii="Century Gothic" w:hAnsi="Century Gothic" w:cstheme="minorHAnsi"/>
      <w:bCs/>
      <w:noProof/>
      <w:color w:val="000000" w:themeColor="text1"/>
      <w:lang w:eastAsia="en-GB"/>
    </w:rPr>
  </w:style>
  <w:style w:type="paragraph" w:styleId="BodyText">
    <w:name w:val="Body Text"/>
    <w:basedOn w:val="Normal"/>
    <w:link w:val="BodyTextChar0"/>
    <w:uiPriority w:val="99"/>
    <w:semiHidden/>
    <w:unhideWhenUsed/>
    <w:rsid w:val="009D1C50"/>
    <w:pPr>
      <w:spacing w:after="120"/>
    </w:pPr>
  </w:style>
  <w:style w:type="character" w:customStyle="1" w:styleId="BodyTextChar0">
    <w:name w:val="Body Text Char"/>
    <w:basedOn w:val="DefaultParagraphFont"/>
    <w:link w:val="BodyText"/>
    <w:uiPriority w:val="99"/>
    <w:semiHidden/>
    <w:rsid w:val="009D1C50"/>
  </w:style>
  <w:style w:type="character" w:customStyle="1" w:styleId="cf01">
    <w:name w:val="cf01"/>
    <w:basedOn w:val="DefaultParagraphFont"/>
    <w:rsid w:val="00977C0B"/>
    <w:rPr>
      <w:rFonts w:ascii="Segoe UI" w:hAnsi="Segoe UI" w:cs="Segoe UI" w:hint="default"/>
      <w:sz w:val="18"/>
      <w:szCs w:val="18"/>
    </w:rPr>
  </w:style>
  <w:style w:type="paragraph" w:customStyle="1" w:styleId="Default">
    <w:name w:val="Default"/>
    <w:rsid w:val="00BE56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1072831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0366801">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218635436">
      <w:bodyDiv w:val="1"/>
      <w:marLeft w:val="0"/>
      <w:marRight w:val="0"/>
      <w:marTop w:val="0"/>
      <w:marBottom w:val="0"/>
      <w:divBdr>
        <w:top w:val="none" w:sz="0" w:space="0" w:color="auto"/>
        <w:left w:val="none" w:sz="0" w:space="0" w:color="auto"/>
        <w:bottom w:val="none" w:sz="0" w:space="0" w:color="auto"/>
        <w:right w:val="none" w:sz="0" w:space="0" w:color="auto"/>
      </w:divBdr>
    </w:div>
    <w:div w:id="306401011">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626350921">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310668134">
      <w:bodyDiv w:val="1"/>
      <w:marLeft w:val="0"/>
      <w:marRight w:val="0"/>
      <w:marTop w:val="0"/>
      <w:marBottom w:val="0"/>
      <w:divBdr>
        <w:top w:val="none" w:sz="0" w:space="0" w:color="auto"/>
        <w:left w:val="none" w:sz="0" w:space="0" w:color="auto"/>
        <w:bottom w:val="none" w:sz="0" w:space="0" w:color="auto"/>
        <w:right w:val="none" w:sz="0" w:space="0" w:color="auto"/>
      </w:divBdr>
    </w:div>
    <w:div w:id="1379624425">
      <w:bodyDiv w:val="1"/>
      <w:marLeft w:val="0"/>
      <w:marRight w:val="0"/>
      <w:marTop w:val="0"/>
      <w:marBottom w:val="0"/>
      <w:divBdr>
        <w:top w:val="none" w:sz="0" w:space="0" w:color="auto"/>
        <w:left w:val="none" w:sz="0" w:space="0" w:color="auto"/>
        <w:bottom w:val="none" w:sz="0" w:space="0" w:color="auto"/>
        <w:right w:val="none" w:sz="0" w:space="0" w:color="auto"/>
      </w:divBdr>
    </w:div>
    <w:div w:id="1499493128">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563177732">
      <w:bodyDiv w:val="1"/>
      <w:marLeft w:val="0"/>
      <w:marRight w:val="0"/>
      <w:marTop w:val="0"/>
      <w:marBottom w:val="0"/>
      <w:divBdr>
        <w:top w:val="none" w:sz="0" w:space="0" w:color="auto"/>
        <w:left w:val="none" w:sz="0" w:space="0" w:color="auto"/>
        <w:bottom w:val="none" w:sz="0" w:space="0" w:color="auto"/>
        <w:right w:val="none" w:sz="0" w:space="0" w:color="auto"/>
      </w:divBdr>
    </w:div>
    <w:div w:id="1620606348">
      <w:bodyDiv w:val="1"/>
      <w:marLeft w:val="0"/>
      <w:marRight w:val="0"/>
      <w:marTop w:val="0"/>
      <w:marBottom w:val="0"/>
      <w:divBdr>
        <w:top w:val="none" w:sz="0" w:space="0" w:color="auto"/>
        <w:left w:val="none" w:sz="0" w:space="0" w:color="auto"/>
        <w:bottom w:val="none" w:sz="0" w:space="0" w:color="auto"/>
        <w:right w:val="none" w:sz="0" w:space="0" w:color="auto"/>
      </w:divBdr>
    </w:div>
    <w:div w:id="1729261632">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01458109">
      <w:bodyDiv w:val="1"/>
      <w:marLeft w:val="0"/>
      <w:marRight w:val="0"/>
      <w:marTop w:val="0"/>
      <w:marBottom w:val="0"/>
      <w:divBdr>
        <w:top w:val="none" w:sz="0" w:space="0" w:color="auto"/>
        <w:left w:val="none" w:sz="0" w:space="0" w:color="auto"/>
        <w:bottom w:val="none" w:sz="0" w:space="0" w:color="auto"/>
        <w:right w:val="none" w:sz="0" w:space="0" w:color="auto"/>
      </w:divBdr>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1861312399">
      <w:bodyDiv w:val="1"/>
      <w:marLeft w:val="0"/>
      <w:marRight w:val="0"/>
      <w:marTop w:val="0"/>
      <w:marBottom w:val="0"/>
      <w:divBdr>
        <w:top w:val="none" w:sz="0" w:space="0" w:color="auto"/>
        <w:left w:val="none" w:sz="0" w:space="0" w:color="auto"/>
        <w:bottom w:val="none" w:sz="0" w:space="0" w:color="auto"/>
        <w:right w:val="none" w:sz="0" w:space="0" w:color="auto"/>
      </w:divBdr>
    </w:div>
    <w:div w:id="2000846514">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Paul Thompson</DisplayName>
        <AccountId>114</AccountId>
        <AccountType/>
      </UserInfo>
      <UserInfo>
        <DisplayName>Sara Bartle</DisplayName>
        <AccountId>165</AccountId>
        <AccountType/>
      </UserInfo>
    </SharedWithUsers>
  </documentManagement>
</p:properties>
</file>

<file path=customXml/itemProps1.xml><?xml version="1.0" encoding="utf-8"?>
<ds:datastoreItem xmlns:ds="http://schemas.openxmlformats.org/officeDocument/2006/customXml" ds:itemID="{76EA6833-D38D-4C3D-8801-D2A140961CF7}">
  <ds:schemaRefs>
    <ds:schemaRef ds:uri="http://schemas.openxmlformats.org/officeDocument/2006/bibliography"/>
  </ds:schemaRefs>
</ds:datastoreItem>
</file>

<file path=customXml/itemProps2.xml><?xml version="1.0" encoding="utf-8"?>
<ds:datastoreItem xmlns:ds="http://schemas.openxmlformats.org/officeDocument/2006/customXml" ds:itemID="{F53DC597-D7FF-44A1-9FD5-2755CC969F03}">
  <ds:schemaRefs>
    <ds:schemaRef ds:uri="http://schemas.microsoft.com/sharepoint/v3/contenttype/forms"/>
  </ds:schemaRefs>
</ds:datastoreItem>
</file>

<file path=customXml/itemProps3.xml><?xml version="1.0" encoding="utf-8"?>
<ds:datastoreItem xmlns:ds="http://schemas.openxmlformats.org/officeDocument/2006/customXml" ds:itemID="{4C4088FE-24EE-46CF-86CD-C46F8208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590B7-48CB-43DF-A617-8B1A8E709C5E}">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 REA</dc:creator>
  <cp:keywords/>
  <dc:description/>
  <cp:lastModifiedBy>Mark Sommerfeld</cp:lastModifiedBy>
  <cp:revision>4</cp:revision>
  <dcterms:created xsi:type="dcterms:W3CDTF">2023-07-28T17:07:00Z</dcterms:created>
  <dcterms:modified xsi:type="dcterms:W3CDTF">2023-07-28T18:03:00Z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