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138F" w14:textId="58FAFF33" w:rsidR="00E10A83" w:rsidRPr="00E3591E" w:rsidRDefault="00192AE9" w:rsidP="00E10A83">
      <w:pPr>
        <w:spacing w:after="0" w:line="240" w:lineRule="auto"/>
        <w:jc w:val="center"/>
        <w:rPr>
          <w:rFonts w:eastAsia="Times New Roman" w:cstheme="minorHAnsi"/>
          <w:b/>
          <w:bCs/>
          <w:color w:val="06926B"/>
          <w:kern w:val="0"/>
          <w:sz w:val="24"/>
          <w:szCs w:val="24"/>
          <w:lang w:eastAsia="en-GB"/>
          <w14:ligatures w14:val="none"/>
        </w:rPr>
      </w:pPr>
      <w:r w:rsidRPr="00E3591E">
        <w:rPr>
          <w:rFonts w:eastAsia="Times New Roman" w:cstheme="minorHAnsi"/>
          <w:b/>
          <w:bCs/>
          <w:color w:val="06926B"/>
          <w:kern w:val="0"/>
          <w:sz w:val="24"/>
          <w:szCs w:val="24"/>
          <w:lang w:eastAsia="en-GB"/>
          <w14:ligatures w14:val="none"/>
        </w:rPr>
        <w:t>REA Response</w:t>
      </w:r>
    </w:p>
    <w:p w14:paraId="3C13B1C8" w14:textId="5A77F501" w:rsidR="004E3A7B" w:rsidRPr="00E3591E" w:rsidRDefault="00192AE9" w:rsidP="00E10A83">
      <w:pPr>
        <w:spacing w:after="0" w:line="240" w:lineRule="auto"/>
        <w:jc w:val="center"/>
        <w:rPr>
          <w:rFonts w:eastAsia="Times New Roman" w:cstheme="minorHAnsi"/>
          <w:b/>
          <w:bCs/>
          <w:color w:val="06926B"/>
          <w:kern w:val="0"/>
          <w:sz w:val="24"/>
          <w:szCs w:val="24"/>
          <w:lang w:eastAsia="en-GB"/>
          <w14:ligatures w14:val="none"/>
        </w:rPr>
      </w:pPr>
      <w:r w:rsidRPr="00E3591E">
        <w:rPr>
          <w:rFonts w:eastAsia="Times New Roman" w:cstheme="minorHAnsi"/>
          <w:b/>
          <w:bCs/>
          <w:color w:val="06926B"/>
          <w:kern w:val="0"/>
          <w:sz w:val="24"/>
          <w:szCs w:val="24"/>
          <w:lang w:eastAsia="en-GB"/>
          <w14:ligatures w14:val="none"/>
        </w:rPr>
        <w:t>Introducing Fixed Price Certificates into Renewables Obligation schemes: call for evidence</w:t>
      </w:r>
    </w:p>
    <w:p w14:paraId="163B3499" w14:textId="4D2C6B0D" w:rsidR="00F51419" w:rsidRDefault="00192AE9" w:rsidP="00F51419">
      <w:pPr>
        <w:spacing w:before="100" w:beforeAutospacing="1" w:after="100" w:afterAutospacing="1" w:line="240" w:lineRule="auto"/>
        <w:rPr>
          <w:rFonts w:eastAsia="Times New Roman" w:cstheme="minorHAnsi"/>
          <w:kern w:val="0"/>
          <w:lang w:eastAsia="en-GB"/>
          <w14:ligatures w14:val="none"/>
        </w:rPr>
      </w:pPr>
      <w:r w:rsidRPr="00E3591E">
        <w:rPr>
          <w:rFonts w:eastAsia="Times New Roman" w:cstheme="minorHAnsi"/>
          <w:kern w:val="0"/>
          <w:lang w:eastAsia="en-GB"/>
          <w14:ligatures w14:val="none"/>
        </w:rPr>
        <w:t xml:space="preserve">The Association for Renewable Energy &amp; Clean Technologies (REA) is pleased to submit this response. The REA represents industry </w:t>
      </w:r>
      <w:r w:rsidRPr="00E3591E">
        <w:rPr>
          <w:rFonts w:eastAsia="Times New Roman" w:cstheme="minorHAnsi"/>
          <w:kern w:val="0"/>
          <w:lang w:eastAsia="en-GB"/>
          <w14:ligatures w14:val="none"/>
        </w:rPr>
        <w:t>stakeholders from across the sector and includes dedicated member forums focused on solar, energy storage, green gas &amp; hydrogen, biomass power, and energy from waste (including advanced conversion technologies). Our members include generators, project deve</w:t>
      </w:r>
      <w:r w:rsidRPr="00E3591E">
        <w:rPr>
          <w:rFonts w:eastAsia="Times New Roman" w:cstheme="minorHAnsi"/>
          <w:kern w:val="0"/>
          <w:lang w:eastAsia="en-GB"/>
          <w14:ligatures w14:val="none"/>
        </w:rPr>
        <w:t xml:space="preserve">lopers, heat suppliers, investors, equipment producers and service providers. Members range in size from major multinationals to sole traders. There are over 500 corporate members of the REA, making it the largest renewable energy trade association in the </w:t>
      </w:r>
      <w:r w:rsidRPr="00E3591E">
        <w:rPr>
          <w:rFonts w:eastAsia="Times New Roman" w:cstheme="minorHAnsi"/>
          <w:kern w:val="0"/>
          <w:lang w:eastAsia="en-GB"/>
          <w14:ligatures w14:val="none"/>
        </w:rPr>
        <w:t>UK.</w:t>
      </w:r>
    </w:p>
    <w:p w14:paraId="3BE2A93E" w14:textId="0451042F" w:rsidR="00192AE9" w:rsidRPr="00E3591E" w:rsidRDefault="00192AE9" w:rsidP="00F51419">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Goven the range of our members, the REA would welcome the opportunity to arrange </w:t>
      </w:r>
      <w:proofErr w:type="gramStart"/>
      <w:r>
        <w:rPr>
          <w:rFonts w:eastAsia="Times New Roman" w:cstheme="minorHAnsi"/>
          <w:kern w:val="0"/>
          <w:lang w:eastAsia="en-GB"/>
          <w14:ligatures w14:val="none"/>
        </w:rPr>
        <w:t>a</w:t>
      </w:r>
      <w:proofErr w:type="gramEnd"/>
      <w:r>
        <w:rPr>
          <w:rFonts w:eastAsia="Times New Roman" w:cstheme="minorHAnsi"/>
          <w:kern w:val="0"/>
          <w:lang w:eastAsia="en-GB"/>
          <w14:ligatures w14:val="none"/>
        </w:rPr>
        <w:t xml:space="preserve"> industry roundtable with DES NZ to further discuss these proposals. </w:t>
      </w:r>
    </w:p>
    <w:p w14:paraId="775ED75D" w14:textId="047B8A8A" w:rsidR="00914E7F" w:rsidRDefault="00192AE9" w:rsidP="00914E7F">
      <w:pPr>
        <w:rPr>
          <w:b/>
          <w:bCs/>
        </w:rPr>
      </w:pPr>
      <w:r w:rsidRPr="00914E7F">
        <w:rPr>
          <w:b/>
          <w:bCs/>
        </w:rPr>
        <w:t xml:space="preserve">Q1. What are the benefits and drawbacks associated with Model 1? </w:t>
      </w:r>
    </w:p>
    <w:p w14:paraId="7E275D8F" w14:textId="41866969" w:rsidR="00EF6C12" w:rsidRDefault="00192AE9" w:rsidP="005C147E">
      <w:pPr>
        <w:spacing w:after="0" w:line="240" w:lineRule="auto"/>
      </w:pPr>
      <w:r>
        <w:t xml:space="preserve">The REA believes that model 1 provides the most straightforward and predictable </w:t>
      </w:r>
      <w:r w:rsidR="00C319EC">
        <w:t xml:space="preserve">model for the </w:t>
      </w:r>
      <w:r w:rsidR="00266847">
        <w:t>introduction of Fixed Price Certificates</w:t>
      </w:r>
      <w:r w:rsidR="007256EF">
        <w:t xml:space="preserve"> (FPCs)</w:t>
      </w:r>
      <w:r w:rsidR="00266847">
        <w:t>. We agree with the identified benefits within the consultation</w:t>
      </w:r>
      <w:r w:rsidR="008D2B79">
        <w:t xml:space="preserve">, namely that it </w:t>
      </w:r>
      <w:r w:rsidR="006C118B">
        <w:t>could:</w:t>
      </w:r>
    </w:p>
    <w:p w14:paraId="6AD2D6C8" w14:textId="60181CC4" w:rsidR="004544BB" w:rsidRPr="004544BB" w:rsidRDefault="00192AE9" w:rsidP="005C147E">
      <w:pPr>
        <w:numPr>
          <w:ilvl w:val="0"/>
          <w:numId w:val="2"/>
        </w:numPr>
        <w:spacing w:after="0" w:line="240" w:lineRule="auto"/>
        <w:ind w:left="714" w:hanging="357"/>
      </w:pPr>
      <w:r w:rsidRPr="004544BB">
        <w:t>increase revenue certainty for generators</w:t>
      </w:r>
      <w:r w:rsidR="006C118B">
        <w:t xml:space="preserve"> as </w:t>
      </w:r>
      <w:r w:rsidR="00436005">
        <w:t xml:space="preserve">RO contracts start to come to an end in 2027 and generators exit the scheme. </w:t>
      </w:r>
    </w:p>
    <w:p w14:paraId="3586B775" w14:textId="08A92985" w:rsidR="004544BB" w:rsidRPr="004544BB" w:rsidRDefault="00192AE9" w:rsidP="005C147E">
      <w:pPr>
        <w:numPr>
          <w:ilvl w:val="0"/>
          <w:numId w:val="2"/>
        </w:numPr>
        <w:spacing w:after="0" w:line="240" w:lineRule="auto"/>
        <w:ind w:left="714" w:hanging="357"/>
      </w:pPr>
      <w:r w:rsidRPr="004544BB">
        <w:t xml:space="preserve">create long-term administrative savings for </w:t>
      </w:r>
      <w:r w:rsidR="00581540" w:rsidRPr="004544BB">
        <w:t>suppliers.</w:t>
      </w:r>
    </w:p>
    <w:p w14:paraId="0C38E6A3" w14:textId="4C909445" w:rsidR="004544BB" w:rsidRPr="004544BB" w:rsidRDefault="00192AE9" w:rsidP="005C147E">
      <w:pPr>
        <w:numPr>
          <w:ilvl w:val="0"/>
          <w:numId w:val="2"/>
        </w:numPr>
        <w:spacing w:after="0" w:line="240" w:lineRule="auto"/>
        <w:ind w:left="714" w:hanging="357"/>
      </w:pPr>
      <w:r>
        <w:t xml:space="preserve">potentially </w:t>
      </w:r>
      <w:r w:rsidRPr="004544BB">
        <w:t>reduced costs for consum</w:t>
      </w:r>
      <w:r w:rsidRPr="004544BB">
        <w:t xml:space="preserve">ers as third-party traders’ fees would be eliminated. </w:t>
      </w:r>
    </w:p>
    <w:p w14:paraId="05E07497" w14:textId="77777777" w:rsidR="005C147E" w:rsidRDefault="005C147E" w:rsidP="005C147E">
      <w:pPr>
        <w:spacing w:after="0" w:line="240" w:lineRule="auto"/>
        <w:rPr>
          <w:b/>
          <w:bCs/>
        </w:rPr>
      </w:pPr>
    </w:p>
    <w:p w14:paraId="4F8798C2" w14:textId="1EE37C0D" w:rsidR="003B7126" w:rsidRDefault="00192AE9" w:rsidP="005C147E">
      <w:pPr>
        <w:spacing w:after="0" w:line="240" w:lineRule="auto"/>
      </w:pPr>
      <w:r w:rsidRPr="005C147E">
        <w:t xml:space="preserve">The loss of the benefits of trading </w:t>
      </w:r>
      <w:r w:rsidR="007F61DD">
        <w:t xml:space="preserve">is seen as a drawback, and </w:t>
      </w:r>
      <w:r>
        <w:t xml:space="preserve">the new model </w:t>
      </w:r>
      <w:r w:rsidR="007F61DD">
        <w:t xml:space="preserve">will need to be </w:t>
      </w:r>
      <w:r>
        <w:t>reflected</w:t>
      </w:r>
      <w:r w:rsidR="007F61DD">
        <w:t xml:space="preserve"> in contractual arrangements between suppliers and </w:t>
      </w:r>
      <w:r w:rsidR="00564279">
        <w:t>g</w:t>
      </w:r>
      <w:r w:rsidR="007F61DD">
        <w:t>enerators.</w:t>
      </w:r>
      <w:r>
        <w:t xml:space="preserve"> However, this is seen as manageable </w:t>
      </w:r>
      <w:proofErr w:type="gramStart"/>
      <w:r>
        <w:t>as long a</w:t>
      </w:r>
      <w:r w:rsidR="00220419">
        <w:t>s</w:t>
      </w:r>
      <w:proofErr w:type="gramEnd"/>
      <w:r>
        <w:t xml:space="preserve"> the price set for </w:t>
      </w:r>
      <w:r w:rsidR="00EB7B71">
        <w:t>FPC</w:t>
      </w:r>
      <w:r w:rsidR="00F760F4">
        <w:t>s</w:t>
      </w:r>
      <w:r w:rsidR="00EB7B71">
        <w:t xml:space="preserve"> is </w:t>
      </w:r>
      <w:r w:rsidR="00EB5C9D">
        <w:t xml:space="preserve">equivalent to </w:t>
      </w:r>
      <w:r w:rsidR="00F760F4">
        <w:t xml:space="preserve">the </w:t>
      </w:r>
      <w:r w:rsidR="005F02D0">
        <w:t>revenue generators</w:t>
      </w:r>
      <w:r w:rsidR="00F760F4">
        <w:t xml:space="preserve"> expect from </w:t>
      </w:r>
      <w:r w:rsidR="005F02D0">
        <w:t>current ROC sales</w:t>
      </w:r>
      <w:r w:rsidR="00581540">
        <w:t xml:space="preserve">. Critically this needs to </w:t>
      </w:r>
      <w:r w:rsidR="005F02D0">
        <w:t xml:space="preserve">include the </w:t>
      </w:r>
      <w:r w:rsidR="003C6613">
        <w:t xml:space="preserve">ROC </w:t>
      </w:r>
      <w:r w:rsidR="00B830EA">
        <w:t>recycle</w:t>
      </w:r>
      <w:r w:rsidR="003C6613">
        <w:t xml:space="preserve"> value </w:t>
      </w:r>
      <w:r w:rsidR="005F02D0">
        <w:t xml:space="preserve">that is </w:t>
      </w:r>
      <w:r w:rsidR="003C6613">
        <w:t xml:space="preserve">passed to </w:t>
      </w:r>
      <w:r w:rsidR="00B830EA">
        <w:t>generators</w:t>
      </w:r>
      <w:r w:rsidR="003C6613">
        <w:t xml:space="preserve"> from suppliers through the current PPA arrangement.</w:t>
      </w:r>
      <w:r w:rsidR="00B830EA">
        <w:t xml:space="preserve"> </w:t>
      </w:r>
      <w:r w:rsidR="00017193">
        <w:t>Critically, the</w:t>
      </w:r>
      <w:r w:rsidR="003C6613">
        <w:t xml:space="preserve"> loss of trading arrangements must not lead to a loss of revenue for generators. </w:t>
      </w:r>
      <w:r w:rsidR="00DE6B19">
        <w:t xml:space="preserve"> </w:t>
      </w:r>
      <w:r w:rsidR="00B830EA">
        <w:t xml:space="preserve">If </w:t>
      </w:r>
      <w:r w:rsidR="005F02D0">
        <w:t>revenues</w:t>
      </w:r>
      <w:r w:rsidR="00B830EA">
        <w:t xml:space="preserve"> can be maintained</w:t>
      </w:r>
      <w:r w:rsidR="00017193">
        <w:t xml:space="preserve">, and the price set FPCs are transparent, then the loss of trading arrangements will be manageable. </w:t>
      </w:r>
    </w:p>
    <w:p w14:paraId="4FEBF4A8" w14:textId="1FA2C508" w:rsidR="004544BB" w:rsidRDefault="00192AE9" w:rsidP="003C6613">
      <w:pPr>
        <w:spacing w:after="0" w:line="240" w:lineRule="auto"/>
        <w:rPr>
          <w:b/>
          <w:bCs/>
        </w:rPr>
      </w:pPr>
      <w:r>
        <w:t xml:space="preserve"> </w:t>
      </w:r>
    </w:p>
    <w:p w14:paraId="0C790D17" w14:textId="2F6850AE" w:rsidR="00914E7F" w:rsidRDefault="00192AE9" w:rsidP="00914E7F">
      <w:pPr>
        <w:rPr>
          <w:b/>
          <w:bCs/>
        </w:rPr>
      </w:pPr>
      <w:r w:rsidRPr="00914E7F">
        <w:rPr>
          <w:b/>
          <w:bCs/>
        </w:rPr>
        <w:t xml:space="preserve">Q2. On balance, which option for frequency of payment and settlements do you think strikes the best balance of benefits for all market participants and why? </w:t>
      </w:r>
    </w:p>
    <w:p w14:paraId="62DCFE6E" w14:textId="3891176E" w:rsidR="00396DDF" w:rsidRDefault="00192AE9" w:rsidP="00914E7F">
      <w:r>
        <w:t>The REA are supportive</w:t>
      </w:r>
      <w:r w:rsidR="00B73D66">
        <w:t xml:space="preserve"> </w:t>
      </w:r>
      <w:r>
        <w:t>that the Governmen</w:t>
      </w:r>
      <w:r>
        <w:t xml:space="preserve">t </w:t>
      </w:r>
      <w:r w:rsidR="002F521A">
        <w:t xml:space="preserve">intends generators to continue to </w:t>
      </w:r>
      <w:r w:rsidR="00B73D66">
        <w:t xml:space="preserve">receive monthly payments in all </w:t>
      </w:r>
      <w:r w:rsidR="001C49CF">
        <w:t xml:space="preserve">proposed arrangements. </w:t>
      </w:r>
    </w:p>
    <w:p w14:paraId="48F5FCBD" w14:textId="41C0B915" w:rsidR="000F2294" w:rsidRDefault="00192AE9" w:rsidP="00914E7F">
      <w:r>
        <w:t>In general</w:t>
      </w:r>
      <w:r w:rsidR="002F521A">
        <w:t>,</w:t>
      </w:r>
      <w:r>
        <w:t xml:space="preserve"> we believe it </w:t>
      </w:r>
      <w:r w:rsidR="00A90DA9">
        <w:t>appropriate</w:t>
      </w:r>
      <w:r>
        <w:t xml:space="preserve"> </w:t>
      </w:r>
      <w:r w:rsidR="00126737">
        <w:t>that the frequency of payment requested from suppliers strikes a sensible balance between administrative burden</w:t>
      </w:r>
      <w:r w:rsidR="0018025E">
        <w:t xml:space="preserve"> </w:t>
      </w:r>
      <w:r w:rsidR="00126737">
        <w:t xml:space="preserve">and the </w:t>
      </w:r>
      <w:r w:rsidR="00A90DA9">
        <w:t xml:space="preserve">use </w:t>
      </w:r>
      <w:r w:rsidR="00A4056F">
        <w:t>of</w:t>
      </w:r>
      <w:r w:rsidR="00A90DA9">
        <w:t xml:space="preserve"> retrospective data to avoid the need for</w:t>
      </w:r>
      <w:r w:rsidR="00882987">
        <w:t xml:space="preserve"> reconciliation of payments to generators</w:t>
      </w:r>
      <w:r w:rsidR="0018025E">
        <w:t xml:space="preserve"> or </w:t>
      </w:r>
      <w:r w:rsidR="00485265">
        <w:t xml:space="preserve">further </w:t>
      </w:r>
      <w:r w:rsidR="0018025E">
        <w:t>request</w:t>
      </w:r>
      <w:r w:rsidR="00485265">
        <w:t>s</w:t>
      </w:r>
      <w:r w:rsidR="0018025E">
        <w:t xml:space="preserve"> for payment from suppliers</w:t>
      </w:r>
      <w:r w:rsidR="00882987">
        <w:t>.</w:t>
      </w:r>
      <w:r w:rsidR="0076785E">
        <w:t xml:space="preserve"> </w:t>
      </w:r>
      <w:r w:rsidR="00136AE8">
        <w:t>T</w:t>
      </w:r>
      <w:r w:rsidR="0076785E">
        <w:t xml:space="preserve">he use </w:t>
      </w:r>
      <w:r w:rsidR="0018025E">
        <w:t>of</w:t>
      </w:r>
      <w:r w:rsidR="0076785E">
        <w:t xml:space="preserve"> advanced data, that then needs </w:t>
      </w:r>
      <w:r w:rsidR="00A4056F">
        <w:t>reconciling, could lead to additional costs for</w:t>
      </w:r>
      <w:r w:rsidR="0018025E">
        <w:t xml:space="preserve"> both</w:t>
      </w:r>
      <w:r w:rsidR="00A4056F">
        <w:t xml:space="preserve"> generators</w:t>
      </w:r>
      <w:r w:rsidR="0018025E">
        <w:t xml:space="preserve"> and supplier</w:t>
      </w:r>
      <w:r w:rsidR="00485265">
        <w:t>s</w:t>
      </w:r>
      <w:r w:rsidR="0018025E">
        <w:t xml:space="preserve">, which could have </w:t>
      </w:r>
      <w:r w:rsidR="00A4056F">
        <w:t xml:space="preserve">cash flow </w:t>
      </w:r>
      <w:r w:rsidR="0018025E">
        <w:t>implications</w:t>
      </w:r>
      <w:r w:rsidR="00D2294F">
        <w:t xml:space="preserve">. </w:t>
      </w:r>
      <w:r w:rsidR="00A4056F">
        <w:t xml:space="preserve"> </w:t>
      </w:r>
      <w:r w:rsidR="0018025E">
        <w:t>As such</w:t>
      </w:r>
      <w:r w:rsidR="00485265">
        <w:t>,</w:t>
      </w:r>
      <w:r w:rsidR="0018025E">
        <w:t xml:space="preserve"> we currently </w:t>
      </w:r>
      <w:r w:rsidR="009976CB">
        <w:t xml:space="preserve">suggest that </w:t>
      </w:r>
      <w:r w:rsidR="00D2294F">
        <w:t>either option 2a or 2b is likely preferable</w:t>
      </w:r>
      <w:r w:rsidR="0018025E">
        <w:t xml:space="preserve">, however </w:t>
      </w:r>
      <w:r w:rsidR="00C8037E">
        <w:t>believe this needs to be properly modelled with suppliers to understand broader impacts than spelled out in the consultation.</w:t>
      </w:r>
    </w:p>
    <w:p w14:paraId="1AF7DA0A" w14:textId="6A6F3FF8" w:rsidR="00914E7F" w:rsidRDefault="00192AE9" w:rsidP="00914E7F">
      <w:pPr>
        <w:rPr>
          <w:b/>
          <w:bCs/>
        </w:rPr>
      </w:pPr>
      <w:r w:rsidRPr="00914E7F">
        <w:rPr>
          <w:b/>
          <w:bCs/>
        </w:rPr>
        <w:t xml:space="preserve">Q3. </w:t>
      </w:r>
      <w:r w:rsidRPr="00914E7F">
        <w:rPr>
          <w:b/>
          <w:bCs/>
        </w:rPr>
        <w:t>For your preferred option, which measures are most important to minimise the risks associated with this option?</w:t>
      </w:r>
    </w:p>
    <w:p w14:paraId="2C221A5A" w14:textId="24844E77" w:rsidR="001E0661" w:rsidRPr="00914E7F" w:rsidRDefault="00192AE9" w:rsidP="00914E7F">
      <w:r w:rsidRPr="001E0661">
        <w:rPr>
          <w:highlight w:val="yellow"/>
        </w:rPr>
        <w:t xml:space="preserve">REA welcomes further member feedback but sees the greatest impact likely on suppliers rather than </w:t>
      </w:r>
      <w:proofErr w:type="gramStart"/>
      <w:r w:rsidRPr="001E0661">
        <w:rPr>
          <w:highlight w:val="yellow"/>
        </w:rPr>
        <w:t>generators</w:t>
      </w:r>
      <w:proofErr w:type="gramEnd"/>
    </w:p>
    <w:p w14:paraId="5A464A1C" w14:textId="282513A5" w:rsidR="00914E7F" w:rsidRDefault="00192AE9" w:rsidP="00914E7F">
      <w:pPr>
        <w:rPr>
          <w:b/>
          <w:bCs/>
        </w:rPr>
      </w:pPr>
      <w:r w:rsidRPr="00914E7F">
        <w:rPr>
          <w:b/>
          <w:bCs/>
        </w:rPr>
        <w:lastRenderedPageBreak/>
        <w:t>Q4. What would the impact of each o</w:t>
      </w:r>
      <w:r w:rsidRPr="00914E7F">
        <w:rPr>
          <w:b/>
          <w:bCs/>
        </w:rPr>
        <w:t xml:space="preserve">ption be on scheme administration, including costs? </w:t>
      </w:r>
    </w:p>
    <w:p w14:paraId="4FBD066C" w14:textId="32C439EF" w:rsidR="001E0661" w:rsidRPr="00914E7F" w:rsidRDefault="00192AE9" w:rsidP="00914E7F">
      <w:r w:rsidRPr="001E0661">
        <w:rPr>
          <w:highlight w:val="yellow"/>
        </w:rPr>
        <w:t>REA welcomes further member feedback but sees the greatest impact likely on suppliers rather than generators.</w:t>
      </w:r>
    </w:p>
    <w:p w14:paraId="5595F0C8" w14:textId="77777777" w:rsidR="00914E7F" w:rsidRDefault="00192AE9" w:rsidP="00914E7F">
      <w:pPr>
        <w:rPr>
          <w:b/>
          <w:bCs/>
        </w:rPr>
      </w:pPr>
      <w:r w:rsidRPr="00914E7F">
        <w:rPr>
          <w:b/>
          <w:bCs/>
        </w:rPr>
        <w:t>Q5. What broad impact would Model 1 have over the sector? We welcome evidence specifically on</w:t>
      </w:r>
      <w:r w:rsidRPr="00914E7F">
        <w:rPr>
          <w:b/>
          <w:bCs/>
        </w:rPr>
        <w:t xml:space="preserve"> cost of capital, risk premiums, and administrative costs to relevant market participants. </w:t>
      </w:r>
    </w:p>
    <w:p w14:paraId="7E4E9C79" w14:textId="4D327898" w:rsidR="001E0661" w:rsidRDefault="00192AE9" w:rsidP="00914E7F">
      <w:r>
        <w:t xml:space="preserve">Broadly </w:t>
      </w:r>
      <w:r w:rsidR="00FA48E0">
        <w:t>the impact of Model 1 would be to greatly simplify the renewable obligation s</w:t>
      </w:r>
      <w:r w:rsidR="00446BD7">
        <w:t>cheme</w:t>
      </w:r>
      <w:r w:rsidR="00C86F7E">
        <w:t>, effectively tu</w:t>
      </w:r>
      <w:r w:rsidR="00FB4BAA">
        <w:t>rning t</w:t>
      </w:r>
      <w:r w:rsidR="0094697D">
        <w:t xml:space="preserve">he </w:t>
      </w:r>
      <w:r w:rsidR="00FC3BD0">
        <w:t>market-based</w:t>
      </w:r>
      <w:r w:rsidR="0094697D">
        <w:t xml:space="preserve"> mechanism into a </w:t>
      </w:r>
      <w:r w:rsidR="00FB4BAA">
        <w:t>straightforward</w:t>
      </w:r>
      <w:r w:rsidR="0094697D">
        <w:t xml:space="preserve"> support payment from the </w:t>
      </w:r>
      <w:r w:rsidR="003D64D3">
        <w:t xml:space="preserve">counterparty to the generator, funded </w:t>
      </w:r>
      <w:r w:rsidR="00446BD7">
        <w:t>through</w:t>
      </w:r>
      <w:r w:rsidR="003D64D3">
        <w:t xml:space="preserve"> suppliers. This would be closer to how other support mechanisms already work, such as the CfD, feed-in tariff and </w:t>
      </w:r>
      <w:r w:rsidR="00FC3BD0">
        <w:t>renewable he</w:t>
      </w:r>
      <w:r w:rsidR="00462EA1">
        <w:t xml:space="preserve">at </w:t>
      </w:r>
      <w:r w:rsidR="00FC3BD0">
        <w:t>incentive. For the sake of securing the RO scheme as contracts start to come to an end, we see this as</w:t>
      </w:r>
      <w:r w:rsidR="00ED3481">
        <w:t xml:space="preserve"> welcome and could reduce administrative costs. </w:t>
      </w:r>
    </w:p>
    <w:p w14:paraId="424EF086" w14:textId="5FA6F6A2" w:rsidR="00FC3BD0" w:rsidRPr="00E72893" w:rsidRDefault="00192AE9" w:rsidP="00914E7F">
      <w:r>
        <w:t xml:space="preserve">However, </w:t>
      </w:r>
      <w:r w:rsidR="00116EB6">
        <w:t xml:space="preserve">for generators, the important factor </w:t>
      </w:r>
      <w:r w:rsidR="002C3F0F">
        <w:t>will be how the value of</w:t>
      </w:r>
      <w:r w:rsidR="00116EB6">
        <w:t xml:space="preserve"> FPCs </w:t>
      </w:r>
      <w:r w:rsidR="002C3F0F">
        <w:t>is set</w:t>
      </w:r>
      <w:r w:rsidR="00116EB6">
        <w:t>.</w:t>
      </w:r>
      <w:r w:rsidR="002C3F0F">
        <w:t xml:space="preserve"> The cost of capital and risk premium could be significantly increased if the FPCs do not include the 10% headroom </w:t>
      </w:r>
      <w:r w:rsidR="00732EF1">
        <w:t>revenue</w:t>
      </w:r>
      <w:r w:rsidR="002C3F0F">
        <w:t xml:space="preserve"> provided to generators through the ROC recycle </w:t>
      </w:r>
      <w:r w:rsidR="00732EF1">
        <w:t xml:space="preserve">value. </w:t>
      </w:r>
      <w:r w:rsidR="00116EB6">
        <w:t xml:space="preserve"> </w:t>
      </w:r>
      <w:r w:rsidR="00732EF1">
        <w:t xml:space="preserve">Any potential loss of value, </w:t>
      </w:r>
      <w:r w:rsidR="005F6E2E">
        <w:t>caused</w:t>
      </w:r>
      <w:r w:rsidR="00732EF1">
        <w:t xml:space="preserve"> by </w:t>
      </w:r>
      <w:r w:rsidR="00FF49C1">
        <w:t xml:space="preserve">the loss of this </w:t>
      </w:r>
      <w:r w:rsidR="00462EA1">
        <w:t>headroom,</w:t>
      </w:r>
      <w:r w:rsidR="00FF49C1">
        <w:t xml:space="preserve"> will be seen as a </w:t>
      </w:r>
      <w:r w:rsidR="005062ED">
        <w:t>retrospective</w:t>
      </w:r>
      <w:r w:rsidR="00FF49C1">
        <w:t xml:space="preserve"> change to </w:t>
      </w:r>
      <w:r w:rsidR="005062ED">
        <w:t xml:space="preserve">the scheme. This is especially true given previous government and </w:t>
      </w:r>
      <w:r w:rsidR="00C93FE5">
        <w:t>Ofgem</w:t>
      </w:r>
      <w:r w:rsidR="005062ED">
        <w:t xml:space="preserve"> guidance making </w:t>
      </w:r>
      <w:r w:rsidR="00C93FE5">
        <w:t>clear</w:t>
      </w:r>
      <w:r w:rsidR="00E0211A">
        <w:t xml:space="preserve"> </w:t>
      </w:r>
      <w:r w:rsidR="00C93FE5">
        <w:t xml:space="preserve">that the </w:t>
      </w:r>
      <w:r w:rsidR="00B207AB">
        <w:t xml:space="preserve">value of </w:t>
      </w:r>
      <w:r w:rsidR="00C93FE5">
        <w:t xml:space="preserve">FPCs </w:t>
      </w:r>
      <w:r w:rsidR="00E0211A">
        <w:t>would</w:t>
      </w:r>
      <w:r w:rsidR="00B207AB">
        <w:t xml:space="preserve"> be</w:t>
      </w:r>
      <w:r w:rsidR="00E0211A">
        <w:t xml:space="preserve"> “</w:t>
      </w:r>
      <w:r w:rsidR="00F06EDD">
        <w:t xml:space="preserve">fixed at the 2027 buy-out </w:t>
      </w:r>
      <w:r w:rsidR="00DA6C65">
        <w:t>price, plus 10%”</w:t>
      </w:r>
      <w:r w:rsidR="00C217E9">
        <w:t xml:space="preserve"> (see answer to question 21)</w:t>
      </w:r>
      <w:r w:rsidR="00DA6C65">
        <w:t xml:space="preserve">. Given this has always been stated as the case and built into current business models, any change from this intention will devalue existing assets, increase the cost of </w:t>
      </w:r>
      <w:proofErr w:type="gramStart"/>
      <w:r w:rsidR="00DA6C65">
        <w:t>cap</w:t>
      </w:r>
      <w:r w:rsidR="00DD566E">
        <w:t>ital</w:t>
      </w:r>
      <w:proofErr w:type="gramEnd"/>
      <w:r w:rsidR="00DD566E">
        <w:t xml:space="preserve"> and undermine investor confidence. This </w:t>
      </w:r>
      <w:r w:rsidR="00B207AB">
        <w:t>must</w:t>
      </w:r>
      <w:r w:rsidR="00DD566E">
        <w:t xml:space="preserve"> be avoided. </w:t>
      </w:r>
    </w:p>
    <w:p w14:paraId="3C5E3A45" w14:textId="77777777" w:rsidR="00914E7F" w:rsidRDefault="00192AE9" w:rsidP="00914E7F">
      <w:pPr>
        <w:rPr>
          <w:b/>
          <w:bCs/>
        </w:rPr>
      </w:pPr>
      <w:r w:rsidRPr="00914E7F">
        <w:rPr>
          <w:b/>
          <w:bCs/>
        </w:rPr>
        <w:t xml:space="preserve">Q6. What are the benefits and drawbacks associated with Model 2? </w:t>
      </w:r>
    </w:p>
    <w:p w14:paraId="4B46D1F5" w14:textId="51D41FE7" w:rsidR="00227261" w:rsidRDefault="00192AE9" w:rsidP="00914E7F">
      <w:r>
        <w:t xml:space="preserve">It is not clear from the consultation what value there is to be had for enabling trading arrangements when the price of the certificate is going to be set by </w:t>
      </w:r>
      <w:r w:rsidR="00E4301C">
        <w:t>the administrator.</w:t>
      </w:r>
      <w:r w:rsidR="008B1E84">
        <w:t xml:space="preserve"> </w:t>
      </w:r>
    </w:p>
    <w:p w14:paraId="469899F5" w14:textId="701CBEB5" w:rsidR="00B207AB" w:rsidRDefault="00192AE9" w:rsidP="00914E7F">
      <w:r>
        <w:t xml:space="preserve"> While keepi</w:t>
      </w:r>
      <w:r>
        <w:t xml:space="preserve">ng trading arrangements </w:t>
      </w:r>
      <w:r w:rsidR="00103329">
        <w:t>available might suit existing contractual arrangements, t</w:t>
      </w:r>
      <w:r w:rsidR="0058758F">
        <w:t xml:space="preserve">he lack of any additional value </w:t>
      </w:r>
      <w:r w:rsidR="00260F03">
        <w:t>for a</w:t>
      </w:r>
      <w:r w:rsidR="0058758F">
        <w:t xml:space="preserve">n FPC </w:t>
      </w:r>
      <w:r w:rsidR="00103329">
        <w:t>will mean thos</w:t>
      </w:r>
      <w:r w:rsidR="00DA742D">
        <w:t xml:space="preserve">e contract arrangements will likely be </w:t>
      </w:r>
      <w:proofErr w:type="gramStart"/>
      <w:r w:rsidR="00DA742D">
        <w:t>changed, or</w:t>
      </w:r>
      <w:proofErr w:type="gramEnd"/>
      <w:r w:rsidR="00DA742D">
        <w:t xml:space="preserve"> become redundant anyway. As such model 2 seems to </w:t>
      </w:r>
      <w:r w:rsidR="0058758F">
        <w:t xml:space="preserve">complicate the introduction of the FPCs unnecessarily, </w:t>
      </w:r>
      <w:r w:rsidR="00655EE5">
        <w:t xml:space="preserve">with little additional benefit to the market. </w:t>
      </w:r>
    </w:p>
    <w:p w14:paraId="6A7E847B" w14:textId="632FFF71" w:rsidR="00E17C30" w:rsidRPr="00914E7F" w:rsidRDefault="00192AE9" w:rsidP="00914E7F">
      <w:r>
        <w:t>It is recognised that some options for model 2, coul</w:t>
      </w:r>
      <w:r w:rsidR="00706C28">
        <w:t xml:space="preserve">d mean the creation of a headroom, that could itself be passed back to generators </w:t>
      </w:r>
      <w:r w:rsidR="00C46BD8">
        <w:t xml:space="preserve">as a form of FPC recycler value. However, this would be simpler to achieve just by including the 10% headroom value in the price of the FPCs in model 1 without creating a costly and administratively difficult scheme. </w:t>
      </w:r>
    </w:p>
    <w:p w14:paraId="05EE41EF" w14:textId="77777777" w:rsidR="00914E7F" w:rsidRDefault="00192AE9" w:rsidP="00914E7F">
      <w:pPr>
        <w:rPr>
          <w:b/>
          <w:bCs/>
        </w:rPr>
      </w:pPr>
      <w:r w:rsidRPr="00914E7F">
        <w:rPr>
          <w:b/>
          <w:bCs/>
        </w:rPr>
        <w:t>Q7. On balance, which option for frequ</w:t>
      </w:r>
      <w:r w:rsidRPr="00914E7F">
        <w:rPr>
          <w:b/>
          <w:bCs/>
        </w:rPr>
        <w:t xml:space="preserve">ency of payments and settlements do you think strikes the best balance of benefits for all market participants, and why? </w:t>
      </w:r>
    </w:p>
    <w:p w14:paraId="79A5E95E" w14:textId="120128BA" w:rsidR="00136AE8" w:rsidRDefault="00192AE9" w:rsidP="00136AE8">
      <w:r>
        <w:t xml:space="preserve">As stated </w:t>
      </w:r>
      <w:r w:rsidR="00A922AD">
        <w:t xml:space="preserve">in </w:t>
      </w:r>
      <w:r>
        <w:t xml:space="preserve">Q2, </w:t>
      </w:r>
      <w:r w:rsidR="00C110D9">
        <w:t xml:space="preserve">the REA is supportive that the Government intends generators to continue to receive monthly payments in all proposed arrangements. </w:t>
      </w:r>
    </w:p>
    <w:p w14:paraId="403FBCE3" w14:textId="6EC612DE" w:rsidR="00136AE8" w:rsidRDefault="00192AE9" w:rsidP="00136AE8">
      <w:r>
        <w:t xml:space="preserve">We also reiterate, </w:t>
      </w:r>
      <w:r w:rsidR="00A61AFB">
        <w:t>that</w:t>
      </w:r>
      <w:r>
        <w:t xml:space="preserve"> where appropriate, </w:t>
      </w:r>
      <w:r w:rsidR="00CB3A6A">
        <w:t>retrospective</w:t>
      </w:r>
      <w:r>
        <w:t xml:space="preserve"> data is </w:t>
      </w:r>
      <w:r w:rsidR="00A61AFB">
        <w:t>used</w:t>
      </w:r>
      <w:r>
        <w:t xml:space="preserve"> to ensure accurate payments for generators and </w:t>
      </w:r>
      <w:r w:rsidR="00CB3A6A">
        <w:t xml:space="preserve">requests from suppliers, without the potentially disruptive and </w:t>
      </w:r>
      <w:r w:rsidR="009B1605">
        <w:t xml:space="preserve">possibly </w:t>
      </w:r>
      <w:r w:rsidR="00CB3A6A">
        <w:t xml:space="preserve">expensive need for reconciliation. </w:t>
      </w:r>
      <w:r w:rsidR="000F4FCC">
        <w:t xml:space="preserve">As such we believe option 5 to be preferable to option 6. We recognise this would require </w:t>
      </w:r>
      <w:r w:rsidR="000825E8">
        <w:t xml:space="preserve">the development of a bridging </w:t>
      </w:r>
      <w:proofErr w:type="gramStart"/>
      <w:r w:rsidR="00A922AD">
        <w:t>reserve</w:t>
      </w:r>
      <w:r w:rsidR="00AE5442">
        <w:t>,</w:t>
      </w:r>
      <w:r w:rsidR="00A922AD">
        <w:t xml:space="preserve"> but</w:t>
      </w:r>
      <w:proofErr w:type="gramEnd"/>
      <w:r w:rsidR="000825E8">
        <w:t xml:space="preserve"> suggest that the overall cost of this reserve could be minimised if settled quarterly rather than annually. </w:t>
      </w:r>
      <w:r w:rsidR="00A922AD">
        <w:t xml:space="preserve">Again, we believe models should be appropriately tested with suppliers first before a final decision is made to ensure the administrative balance of the scheme is </w:t>
      </w:r>
      <w:r w:rsidR="0012509A">
        <w:t xml:space="preserve">appropriate. </w:t>
      </w:r>
    </w:p>
    <w:p w14:paraId="206431A3" w14:textId="77777777" w:rsidR="00914E7F" w:rsidRDefault="00192AE9" w:rsidP="00914E7F">
      <w:pPr>
        <w:rPr>
          <w:b/>
          <w:bCs/>
        </w:rPr>
      </w:pPr>
      <w:r w:rsidRPr="00914E7F">
        <w:rPr>
          <w:b/>
          <w:bCs/>
        </w:rPr>
        <w:lastRenderedPageBreak/>
        <w:t>Q8. For your preferred option, which measures are most important to minimise the risks associated with this op</w:t>
      </w:r>
      <w:r w:rsidRPr="00914E7F">
        <w:rPr>
          <w:b/>
          <w:bCs/>
        </w:rPr>
        <w:t xml:space="preserve">tion? </w:t>
      </w:r>
    </w:p>
    <w:p w14:paraId="584DB209" w14:textId="77777777" w:rsidR="0012509A" w:rsidRPr="00914E7F" w:rsidRDefault="00192AE9" w:rsidP="0012509A">
      <w:r w:rsidRPr="001E0661">
        <w:rPr>
          <w:highlight w:val="yellow"/>
        </w:rPr>
        <w:t>REA welcomes further member feedback but sees the greatest impact likely on suppliers rather than generators.</w:t>
      </w:r>
    </w:p>
    <w:p w14:paraId="3ED0FC74" w14:textId="77777777" w:rsidR="00914E7F" w:rsidRDefault="00192AE9" w:rsidP="00914E7F">
      <w:pPr>
        <w:rPr>
          <w:b/>
          <w:bCs/>
        </w:rPr>
      </w:pPr>
      <w:r w:rsidRPr="00914E7F">
        <w:rPr>
          <w:b/>
          <w:bCs/>
        </w:rPr>
        <w:t xml:space="preserve">Q9. What would the impact of each option be on scheme administration, including costs? </w:t>
      </w:r>
    </w:p>
    <w:p w14:paraId="6B34B436" w14:textId="77777777" w:rsidR="0012509A" w:rsidRPr="00914E7F" w:rsidRDefault="00192AE9" w:rsidP="0012509A">
      <w:r w:rsidRPr="001E0661">
        <w:rPr>
          <w:highlight w:val="yellow"/>
        </w:rPr>
        <w:t>REA welcomes further member feedback but sees the g</w:t>
      </w:r>
      <w:r w:rsidRPr="001E0661">
        <w:rPr>
          <w:highlight w:val="yellow"/>
        </w:rPr>
        <w:t xml:space="preserve">reatest impact likely on suppliers rather than </w:t>
      </w:r>
      <w:proofErr w:type="gramStart"/>
      <w:r w:rsidRPr="001E0661">
        <w:rPr>
          <w:highlight w:val="yellow"/>
        </w:rPr>
        <w:t>generators</w:t>
      </w:r>
      <w:proofErr w:type="gramEnd"/>
    </w:p>
    <w:p w14:paraId="7271B77E" w14:textId="77777777" w:rsidR="00914E7F" w:rsidRPr="00914E7F" w:rsidRDefault="00192AE9" w:rsidP="00914E7F">
      <w:pPr>
        <w:rPr>
          <w:b/>
          <w:bCs/>
        </w:rPr>
      </w:pPr>
      <w:r w:rsidRPr="00914E7F">
        <w:rPr>
          <w:b/>
          <w:bCs/>
        </w:rPr>
        <w:t xml:space="preserve">Q10. What broad impact would Model 2 have over the sector? We welcome evidence specifically on cost of capital, risk premiums, and administrative costs to relevant market participants. </w:t>
      </w:r>
    </w:p>
    <w:p w14:paraId="163C88E8" w14:textId="0A6506B6" w:rsidR="0012509A" w:rsidRPr="0035667B" w:rsidRDefault="00192AE9" w:rsidP="00914E7F">
      <w:r>
        <w:t>Overall,</w:t>
      </w:r>
      <w:r w:rsidR="0035667B">
        <w:t xml:space="preserve"> w</w:t>
      </w:r>
      <w:r w:rsidR="00EE545A">
        <w:t>e</w:t>
      </w:r>
      <w:r w:rsidR="0035667B">
        <w:t xml:space="preserve"> </w:t>
      </w:r>
      <w:r w:rsidR="00EE545A">
        <w:t xml:space="preserve">believe Model 2 adds unnecessary complexity to the introduction of </w:t>
      </w:r>
      <w:r w:rsidR="005D6538">
        <w:t>f</w:t>
      </w:r>
      <w:r w:rsidR="00EE545A">
        <w:t>ixed</w:t>
      </w:r>
      <w:r>
        <w:t>-p</w:t>
      </w:r>
      <w:r w:rsidR="00EE545A">
        <w:t xml:space="preserve">rice </w:t>
      </w:r>
      <w:r>
        <w:t>c</w:t>
      </w:r>
      <w:r w:rsidR="00EE545A">
        <w:t>ertificates, without clear evid</w:t>
      </w:r>
      <w:r w:rsidR="006E3D99">
        <w:t>e</w:t>
      </w:r>
      <w:r w:rsidR="00EE545A">
        <w:t xml:space="preserve">nce of additional gain. This is likely to increase administrative costs </w:t>
      </w:r>
      <w:r w:rsidR="00493A3B">
        <w:t xml:space="preserve">for both suppliers and generators which will no longer be </w:t>
      </w:r>
      <w:r w:rsidR="00995D2F">
        <w:t>worthwhile</w:t>
      </w:r>
      <w:r w:rsidR="00493A3B">
        <w:t xml:space="preserve"> as the </w:t>
      </w:r>
      <w:r w:rsidR="006E3D99">
        <w:t>market-based</w:t>
      </w:r>
      <w:r w:rsidR="00493A3B">
        <w:t xml:space="preserve"> </w:t>
      </w:r>
      <w:r w:rsidR="00995D2F">
        <w:t xml:space="preserve">advantages and benefits of the renewable obligation will no longer be in place with FPCs. </w:t>
      </w:r>
    </w:p>
    <w:p w14:paraId="0F99564F" w14:textId="3A77852B" w:rsidR="00914E7F" w:rsidRDefault="00192AE9" w:rsidP="00914E7F">
      <w:pPr>
        <w:rPr>
          <w:b/>
          <w:bCs/>
        </w:rPr>
      </w:pPr>
      <w:r w:rsidRPr="00914E7F">
        <w:rPr>
          <w:b/>
          <w:bCs/>
        </w:rPr>
        <w:t xml:space="preserve">Q11. Of the two models presented in this document, which would you favour, and why? </w:t>
      </w:r>
    </w:p>
    <w:p w14:paraId="72E1CA66" w14:textId="2113DBBF" w:rsidR="00D04DC3" w:rsidRDefault="00192AE9" w:rsidP="00914E7F">
      <w:r>
        <w:t xml:space="preserve">The REA favours Model 1 as the simplest way of introducing </w:t>
      </w:r>
      <w:r w:rsidR="002326E3">
        <w:t xml:space="preserve">FPCs. There seems little benefit to be gained from enabling trading in the model, which just </w:t>
      </w:r>
      <w:proofErr w:type="gramStart"/>
      <w:r w:rsidR="002326E3">
        <w:t>create</w:t>
      </w:r>
      <w:r w:rsidR="00D60B88">
        <w:t>s</w:t>
      </w:r>
      <w:proofErr w:type="gramEnd"/>
      <w:r w:rsidR="002326E3">
        <w:t xml:space="preserve"> complexity and increased administrative costs. </w:t>
      </w:r>
    </w:p>
    <w:p w14:paraId="34BFB02B" w14:textId="0DC5A89A" w:rsidR="00914E7F" w:rsidRDefault="00192AE9" w:rsidP="00914E7F">
      <w:pPr>
        <w:rPr>
          <w:b/>
          <w:bCs/>
        </w:rPr>
      </w:pPr>
      <w:r w:rsidRPr="00914E7F">
        <w:rPr>
          <w:b/>
          <w:bCs/>
        </w:rPr>
        <w:t xml:space="preserve">Q12. What are the respective benefits and drawbacks of having advanced payment by suppliers and reconciliation? On balance, do you consider that the benefits outweigh the drawbacks? </w:t>
      </w:r>
    </w:p>
    <w:p w14:paraId="351DAEDE" w14:textId="77777777" w:rsidR="002E6FFF" w:rsidRDefault="00192AE9" w:rsidP="00914E7F">
      <w:r>
        <w:t>From a generator's perspective, we a</w:t>
      </w:r>
      <w:r>
        <w:t xml:space="preserve">re keen </w:t>
      </w:r>
      <w:r w:rsidR="007B193B">
        <w:t xml:space="preserve">that the introduction of FPCs be kept simple and transparent. The use of advanced data </w:t>
      </w:r>
      <w:r w:rsidR="001858E6">
        <w:t>seems to add complication to</w:t>
      </w:r>
      <w:r w:rsidR="00770630">
        <w:t xml:space="preserve"> the</w:t>
      </w:r>
      <w:r w:rsidR="001858E6">
        <w:t xml:space="preserve"> scheme when retrospective data can be used without the later need for </w:t>
      </w:r>
      <w:r w:rsidR="00CB13AA">
        <w:t xml:space="preserve">reconciliation. The consultation is not clear on the </w:t>
      </w:r>
      <w:r w:rsidR="008E7928">
        <w:t>benefits</w:t>
      </w:r>
      <w:r w:rsidR="00FE1E1F">
        <w:t xml:space="preserve"> that using advanced data provides and, unless there is a strong demand and reason for it</w:t>
      </w:r>
      <w:r>
        <w:t xml:space="preserve">s use </w:t>
      </w:r>
      <w:r w:rsidR="00FE1E1F">
        <w:t xml:space="preserve">from suppliers, we would </w:t>
      </w:r>
      <w:r w:rsidR="004C233D">
        <w:t xml:space="preserve">not favour the use of advanced data. </w:t>
      </w:r>
    </w:p>
    <w:p w14:paraId="5589B886" w14:textId="7FAA1897" w:rsidR="0098299D" w:rsidRPr="00DA2221" w:rsidRDefault="00192AE9" w:rsidP="00914E7F">
      <w:r>
        <w:t xml:space="preserve">If advanced data is used there must be full transparency about how </w:t>
      </w:r>
      <w:r w:rsidR="008E7928">
        <w:t>reconciliation</w:t>
      </w:r>
      <w:r>
        <w:t xml:space="preserve"> would work</w:t>
      </w:r>
      <w:r w:rsidR="008E7928">
        <w:t xml:space="preserve"> and over what</w:t>
      </w:r>
      <w:r w:rsidR="002E6FFF">
        <w:t xml:space="preserve"> periods. </w:t>
      </w:r>
      <w:r w:rsidR="008E7928">
        <w:t xml:space="preserve"> It would be concerning and disruptive if </w:t>
      </w:r>
      <w:r w:rsidR="00770630">
        <w:t xml:space="preserve">generators were later asked to repay an amount that had previously been paid out to them for their generation. </w:t>
      </w:r>
    </w:p>
    <w:p w14:paraId="38D6432E" w14:textId="2D961707" w:rsidR="00914E7F" w:rsidRPr="00914E7F" w:rsidRDefault="00192AE9" w:rsidP="00914E7F">
      <w:pPr>
        <w:rPr>
          <w:b/>
          <w:bCs/>
        </w:rPr>
      </w:pPr>
      <w:r w:rsidRPr="00914E7F">
        <w:rPr>
          <w:b/>
          <w:bCs/>
        </w:rPr>
        <w:t>Q13. What are the benefits and risks of adding headroom to the supplier obligatio</w:t>
      </w:r>
      <w:r w:rsidRPr="00914E7F">
        <w:rPr>
          <w:b/>
          <w:bCs/>
        </w:rPr>
        <w:t xml:space="preserve">n to manage any potential discrepancy between the forecasted supplier obligation and actual generator receipts? </w:t>
      </w:r>
    </w:p>
    <w:p w14:paraId="0675E615" w14:textId="6019B50C" w:rsidR="00315AB2" w:rsidRPr="00315AB2" w:rsidRDefault="00192AE9" w:rsidP="00914E7F">
      <w:r w:rsidRPr="001E0661">
        <w:rPr>
          <w:highlight w:val="yellow"/>
        </w:rPr>
        <w:t xml:space="preserve">REA welcomes further member feedback but sees the greatest impact likely on suppliers rather than </w:t>
      </w:r>
      <w:proofErr w:type="gramStart"/>
      <w:r w:rsidRPr="001E0661">
        <w:rPr>
          <w:highlight w:val="yellow"/>
        </w:rPr>
        <w:t>generators</w:t>
      </w:r>
      <w:proofErr w:type="gramEnd"/>
    </w:p>
    <w:p w14:paraId="0EDC0239" w14:textId="2823F4DF" w:rsidR="00914E7F" w:rsidRDefault="00192AE9" w:rsidP="00914E7F">
      <w:pPr>
        <w:rPr>
          <w:b/>
          <w:bCs/>
        </w:rPr>
      </w:pPr>
      <w:r w:rsidRPr="00914E7F">
        <w:rPr>
          <w:b/>
          <w:bCs/>
        </w:rPr>
        <w:t>Q14. How should the surplus headro</w:t>
      </w:r>
      <w:r w:rsidRPr="00914E7F">
        <w:rPr>
          <w:b/>
          <w:bCs/>
        </w:rPr>
        <w:t xml:space="preserve">om be redistributed, and why? </w:t>
      </w:r>
    </w:p>
    <w:p w14:paraId="0B21AFE5" w14:textId="35BA67B5" w:rsidR="00315AB2" w:rsidRPr="00315AB2" w:rsidRDefault="00192AE9" w:rsidP="00914E7F">
      <w:r>
        <w:t xml:space="preserve">Surplus headroom should be redistributed </w:t>
      </w:r>
      <w:r w:rsidR="00096642">
        <w:t>t</w:t>
      </w:r>
      <w:r>
        <w:t>o suppliers with the expectation that such a benefit may also be recycled to generators through PPA arrangements. However, we stress that this should not be considered a replacement f</w:t>
      </w:r>
      <w:r>
        <w:t xml:space="preserve">or the </w:t>
      </w:r>
      <w:r w:rsidR="00096642">
        <w:t>current</w:t>
      </w:r>
      <w:r>
        <w:t xml:space="preserve"> ROC </w:t>
      </w:r>
      <w:r w:rsidR="00096642">
        <w:t>recycle</w:t>
      </w:r>
      <w:r>
        <w:t xml:space="preserve"> value</w:t>
      </w:r>
      <w:r w:rsidR="00166C50">
        <w:t xml:space="preserve"> that results from the current 10% headroom, funded by buy-out and late payments. This 10% headroom should be built directly into the </w:t>
      </w:r>
      <w:r w:rsidR="00096642">
        <w:t xml:space="preserve">price of the FPC.  </w:t>
      </w:r>
    </w:p>
    <w:p w14:paraId="294DF543" w14:textId="77777777" w:rsidR="00914E7F" w:rsidRPr="00914E7F" w:rsidRDefault="00192AE9" w:rsidP="00914E7F">
      <w:pPr>
        <w:rPr>
          <w:b/>
          <w:bCs/>
        </w:rPr>
      </w:pPr>
      <w:r w:rsidRPr="00914E7F">
        <w:rPr>
          <w:b/>
          <w:bCs/>
        </w:rPr>
        <w:t>Q15. What benefits and drawbacks would a reserve fund have as compared</w:t>
      </w:r>
      <w:r w:rsidRPr="00914E7F">
        <w:rPr>
          <w:b/>
          <w:bCs/>
        </w:rPr>
        <w:t xml:space="preserve"> to a headroom? </w:t>
      </w:r>
    </w:p>
    <w:p w14:paraId="21954DD1" w14:textId="77777777" w:rsidR="00085CED" w:rsidRPr="00315AB2" w:rsidRDefault="00192AE9" w:rsidP="00085CED">
      <w:r w:rsidRPr="001E0661">
        <w:rPr>
          <w:highlight w:val="yellow"/>
        </w:rPr>
        <w:lastRenderedPageBreak/>
        <w:t xml:space="preserve">REA welcomes further member feedback but sees the greatest impact likely on suppliers rather than </w:t>
      </w:r>
      <w:proofErr w:type="gramStart"/>
      <w:r w:rsidRPr="001E0661">
        <w:rPr>
          <w:highlight w:val="yellow"/>
        </w:rPr>
        <w:t>generators</w:t>
      </w:r>
      <w:proofErr w:type="gramEnd"/>
    </w:p>
    <w:p w14:paraId="56E81C5F" w14:textId="77777777" w:rsidR="00085CED" w:rsidRDefault="00085CED" w:rsidP="00914E7F">
      <w:pPr>
        <w:rPr>
          <w:b/>
          <w:bCs/>
        </w:rPr>
      </w:pPr>
    </w:p>
    <w:p w14:paraId="2EC6D9CB" w14:textId="1FBAA8BD" w:rsidR="00914E7F" w:rsidRDefault="00192AE9" w:rsidP="00914E7F">
      <w:pPr>
        <w:rPr>
          <w:b/>
          <w:bCs/>
        </w:rPr>
      </w:pPr>
      <w:r w:rsidRPr="00914E7F">
        <w:rPr>
          <w:b/>
          <w:bCs/>
        </w:rPr>
        <w:t xml:space="preserve">Q16. Besides headroom and a reserve fund, are there other options for dealing with the risk of misalignment under advanced settlement options? </w:t>
      </w:r>
    </w:p>
    <w:p w14:paraId="7748275E" w14:textId="77777777" w:rsidR="00085CED" w:rsidRPr="00315AB2" w:rsidRDefault="00192AE9" w:rsidP="00085CED">
      <w:r w:rsidRPr="001E0661">
        <w:rPr>
          <w:highlight w:val="yellow"/>
        </w:rPr>
        <w:t>REA welcomes further member feedback but sees the greatest impact likely on suppliers rather than generators.</w:t>
      </w:r>
    </w:p>
    <w:p w14:paraId="10713A13" w14:textId="77777777" w:rsidR="00A037CF" w:rsidRPr="00A037CF" w:rsidRDefault="00192AE9" w:rsidP="00A037CF">
      <w:pPr>
        <w:spacing w:after="0" w:line="240" w:lineRule="auto"/>
        <w:rPr>
          <w:b/>
          <w:bCs/>
        </w:rPr>
      </w:pPr>
      <w:r w:rsidRPr="00A037CF">
        <w:rPr>
          <w:b/>
          <w:bCs/>
        </w:rPr>
        <w:t xml:space="preserve">Q17. What risks might this option present for suppliers, consumers, or the </w:t>
      </w:r>
      <w:proofErr w:type="gramStart"/>
      <w:r w:rsidRPr="00A037CF">
        <w:rPr>
          <w:b/>
          <w:bCs/>
        </w:rPr>
        <w:t>central</w:t>
      </w:r>
      <w:proofErr w:type="gramEnd"/>
    </w:p>
    <w:p w14:paraId="62CDB7DA" w14:textId="77777777" w:rsidR="00A037CF" w:rsidRDefault="00192AE9" w:rsidP="00A037CF">
      <w:pPr>
        <w:spacing w:after="0" w:line="240" w:lineRule="auto"/>
        <w:rPr>
          <w:b/>
          <w:bCs/>
        </w:rPr>
      </w:pPr>
      <w:r w:rsidRPr="00A037CF">
        <w:rPr>
          <w:b/>
          <w:bCs/>
        </w:rPr>
        <w:t>counterparty?</w:t>
      </w:r>
    </w:p>
    <w:p w14:paraId="3A9CF3AD" w14:textId="6AFB0DD7" w:rsidR="0008725A" w:rsidRPr="00315AB2" w:rsidRDefault="00192AE9" w:rsidP="0008725A">
      <w:r w:rsidRPr="001E0661">
        <w:rPr>
          <w:highlight w:val="yellow"/>
        </w:rPr>
        <w:t xml:space="preserve">REA welcomes further member feedback but sees the greatest impact likely on suppliers rather than </w:t>
      </w:r>
      <w:proofErr w:type="gramStart"/>
      <w:r w:rsidRPr="001E0661">
        <w:rPr>
          <w:highlight w:val="yellow"/>
        </w:rPr>
        <w:t>generators</w:t>
      </w:r>
      <w:proofErr w:type="gramEnd"/>
    </w:p>
    <w:p w14:paraId="3C0F8638" w14:textId="77777777" w:rsidR="0008725A" w:rsidRPr="00A037CF" w:rsidRDefault="0008725A" w:rsidP="00A037CF">
      <w:pPr>
        <w:spacing w:after="0" w:line="240" w:lineRule="auto"/>
        <w:rPr>
          <w:b/>
          <w:bCs/>
        </w:rPr>
      </w:pPr>
    </w:p>
    <w:p w14:paraId="091314F1" w14:textId="77777777" w:rsidR="00A037CF" w:rsidRPr="00A037CF" w:rsidRDefault="00192AE9" w:rsidP="00A037CF">
      <w:pPr>
        <w:spacing w:after="0" w:line="240" w:lineRule="auto"/>
        <w:rPr>
          <w:b/>
          <w:bCs/>
        </w:rPr>
      </w:pPr>
      <w:r w:rsidRPr="00A037CF">
        <w:rPr>
          <w:b/>
          <w:bCs/>
        </w:rPr>
        <w:t xml:space="preserve">Q18. What information regarding the introduction </w:t>
      </w:r>
      <w:r w:rsidRPr="00A037CF">
        <w:rPr>
          <w:b/>
          <w:bCs/>
        </w:rPr>
        <w:t>of the new schedule will suppliers require</w:t>
      </w:r>
    </w:p>
    <w:p w14:paraId="3C1726DC" w14:textId="77777777" w:rsidR="00A037CF" w:rsidRDefault="00192AE9" w:rsidP="00A037CF">
      <w:pPr>
        <w:spacing w:after="0" w:line="240" w:lineRule="auto"/>
        <w:rPr>
          <w:b/>
          <w:bCs/>
        </w:rPr>
      </w:pPr>
      <w:r w:rsidRPr="00A037CF">
        <w:rPr>
          <w:b/>
          <w:bCs/>
        </w:rPr>
        <w:t xml:space="preserve"> and by when to set consumer tariffs and manage PPA arrangements appropriately?</w:t>
      </w:r>
    </w:p>
    <w:p w14:paraId="03A3B9C5" w14:textId="77777777" w:rsidR="0008725A" w:rsidRPr="00315AB2" w:rsidRDefault="00192AE9" w:rsidP="0008725A">
      <w:r w:rsidRPr="001E0661">
        <w:rPr>
          <w:highlight w:val="yellow"/>
        </w:rPr>
        <w:t>REA welcomes further member feedback but sees the greatest impact likely on suppliers rather than generators.</w:t>
      </w:r>
    </w:p>
    <w:p w14:paraId="06519A93" w14:textId="77777777" w:rsidR="0008725A" w:rsidRPr="00A037CF" w:rsidRDefault="0008725A" w:rsidP="00A037CF">
      <w:pPr>
        <w:spacing w:after="0" w:line="240" w:lineRule="auto"/>
        <w:rPr>
          <w:b/>
          <w:bCs/>
        </w:rPr>
      </w:pPr>
    </w:p>
    <w:p w14:paraId="5F3AA06F" w14:textId="77777777" w:rsidR="00A037CF" w:rsidRPr="00A037CF" w:rsidRDefault="00192AE9" w:rsidP="00A037CF">
      <w:pPr>
        <w:spacing w:after="0" w:line="240" w:lineRule="auto"/>
        <w:rPr>
          <w:b/>
          <w:bCs/>
        </w:rPr>
      </w:pPr>
      <w:r w:rsidRPr="00A037CF">
        <w:rPr>
          <w:b/>
          <w:bCs/>
        </w:rPr>
        <w:t>Q19. What are the pote</w:t>
      </w:r>
      <w:r w:rsidRPr="00A037CF">
        <w:rPr>
          <w:b/>
          <w:bCs/>
        </w:rPr>
        <w:t>ntial benefits and drawbacks of centralising both functions of</w:t>
      </w:r>
    </w:p>
    <w:p w14:paraId="7AB7C687" w14:textId="6729AC58" w:rsidR="00085CED" w:rsidRDefault="00192AE9" w:rsidP="00A037CF">
      <w:pPr>
        <w:spacing w:after="0" w:line="240" w:lineRule="auto"/>
        <w:rPr>
          <w:b/>
          <w:bCs/>
        </w:rPr>
      </w:pPr>
      <w:r w:rsidRPr="00A037CF">
        <w:rPr>
          <w:b/>
          <w:bCs/>
        </w:rPr>
        <w:t xml:space="preserve"> administrator and central counterparty into the same entity?</w:t>
      </w:r>
    </w:p>
    <w:p w14:paraId="5AF19011" w14:textId="77777777" w:rsidR="00DD47F9" w:rsidRDefault="00DD47F9" w:rsidP="00A037CF">
      <w:pPr>
        <w:spacing w:after="0" w:line="240" w:lineRule="auto"/>
        <w:rPr>
          <w:b/>
          <w:bCs/>
        </w:rPr>
      </w:pPr>
    </w:p>
    <w:p w14:paraId="5985260E" w14:textId="5A4F72AE" w:rsidR="00AB0BCC" w:rsidRPr="00AB0BCC" w:rsidRDefault="00192AE9" w:rsidP="00A037CF">
      <w:pPr>
        <w:spacing w:after="0" w:line="240" w:lineRule="auto"/>
      </w:pPr>
      <w:r>
        <w:t xml:space="preserve">The REA are supportive of seeing </w:t>
      </w:r>
      <w:r w:rsidR="00B7496A">
        <w:t xml:space="preserve">both the administrator and central counterparty </w:t>
      </w:r>
      <w:r w:rsidR="00F728F6">
        <w:t xml:space="preserve">combined within the same entity. There seems to be little chance of a conflict of interest between the two roles and believe having one body, rather than two, would add simplicity to the </w:t>
      </w:r>
      <w:r w:rsidR="0085013E">
        <w:t xml:space="preserve">scheme. This is </w:t>
      </w:r>
      <w:proofErr w:type="gramStart"/>
      <w:r w:rsidR="0085013E">
        <w:t>really no</w:t>
      </w:r>
      <w:proofErr w:type="gramEnd"/>
      <w:r w:rsidR="0085013E">
        <w:t xml:space="preserve"> different to the role Ofgem already play in the RO, both setting the obligation and </w:t>
      </w:r>
      <w:r w:rsidR="003F548F">
        <w:t xml:space="preserve">ensuring suppliers meet their obligation. A new division of tasks, </w:t>
      </w:r>
      <w:proofErr w:type="gramStart"/>
      <w:r w:rsidR="003F548F">
        <w:t>therefore</w:t>
      </w:r>
      <w:proofErr w:type="gramEnd"/>
      <w:r w:rsidR="003F548F">
        <w:t xml:space="preserve"> seems unnecessary. </w:t>
      </w:r>
    </w:p>
    <w:p w14:paraId="1CBAC0E1" w14:textId="77777777" w:rsidR="00AB0BCC" w:rsidRDefault="00AB0BCC" w:rsidP="00A037CF">
      <w:pPr>
        <w:spacing w:after="0" w:line="240" w:lineRule="auto"/>
        <w:rPr>
          <w:b/>
          <w:bCs/>
        </w:rPr>
      </w:pPr>
    </w:p>
    <w:p w14:paraId="2B8F4631" w14:textId="113D60D0" w:rsidR="002B7F6C" w:rsidRDefault="00192AE9" w:rsidP="00914E7F">
      <w:pPr>
        <w:rPr>
          <w:b/>
          <w:bCs/>
        </w:rPr>
      </w:pPr>
      <w:r w:rsidRPr="00914E7F">
        <w:rPr>
          <w:b/>
          <w:bCs/>
        </w:rPr>
        <w:t xml:space="preserve">Q20. What factors should be </w:t>
      </w:r>
      <w:proofErr w:type="gramStart"/>
      <w:r w:rsidRPr="00914E7F">
        <w:rPr>
          <w:b/>
          <w:bCs/>
        </w:rPr>
        <w:t>taken into account</w:t>
      </w:r>
      <w:proofErr w:type="gramEnd"/>
      <w:r w:rsidRPr="00914E7F">
        <w:rPr>
          <w:b/>
          <w:bCs/>
        </w:rPr>
        <w:t xml:space="preserve"> when setting the price of FPCs?</w:t>
      </w:r>
    </w:p>
    <w:p w14:paraId="7F2CC1D1" w14:textId="0A9C8466" w:rsidR="00914E7F" w:rsidRDefault="00192AE9" w:rsidP="00914E7F">
      <w:r w:rsidRPr="00D316F3">
        <w:t xml:space="preserve">The most important factor is to ensure that </w:t>
      </w:r>
      <w:r w:rsidR="00D316F3">
        <w:t>generation projects</w:t>
      </w:r>
      <w:r w:rsidRPr="00D316F3">
        <w:t xml:space="preserve"> on the RO are not subje</w:t>
      </w:r>
      <w:r w:rsidRPr="00D316F3">
        <w:t xml:space="preserve">ct to reduced revenue due to the introduction of Fixed Price Certificates. It is critical that the Government honour and maintain previous </w:t>
      </w:r>
      <w:r w:rsidR="008A6348" w:rsidRPr="00D316F3">
        <w:t>clear statements that</w:t>
      </w:r>
      <w:r w:rsidR="00D316F3">
        <w:t xml:space="preserve"> they</w:t>
      </w:r>
      <w:r w:rsidR="00FB0B78">
        <w:t xml:space="preserve"> and the regulator</w:t>
      </w:r>
      <w:r w:rsidR="008A6348" w:rsidRPr="00D316F3">
        <w:t xml:space="preserve"> have made </w:t>
      </w:r>
      <w:proofErr w:type="gramStart"/>
      <w:r w:rsidR="008A6348" w:rsidRPr="00D316F3">
        <w:t>in regards to</w:t>
      </w:r>
      <w:proofErr w:type="gramEnd"/>
      <w:r w:rsidR="008A6348" w:rsidRPr="00D316F3">
        <w:t xml:space="preserve"> setting the price of the FPC</w:t>
      </w:r>
      <w:r w:rsidR="00ED2D35">
        <w:t xml:space="preserve"> (see question 21)</w:t>
      </w:r>
      <w:r w:rsidR="00FB0B78">
        <w:t xml:space="preserve">. </w:t>
      </w:r>
      <w:r w:rsidR="00ED2D35">
        <w:t xml:space="preserve">These commitments have been used by developers to design their business models and underpin investment decisions. Any move to not implement previous </w:t>
      </w:r>
      <w:r w:rsidR="00142E56">
        <w:t>commitments</w:t>
      </w:r>
      <w:r w:rsidR="00ED2D35">
        <w:t xml:space="preserve"> will be seen as a retrospective change to the support scheme. This will devalue existing RO assets, drive up the cost of capital and damage investor confidence, at a time when the UK is trying</w:t>
      </w:r>
      <w:r w:rsidR="009068ED">
        <w:t xml:space="preserve"> to attract </w:t>
      </w:r>
      <w:r w:rsidR="005F7B95">
        <w:t xml:space="preserve">increased </w:t>
      </w:r>
      <w:r w:rsidR="009068ED">
        <w:t xml:space="preserve">investment in new low-carbon deployment. </w:t>
      </w:r>
    </w:p>
    <w:p w14:paraId="533BDA0E" w14:textId="67E8C2EE" w:rsidR="004A6015" w:rsidRDefault="00192AE9" w:rsidP="00914E7F">
      <w:r>
        <w:t xml:space="preserve">DES NZ should be aware </w:t>
      </w:r>
      <w:r w:rsidR="00367E51">
        <w:t>o</w:t>
      </w:r>
      <w:r>
        <w:t xml:space="preserve">f the </w:t>
      </w:r>
      <w:r w:rsidR="00142E56">
        <w:t>damage</w:t>
      </w:r>
      <w:r>
        <w:t xml:space="preserve"> already </w:t>
      </w:r>
      <w:r w:rsidR="00142E56">
        <w:t>done</w:t>
      </w:r>
      <w:r>
        <w:t xml:space="preserve"> to investor confidence over the last twelve months, due to </w:t>
      </w:r>
      <w:r w:rsidR="00142E56">
        <w:t>several factors including</w:t>
      </w:r>
      <w:r>
        <w:t xml:space="preserve"> the introduction of the </w:t>
      </w:r>
      <w:r w:rsidR="003277D9">
        <w:t>Electricity</w:t>
      </w:r>
      <w:r>
        <w:t xml:space="preserve"> Generator Levy, the attractiveness of other foreign markets (such as the </w:t>
      </w:r>
      <w:r w:rsidR="00142E56">
        <w:t>I</w:t>
      </w:r>
      <w:r>
        <w:t xml:space="preserve">nflation </w:t>
      </w:r>
      <w:r w:rsidR="00142E56">
        <w:t>R</w:t>
      </w:r>
      <w:r>
        <w:t xml:space="preserve">eduction </w:t>
      </w:r>
      <w:r w:rsidR="00142E56">
        <w:t>A</w:t>
      </w:r>
      <w:r>
        <w:t>ct</w:t>
      </w:r>
      <w:r w:rsidR="00142E56">
        <w:t xml:space="preserve"> in the US) and a failure of government to reflect increased </w:t>
      </w:r>
      <w:r w:rsidR="00A9282D">
        <w:t xml:space="preserve">inflation costs into the </w:t>
      </w:r>
      <w:r w:rsidR="003277D9">
        <w:t>administrative</w:t>
      </w:r>
      <w:r w:rsidR="00A9282D">
        <w:t xml:space="preserve"> strike prices of the last CfD allocation round. A move to </w:t>
      </w:r>
      <w:r w:rsidR="00712354">
        <w:t xml:space="preserve">devalue the RO, by removing 10% of the value from the scheme, would be seen </w:t>
      </w:r>
      <w:r w:rsidR="003277D9">
        <w:t xml:space="preserve">as part of the wider difficulties investors and developers are already experiencing in the UK market. This must be avoided if the </w:t>
      </w:r>
      <w:r w:rsidR="00367E51">
        <w:t xml:space="preserve">UK is </w:t>
      </w:r>
      <w:r w:rsidR="00E10A83">
        <w:t xml:space="preserve">to </w:t>
      </w:r>
      <w:r w:rsidR="00367E51">
        <w:t xml:space="preserve">continue </w:t>
      </w:r>
      <w:r w:rsidR="0065462F">
        <w:t>t</w:t>
      </w:r>
      <w:r w:rsidR="00367E51">
        <w:t xml:space="preserve">o attract the level of investment needed to realise the energy transition. </w:t>
      </w:r>
    </w:p>
    <w:p w14:paraId="73146ED3" w14:textId="77777777" w:rsidR="00914E7F" w:rsidRPr="00914E7F" w:rsidRDefault="00192AE9" w:rsidP="00914E7F">
      <w:pPr>
        <w:rPr>
          <w:b/>
          <w:bCs/>
        </w:rPr>
      </w:pPr>
      <w:r w:rsidRPr="00914E7F">
        <w:rPr>
          <w:b/>
          <w:bCs/>
        </w:rPr>
        <w:lastRenderedPageBreak/>
        <w:t xml:space="preserve">Q21. Should the price of FPCs be set at </w:t>
      </w:r>
      <w:r w:rsidRPr="00914E7F">
        <w:rPr>
          <w:b/>
          <w:bCs/>
        </w:rPr>
        <w:t>a level which excludes the ten per cent headroom built into the current scheme? Why and why not? As caveated above, please treat these questions as only applying to scenarios where the chosen FPC model does not involve the use of a new headroom designed to</w:t>
      </w:r>
      <w:r w:rsidRPr="00914E7F">
        <w:rPr>
          <w:b/>
          <w:bCs/>
        </w:rPr>
        <w:t xml:space="preserve"> manage misalignment between the supplier obligation settlements levied and the payments issuing to generators. </w:t>
      </w:r>
    </w:p>
    <w:p w14:paraId="08F7E5B0" w14:textId="19BDCFCB" w:rsidR="00367E51" w:rsidRDefault="00192AE9" w:rsidP="00914E7F">
      <w:r>
        <w:t xml:space="preserve">No. </w:t>
      </w:r>
    </w:p>
    <w:p w14:paraId="6D11F0A1" w14:textId="49559350" w:rsidR="00367E51" w:rsidRDefault="00192AE9" w:rsidP="00914E7F">
      <w:r>
        <w:t xml:space="preserve">It is </w:t>
      </w:r>
      <w:r w:rsidR="00F87670">
        <w:t>damaging for the Government to suggest going back on previous policy statements which made clear that</w:t>
      </w:r>
      <w:r w:rsidR="00144A96">
        <w:t>,</w:t>
      </w:r>
      <w:r w:rsidR="00F87670">
        <w:t xml:space="preserve"> once </w:t>
      </w:r>
      <w:r w:rsidR="005F7F06">
        <w:t>F</w:t>
      </w:r>
      <w:r w:rsidR="00144A96">
        <w:t>i</w:t>
      </w:r>
      <w:r w:rsidR="005F7F06">
        <w:t>xed ROCs</w:t>
      </w:r>
      <w:r w:rsidR="00F87670">
        <w:t xml:space="preserve"> were introduced</w:t>
      </w:r>
      <w:r w:rsidR="00144A96">
        <w:t>,</w:t>
      </w:r>
      <w:r w:rsidR="00F87670">
        <w:t xml:space="preserve"> they would include the 10% headroom. </w:t>
      </w:r>
      <w:r w:rsidR="00880055">
        <w:t xml:space="preserve"> This is clearly stated within the Renewable Obligation Guidance for Generators</w:t>
      </w:r>
      <w:r w:rsidR="0089570A">
        <w:t>. Paragraph 1.14, page 8:</w:t>
      </w:r>
    </w:p>
    <w:p w14:paraId="0AA4198B" w14:textId="77777777" w:rsidR="00024E89" w:rsidRPr="00024E89" w:rsidRDefault="00192AE9" w:rsidP="00024E89">
      <w:pPr>
        <w:spacing w:after="0" w:line="240" w:lineRule="auto"/>
        <w:rPr>
          <w:i/>
          <w:iCs/>
        </w:rPr>
      </w:pPr>
      <w:r w:rsidRPr="00024E89">
        <w:rPr>
          <w:i/>
          <w:iCs/>
        </w:rPr>
        <w:t>“From 1 April 2017, the obligation will be set annually until 31 March 2027. Then a fixed</w:t>
      </w:r>
    </w:p>
    <w:p w14:paraId="5474A969" w14:textId="77777777" w:rsidR="00024E89" w:rsidRPr="00024E89" w:rsidRDefault="00192AE9" w:rsidP="00024E89">
      <w:pPr>
        <w:spacing w:after="0" w:line="240" w:lineRule="auto"/>
        <w:rPr>
          <w:i/>
          <w:iCs/>
        </w:rPr>
      </w:pPr>
      <w:r w:rsidRPr="00024E89">
        <w:rPr>
          <w:i/>
          <w:iCs/>
        </w:rPr>
        <w:t>price certificate sc</w:t>
      </w:r>
      <w:r w:rsidRPr="00024E89">
        <w:rPr>
          <w:i/>
          <w:iCs/>
        </w:rPr>
        <w:t>heme will be introduced with the price of certificates fixed at the 2027 buy-</w:t>
      </w:r>
    </w:p>
    <w:p w14:paraId="2A2E8BF5" w14:textId="468701F9" w:rsidR="0089570A" w:rsidRDefault="00192AE9" w:rsidP="00024E89">
      <w:pPr>
        <w:spacing w:after="0" w:line="240" w:lineRule="auto"/>
        <w:rPr>
          <w:i/>
          <w:iCs/>
        </w:rPr>
      </w:pPr>
      <w:r w:rsidRPr="00024E89">
        <w:rPr>
          <w:i/>
          <w:iCs/>
        </w:rPr>
        <w:t xml:space="preserve">out price, plus 10%. </w:t>
      </w:r>
      <w:r w:rsidR="007D3647">
        <w:rPr>
          <w:i/>
          <w:iCs/>
        </w:rPr>
        <w:t>[1]</w:t>
      </w:r>
    </w:p>
    <w:p w14:paraId="6B2E1F60" w14:textId="77777777" w:rsidR="007D3647" w:rsidRDefault="007D3647" w:rsidP="00024E89">
      <w:pPr>
        <w:spacing w:after="0" w:line="240" w:lineRule="auto"/>
        <w:rPr>
          <w:i/>
          <w:iCs/>
        </w:rPr>
      </w:pPr>
    </w:p>
    <w:p w14:paraId="3596EB69" w14:textId="19686391" w:rsidR="006D7FA7" w:rsidRDefault="00192AE9" w:rsidP="00024E89">
      <w:pPr>
        <w:spacing w:after="0" w:line="240" w:lineRule="auto"/>
      </w:pPr>
      <w:r>
        <w:t>Similarly</w:t>
      </w:r>
      <w:r w:rsidR="00706F87">
        <w:t>,</w:t>
      </w:r>
      <w:r w:rsidR="006D730D">
        <w:t xml:space="preserve"> </w:t>
      </w:r>
      <w:r>
        <w:t xml:space="preserve">this is also stated </w:t>
      </w:r>
      <w:r w:rsidR="005E42B0">
        <w:t>in the Technical Update, issued by the Government in 2011 at the point of Renewable Obligation Design</w:t>
      </w:r>
      <w:r w:rsidR="0053716A">
        <w:t>, page 54, paragraph 213:</w:t>
      </w:r>
    </w:p>
    <w:p w14:paraId="1E3DA18C" w14:textId="77777777" w:rsidR="0053716A" w:rsidRDefault="0053716A" w:rsidP="00024E89">
      <w:pPr>
        <w:spacing w:after="0" w:line="240" w:lineRule="auto"/>
      </w:pPr>
    </w:p>
    <w:p w14:paraId="003FA98A" w14:textId="2D0DE99D" w:rsidR="00A52285" w:rsidRPr="00A52285" w:rsidRDefault="00192AE9" w:rsidP="00A52285">
      <w:pPr>
        <w:spacing w:after="0" w:line="240" w:lineRule="auto"/>
        <w:rPr>
          <w:i/>
          <w:iCs/>
        </w:rPr>
      </w:pPr>
      <w:r w:rsidRPr="00A52285">
        <w:rPr>
          <w:i/>
          <w:iCs/>
        </w:rPr>
        <w:t>"Our intention is for the price of the Fixed ROC to be set at the long-term value of the ROC.</w:t>
      </w:r>
    </w:p>
    <w:p w14:paraId="2557B6BA" w14:textId="77777777" w:rsidR="00A52285" w:rsidRPr="00A52285" w:rsidRDefault="00192AE9" w:rsidP="00A52285">
      <w:pPr>
        <w:spacing w:after="0" w:line="240" w:lineRule="auto"/>
        <w:rPr>
          <w:i/>
          <w:iCs/>
        </w:rPr>
      </w:pPr>
      <w:r w:rsidRPr="00A52285">
        <w:rPr>
          <w:i/>
          <w:iCs/>
        </w:rPr>
        <w:t>In 2027, this will be the 2027 buyout price, plus 10 per cent. The Fixed ROC price would</w:t>
      </w:r>
    </w:p>
    <w:p w14:paraId="3109BBC3" w14:textId="77777777" w:rsidR="00A52285" w:rsidRPr="00A52285" w:rsidRDefault="00192AE9" w:rsidP="00A52285">
      <w:pPr>
        <w:spacing w:after="0" w:line="240" w:lineRule="auto"/>
        <w:rPr>
          <w:i/>
          <w:iCs/>
        </w:rPr>
      </w:pPr>
      <w:r w:rsidRPr="00A52285">
        <w:rPr>
          <w:i/>
          <w:iCs/>
        </w:rPr>
        <w:t xml:space="preserve">remain inflation-linked from 2027, in the same way </w:t>
      </w:r>
      <w:r w:rsidRPr="00A52285">
        <w:rPr>
          <w:i/>
          <w:iCs/>
        </w:rPr>
        <w:t xml:space="preserve">that the buyout price is </w:t>
      </w:r>
      <w:proofErr w:type="gramStart"/>
      <w:r w:rsidRPr="00A52285">
        <w:rPr>
          <w:i/>
          <w:iCs/>
        </w:rPr>
        <w:t>currently</w:t>
      </w:r>
      <w:proofErr w:type="gramEnd"/>
    </w:p>
    <w:p w14:paraId="71B1B01E" w14:textId="5B13E5D7" w:rsidR="00A52285" w:rsidRPr="00A52285" w:rsidRDefault="00192AE9" w:rsidP="00A52285">
      <w:pPr>
        <w:spacing w:after="0" w:line="240" w:lineRule="auto"/>
        <w:rPr>
          <w:i/>
          <w:iCs/>
        </w:rPr>
      </w:pPr>
      <w:r w:rsidRPr="00A52285">
        <w:rPr>
          <w:i/>
          <w:iCs/>
        </w:rPr>
        <w:t>inflation-linked"</w:t>
      </w:r>
      <w:r>
        <w:rPr>
          <w:i/>
          <w:iCs/>
        </w:rPr>
        <w:t xml:space="preserve"> [2]</w:t>
      </w:r>
    </w:p>
    <w:p w14:paraId="59B44BA4" w14:textId="77777777" w:rsidR="007D3647" w:rsidRDefault="007D3647" w:rsidP="00024E89">
      <w:pPr>
        <w:spacing w:after="0" w:line="240" w:lineRule="auto"/>
        <w:rPr>
          <w:i/>
          <w:iCs/>
        </w:rPr>
      </w:pPr>
    </w:p>
    <w:p w14:paraId="1335615E" w14:textId="2E9EE63D" w:rsidR="00074AA3" w:rsidRDefault="00192AE9" w:rsidP="00024E89">
      <w:pPr>
        <w:spacing w:after="0" w:line="240" w:lineRule="auto"/>
      </w:pPr>
      <w:r>
        <w:t xml:space="preserve">These statements have been the basis of </w:t>
      </w:r>
      <w:r w:rsidR="00871071">
        <w:t xml:space="preserve">existing project </w:t>
      </w:r>
      <w:r w:rsidR="0020470D">
        <w:t xml:space="preserve">design and business model planning. </w:t>
      </w:r>
      <w:r w:rsidR="00BD64F2">
        <w:t>Thos</w:t>
      </w:r>
      <w:r w:rsidR="007149F7">
        <w:t>e</w:t>
      </w:r>
      <w:r w:rsidR="00BD64F2">
        <w:t xml:space="preserve"> who have invested in the RO will be expecting ongoing </w:t>
      </w:r>
      <w:r w:rsidR="006B5F65">
        <w:t>rev</w:t>
      </w:r>
      <w:r w:rsidR="00453F67">
        <w:t xml:space="preserve">enue from the </w:t>
      </w:r>
      <w:r w:rsidR="00BD64F2">
        <w:t xml:space="preserve">scheme that is </w:t>
      </w:r>
      <w:r w:rsidR="006B5F65">
        <w:t>reflective</w:t>
      </w:r>
      <w:r w:rsidR="00BD64F2">
        <w:t xml:space="preserve"> of buy-out</w:t>
      </w:r>
      <w:r w:rsidR="007149F7">
        <w:t xml:space="preserve"> price</w:t>
      </w:r>
      <w:r w:rsidR="00BD64F2">
        <w:t xml:space="preserve"> </w:t>
      </w:r>
      <w:r w:rsidR="000F343E">
        <w:t xml:space="preserve">plus 10%, until the </w:t>
      </w:r>
      <w:r w:rsidR="006B5F65">
        <w:t xml:space="preserve">end </w:t>
      </w:r>
      <w:r w:rsidR="000F343E">
        <w:t xml:space="preserve">of their contractual arrangements. Failure to deliver this will result in a </w:t>
      </w:r>
      <w:r w:rsidR="00065723">
        <w:t>retrospective</w:t>
      </w:r>
      <w:r w:rsidR="000F343E">
        <w:t xml:space="preserve"> change that will damage generation asset values, undermine investor </w:t>
      </w:r>
      <w:proofErr w:type="gramStart"/>
      <w:r w:rsidR="000F343E">
        <w:t>confidence</w:t>
      </w:r>
      <w:proofErr w:type="gramEnd"/>
      <w:r w:rsidR="000F343E">
        <w:t xml:space="preserve"> and could lead to legal </w:t>
      </w:r>
      <w:r w:rsidR="00065723">
        <w:t xml:space="preserve">challenges. </w:t>
      </w:r>
    </w:p>
    <w:p w14:paraId="0871ED7A" w14:textId="77777777" w:rsidR="00706F87" w:rsidRDefault="00706F87" w:rsidP="00024E89">
      <w:pPr>
        <w:spacing w:after="0" w:line="240" w:lineRule="auto"/>
      </w:pPr>
    </w:p>
    <w:p w14:paraId="204E39F2" w14:textId="6E7847CB" w:rsidR="00706F87" w:rsidRPr="00074AA3" w:rsidRDefault="00192AE9" w:rsidP="00024E89">
      <w:pPr>
        <w:spacing w:after="0" w:line="240" w:lineRule="auto"/>
      </w:pPr>
      <w:r>
        <w:t>While we r</w:t>
      </w:r>
      <w:r>
        <w:t>ecognise the duty of the government to consider the cos</w:t>
      </w:r>
      <w:r w:rsidR="009E218E">
        <w:t>t</w:t>
      </w:r>
      <w:r>
        <w:t xml:space="preserve"> of the scheme, the government also must honour previous commitments that sit as the basis of investment decisions. Failure to do so will </w:t>
      </w:r>
      <w:r w:rsidR="00125958">
        <w:t xml:space="preserve">drive up the cost of capital, which will make the energy transition more expensive overall for consumers. This should be avoided. </w:t>
      </w:r>
    </w:p>
    <w:p w14:paraId="30553AFE" w14:textId="77777777" w:rsidR="00074AA3" w:rsidRDefault="00074AA3" w:rsidP="00024E89">
      <w:pPr>
        <w:spacing w:after="0" w:line="240" w:lineRule="auto"/>
        <w:rPr>
          <w:i/>
          <w:iCs/>
        </w:rPr>
      </w:pPr>
    </w:p>
    <w:p w14:paraId="0466FB55" w14:textId="750D388D" w:rsidR="007D3647" w:rsidRDefault="00192AE9" w:rsidP="00024E89">
      <w:pPr>
        <w:spacing w:after="0" w:line="240" w:lineRule="auto"/>
        <w:rPr>
          <w:i/>
          <w:iCs/>
        </w:rPr>
      </w:pPr>
      <w:r>
        <w:rPr>
          <w:i/>
          <w:iCs/>
        </w:rPr>
        <w:t xml:space="preserve">[1] </w:t>
      </w:r>
      <w:hyperlink r:id="rId12" w:history="1">
        <w:r w:rsidR="00074AA3" w:rsidRPr="008C51A3">
          <w:rPr>
            <w:rStyle w:val="Hyperlink"/>
            <w:i/>
            <w:iCs/>
          </w:rPr>
          <w:t>https://www.ofgem.gov.uk/sites/default/files/docs/2019/04/ro_generator_guidance_apr19.pdf</w:t>
        </w:r>
      </w:hyperlink>
    </w:p>
    <w:p w14:paraId="669F1604" w14:textId="04B1AEF1" w:rsidR="00074AA3" w:rsidRDefault="00192AE9" w:rsidP="00024E89">
      <w:pPr>
        <w:spacing w:after="0" w:line="240" w:lineRule="auto"/>
        <w:rPr>
          <w:i/>
          <w:iCs/>
        </w:rPr>
      </w:pPr>
      <w:r>
        <w:rPr>
          <w:i/>
          <w:iCs/>
        </w:rPr>
        <w:t xml:space="preserve">[2] </w:t>
      </w:r>
      <w:hyperlink r:id="rId13" w:history="1">
        <w:r w:rsidR="0041197A" w:rsidRPr="008C51A3">
          <w:rPr>
            <w:rStyle w:val="Hyperlink"/>
            <w:i/>
            <w:iCs/>
          </w:rPr>
          <w:t>https://assets.publishing.service.gov.uk/media/5a79b691e5274a684690b920/3884-planning-electric-future-technical-update.pdf</w:t>
        </w:r>
      </w:hyperlink>
      <w:r w:rsidR="0041197A">
        <w:rPr>
          <w:i/>
          <w:iCs/>
        </w:rPr>
        <w:t xml:space="preserve"> </w:t>
      </w:r>
    </w:p>
    <w:p w14:paraId="1835E093" w14:textId="77777777" w:rsidR="00367E51" w:rsidRDefault="00367E51" w:rsidP="00914E7F">
      <w:pPr>
        <w:rPr>
          <w:b/>
          <w:bCs/>
        </w:rPr>
      </w:pPr>
    </w:p>
    <w:p w14:paraId="71EC9740" w14:textId="4ACF928C" w:rsidR="00914E7F" w:rsidRDefault="00192AE9" w:rsidP="00914E7F">
      <w:pPr>
        <w:rPr>
          <w:b/>
          <w:bCs/>
        </w:rPr>
      </w:pPr>
      <w:r w:rsidRPr="00914E7F">
        <w:rPr>
          <w:b/>
          <w:bCs/>
        </w:rPr>
        <w:t xml:space="preserve">Q22. Should the price of FPCs be indexed to the CPI instead of the RPI (as under the current scheme)? </w:t>
      </w:r>
    </w:p>
    <w:p w14:paraId="122EBB3B" w14:textId="4C30FC7E" w:rsidR="00125958" w:rsidRDefault="00192AE9" w:rsidP="00914E7F">
      <w:r w:rsidRPr="0041197A">
        <w:t>No.</w:t>
      </w:r>
    </w:p>
    <w:p w14:paraId="24B53785" w14:textId="32945126" w:rsidR="00E03D69" w:rsidRDefault="00192AE9" w:rsidP="00914E7F">
      <w:r>
        <w:t>Again, this would be a target</w:t>
      </w:r>
      <w:r w:rsidR="007C589C">
        <w:t xml:space="preserve">ed </w:t>
      </w:r>
      <w:r>
        <w:t xml:space="preserve">and </w:t>
      </w:r>
      <w:r w:rsidR="00AE0917">
        <w:t>retrospective</w:t>
      </w:r>
      <w:r>
        <w:t xml:space="preserve"> </w:t>
      </w:r>
      <w:r w:rsidR="00AE0917">
        <w:t xml:space="preserve">policy change that will reduce nominal revenues received under the RO. </w:t>
      </w:r>
      <w:r w:rsidR="0000460B">
        <w:t xml:space="preserve">Most generators </w:t>
      </w:r>
      <w:r w:rsidR="00D977FC">
        <w:t>will not</w:t>
      </w:r>
      <w:r>
        <w:t xml:space="preserve"> have the </w:t>
      </w:r>
      <w:r w:rsidR="00D977FC">
        <w:t>ability available to</w:t>
      </w:r>
      <w:r w:rsidR="008E684F">
        <w:t xml:space="preserve"> them to easily</w:t>
      </w:r>
      <w:r w:rsidR="00D977FC">
        <w:t xml:space="preserve"> amend </w:t>
      </w:r>
      <w:r w:rsidR="008E684F">
        <w:t xml:space="preserve">existing </w:t>
      </w:r>
      <w:r w:rsidR="00D977FC">
        <w:t xml:space="preserve">contracts to reduce costs in the same way. </w:t>
      </w:r>
      <w:r w:rsidR="00101485">
        <w:t xml:space="preserve">Equally, those </w:t>
      </w:r>
      <w:r w:rsidR="006B709D">
        <w:t>investors who have fin</w:t>
      </w:r>
      <w:r>
        <w:t xml:space="preserve">anced </w:t>
      </w:r>
      <w:r w:rsidR="006B709D">
        <w:t xml:space="preserve">projects through RPI-linked debt tranches will have modelled their business case against </w:t>
      </w:r>
      <w:r w:rsidR="00606056">
        <w:t>RPI-linked subsidy rev</w:t>
      </w:r>
      <w:r>
        <w:t>enues</w:t>
      </w:r>
      <w:r w:rsidR="00606056">
        <w:t xml:space="preserve"> that could now be subject to change</w:t>
      </w:r>
      <w:r w:rsidR="00011DB2">
        <w:t xml:space="preserve">. </w:t>
      </w:r>
    </w:p>
    <w:p w14:paraId="1179C496" w14:textId="55DB1566" w:rsidR="00F0760B" w:rsidRDefault="00192AE9" w:rsidP="00914E7F">
      <w:r>
        <w:t>Industry recognises that the Government have</w:t>
      </w:r>
      <w:r w:rsidR="00336758">
        <w:t xml:space="preserve"> already </w:t>
      </w:r>
      <w:r>
        <w:t xml:space="preserve">announced an economy-wide </w:t>
      </w:r>
      <w:r w:rsidR="00D37BF1">
        <w:t xml:space="preserve">change that will mean RPI-linked contracts will match CPI in 2030. This will deliver cost reductions across a wide </w:t>
      </w:r>
      <w:r w:rsidR="00D37BF1">
        <w:lastRenderedPageBreak/>
        <w:t>number of schemes across the economy. As this is a</w:t>
      </w:r>
      <w:r w:rsidR="00C37103">
        <w:t>n</w:t>
      </w:r>
      <w:r w:rsidR="00D37BF1">
        <w:t xml:space="preserve"> </w:t>
      </w:r>
      <w:r w:rsidR="00F62392" w:rsidRPr="00F62392">
        <w:t>indiscriminat</w:t>
      </w:r>
      <w:r w:rsidR="007E4995">
        <w:t>ory</w:t>
      </w:r>
      <w:r w:rsidR="00F62392" w:rsidRPr="00F62392">
        <w:t xml:space="preserve"> </w:t>
      </w:r>
      <w:r w:rsidR="00D37BF1">
        <w:t>change</w:t>
      </w:r>
      <w:r w:rsidR="002E41F0">
        <w:t>, it</w:t>
      </w:r>
      <w:r w:rsidR="00D37BF1">
        <w:t xml:space="preserve"> will be easier to manage</w:t>
      </w:r>
      <w:r w:rsidR="0098452F">
        <w:t xml:space="preserve">, in addition to there being sufficient time for contracts to make the transition. A move to CPI within FPCs in advance of </w:t>
      </w:r>
      <w:r w:rsidR="00EA03C1">
        <w:t xml:space="preserve">2030 will be a lot more disruptive to </w:t>
      </w:r>
      <w:r w:rsidR="00AE17EB">
        <w:t>renewable low-carbon</w:t>
      </w:r>
      <w:r w:rsidR="00EA03C1">
        <w:t xml:space="preserve"> investments. </w:t>
      </w:r>
    </w:p>
    <w:p w14:paraId="20B628E7" w14:textId="1BDDFB42" w:rsidR="00AE17EB" w:rsidRDefault="00192AE9" w:rsidP="00914E7F">
      <w:proofErr w:type="gramStart"/>
      <w:r>
        <w:t>Again</w:t>
      </w:r>
      <w:proofErr w:type="gramEnd"/>
      <w:r>
        <w:t xml:space="preserve"> such a move is counter to the previous</w:t>
      </w:r>
      <w:r w:rsidR="002114A1">
        <w:t xml:space="preserve"> </w:t>
      </w:r>
      <w:r w:rsidR="008306C9">
        <w:t>intentions stated by</w:t>
      </w:r>
      <w:r w:rsidR="002114A1">
        <w:t xml:space="preserve"> the Government, creating a damaging investment environment. </w:t>
      </w:r>
    </w:p>
    <w:p w14:paraId="1C73632B" w14:textId="76681559" w:rsidR="00914E7F" w:rsidRDefault="00192AE9" w:rsidP="00914E7F">
      <w:pPr>
        <w:rPr>
          <w:b/>
          <w:bCs/>
        </w:rPr>
      </w:pPr>
      <w:r w:rsidRPr="00914E7F">
        <w:rPr>
          <w:b/>
          <w:bCs/>
        </w:rPr>
        <w:t xml:space="preserve">Q23. What would be the implications for generators of a shift to CPI? How much of an impact would this have on the viability of continuous operation of RO plants? </w:t>
      </w:r>
    </w:p>
    <w:p w14:paraId="76C07392" w14:textId="36E0D6EE" w:rsidR="00BB2926" w:rsidRDefault="00192AE9" w:rsidP="00914E7F">
      <w:r w:rsidRPr="00536F52">
        <w:t>Some</w:t>
      </w:r>
      <w:r w:rsidR="00536F52">
        <w:t xml:space="preserve"> indicative </w:t>
      </w:r>
      <w:r w:rsidR="00385571">
        <w:t>calculations</w:t>
      </w:r>
      <w:r w:rsidR="00536F52">
        <w:t xml:space="preserve"> from members suggest that an early move to CPI</w:t>
      </w:r>
      <w:r w:rsidR="00DA30AF">
        <w:t xml:space="preserve">, before </w:t>
      </w:r>
      <w:proofErr w:type="gramStart"/>
      <w:r w:rsidR="00DA30AF">
        <w:t xml:space="preserve">2030, </w:t>
      </w:r>
      <w:r w:rsidR="00536F52">
        <w:t xml:space="preserve"> could</w:t>
      </w:r>
      <w:proofErr w:type="gramEnd"/>
      <w:r w:rsidR="00536F52">
        <w:t xml:space="preserve"> reduce asset valuations by up to 2%, resulting from a 1-2% decrease in </w:t>
      </w:r>
      <w:r w:rsidR="00D10C7B">
        <w:t>revenue from ROCs.</w:t>
      </w:r>
      <w:r>
        <w:t xml:space="preserve"> However, more detailed modelling is req</w:t>
      </w:r>
      <w:r w:rsidR="00A531E8">
        <w:t xml:space="preserve">uired. </w:t>
      </w:r>
    </w:p>
    <w:p w14:paraId="556D20C7" w14:textId="02497DB4" w:rsidR="008306C9" w:rsidRPr="00914E7F" w:rsidRDefault="00192AE9" w:rsidP="00914E7F">
      <w:r>
        <w:t xml:space="preserve"> It is important </w:t>
      </w:r>
      <w:r w:rsidR="00385571">
        <w:t>t</w:t>
      </w:r>
      <w:r>
        <w:t>o note that this is on top of</w:t>
      </w:r>
      <w:r>
        <w:t xml:space="preserve"> </w:t>
      </w:r>
      <w:r w:rsidR="00385571">
        <w:t>decreased</w:t>
      </w:r>
      <w:r>
        <w:t xml:space="preserve"> valuations that have already been caused by the introduction of the </w:t>
      </w:r>
      <w:r w:rsidR="00A10780">
        <w:t xml:space="preserve">Electricity Generator Levy, increased operational costs due to inflation and </w:t>
      </w:r>
      <w:r w:rsidR="001A6629">
        <w:t xml:space="preserve">possible further devaluation caused by the potential loss of the 10% headroom </w:t>
      </w:r>
      <w:r w:rsidR="00DA30AF">
        <w:t xml:space="preserve">in the FPC. </w:t>
      </w:r>
      <w:r w:rsidR="009263D6">
        <w:t xml:space="preserve">While RO plants may continue operation, it will </w:t>
      </w:r>
      <w:r w:rsidR="00F649A8">
        <w:t xml:space="preserve">put off further investment in such assets. Reducing the possibility of </w:t>
      </w:r>
      <w:r w:rsidR="009771DC">
        <w:t xml:space="preserve">repowering </w:t>
      </w:r>
      <w:r w:rsidR="004B747F">
        <w:t>existing projects, leading to</w:t>
      </w:r>
      <w:r w:rsidR="009771DC">
        <w:t xml:space="preserve"> a loss o</w:t>
      </w:r>
      <w:r w:rsidR="004B747F">
        <w:t>f</w:t>
      </w:r>
      <w:r w:rsidR="009771DC">
        <w:t xml:space="preserve"> renewable generation capacity at a time when the Government are aiming to get to a </w:t>
      </w:r>
      <w:r w:rsidR="00C3101D">
        <w:t xml:space="preserve">net zero power system by 2035. The government should be looking to ensure existing generation is maintained, not lost, as the RO comes to an end. </w:t>
      </w:r>
    </w:p>
    <w:p w14:paraId="11B03846" w14:textId="77777777" w:rsidR="00914E7F" w:rsidRPr="00914E7F" w:rsidRDefault="00192AE9" w:rsidP="00914E7F">
      <w:pPr>
        <w:rPr>
          <w:b/>
          <w:bCs/>
        </w:rPr>
      </w:pPr>
      <w:r w:rsidRPr="00914E7F">
        <w:rPr>
          <w:b/>
          <w:bCs/>
        </w:rPr>
        <w:t>Q24. What are the benefits and drawbacks associated with Option 1 and Option 2 of this section? Which option would you fav</w:t>
      </w:r>
      <w:r w:rsidRPr="00914E7F">
        <w:rPr>
          <w:b/>
          <w:bCs/>
        </w:rPr>
        <w:t xml:space="preserve">our? </w:t>
      </w:r>
    </w:p>
    <w:p w14:paraId="7712D210" w14:textId="77777777" w:rsidR="00B22810" w:rsidRPr="00A76C7A" w:rsidRDefault="00192AE9" w:rsidP="00B22810">
      <w:r w:rsidRPr="00A76C7A">
        <w:t xml:space="preserve">Moves to change how inflation is treated in the RO misunderstand the nature of inflation in the economy and how it will impact business models. As such we do not support either option 1 or 2.  </w:t>
      </w:r>
    </w:p>
    <w:p w14:paraId="285862E1" w14:textId="310FD7CD" w:rsidR="00021DE0" w:rsidRPr="00A76C7A" w:rsidRDefault="00192AE9" w:rsidP="00914E7F">
      <w:r w:rsidRPr="00A76C7A">
        <w:t xml:space="preserve">The government must recognise that </w:t>
      </w:r>
      <w:r w:rsidR="0003799F" w:rsidRPr="00A76C7A">
        <w:t xml:space="preserve">inflation </w:t>
      </w:r>
      <w:r w:rsidR="00A76C7A" w:rsidRPr="00A76C7A">
        <w:t>itself</w:t>
      </w:r>
      <w:r w:rsidR="006A134C" w:rsidRPr="00A76C7A">
        <w:t xml:space="preserve"> compounds</w:t>
      </w:r>
      <w:r w:rsidR="007430D8" w:rsidRPr="00A76C7A">
        <w:t xml:space="preserve"> and that the current model for the RO is the basis on which revenue calculations have been done, and in some cases seen assets sold. Changes to how inflation </w:t>
      </w:r>
      <w:r w:rsidR="009757DA" w:rsidRPr="00A76C7A">
        <w:t xml:space="preserve">is treated within the RO </w:t>
      </w:r>
      <w:r w:rsidR="00133552" w:rsidRPr="00A76C7A">
        <w:t xml:space="preserve">would again </w:t>
      </w:r>
      <w:r w:rsidR="00A76C7A" w:rsidRPr="00A76C7A">
        <w:t>undermine</w:t>
      </w:r>
      <w:r w:rsidR="00133552" w:rsidRPr="00A76C7A">
        <w:t xml:space="preserve"> business </w:t>
      </w:r>
      <w:r w:rsidR="00223CA5" w:rsidRPr="00A76C7A">
        <w:t>models and</w:t>
      </w:r>
      <w:r w:rsidR="00133552" w:rsidRPr="00A76C7A">
        <w:t xml:space="preserve"> should be avoided. </w:t>
      </w:r>
    </w:p>
    <w:p w14:paraId="74B13F9B" w14:textId="5A4E9CA6" w:rsidR="00914E7F" w:rsidRPr="00A76C7A" w:rsidRDefault="00192AE9" w:rsidP="00914E7F">
      <w:r w:rsidRPr="00A76C7A">
        <w:t xml:space="preserve">The point of the RO is that the price risk sits with the </w:t>
      </w:r>
      <w:r w:rsidR="003A452C" w:rsidRPr="00A76C7A">
        <w:t>generator</w:t>
      </w:r>
      <w:r w:rsidRPr="00A76C7A">
        <w:t xml:space="preserve"> and their investors. This means that when prices are low, as </w:t>
      </w:r>
      <w:r w:rsidR="00A76C7A" w:rsidRPr="00A76C7A">
        <w:t>they were</w:t>
      </w:r>
      <w:r w:rsidRPr="00A76C7A">
        <w:t xml:space="preserve"> during the</w:t>
      </w:r>
      <w:r w:rsidR="003A452C" w:rsidRPr="00A76C7A">
        <w:t xml:space="preserve"> lock</w:t>
      </w:r>
      <w:r w:rsidRPr="00A76C7A">
        <w:t xml:space="preserve">down, the </w:t>
      </w:r>
      <w:r w:rsidR="00402E5E" w:rsidRPr="00A76C7A">
        <w:t xml:space="preserve">generator accepts lower </w:t>
      </w:r>
      <w:r w:rsidR="003A452C" w:rsidRPr="00A76C7A">
        <w:t>revenues</w:t>
      </w:r>
      <w:r w:rsidR="004D281B">
        <w:t xml:space="preserve">. </w:t>
      </w:r>
      <w:r w:rsidR="008503FF">
        <w:t>C</w:t>
      </w:r>
      <w:r w:rsidR="008503FF" w:rsidRPr="008503FF">
        <w:t>onversely</w:t>
      </w:r>
      <w:r w:rsidR="008503FF">
        <w:t xml:space="preserve">, </w:t>
      </w:r>
      <w:r w:rsidR="00402E5E" w:rsidRPr="00A76C7A">
        <w:t xml:space="preserve">when prices are </w:t>
      </w:r>
      <w:r w:rsidR="00223CA5" w:rsidRPr="00A76C7A">
        <w:t>high,</w:t>
      </w:r>
      <w:r w:rsidR="00402E5E" w:rsidRPr="00A76C7A">
        <w:t xml:space="preserve"> they </w:t>
      </w:r>
      <w:r w:rsidR="00223CA5" w:rsidRPr="00A76C7A">
        <w:t>can</w:t>
      </w:r>
      <w:r w:rsidR="00402E5E" w:rsidRPr="00A76C7A">
        <w:t xml:space="preserve"> get the benefit of those prices. </w:t>
      </w:r>
      <w:r w:rsidR="00547C07" w:rsidRPr="00A76C7A">
        <w:t xml:space="preserve">This also </w:t>
      </w:r>
      <w:r w:rsidR="00AD07D1" w:rsidRPr="00A76C7A">
        <w:t>recognises</w:t>
      </w:r>
      <w:r w:rsidR="00547C07" w:rsidRPr="00A76C7A">
        <w:t xml:space="preserve"> that along with inflation </w:t>
      </w:r>
      <w:r w:rsidR="003A452C" w:rsidRPr="00A76C7A">
        <w:t>comp</w:t>
      </w:r>
      <w:r w:rsidR="00AB0956" w:rsidRPr="00A76C7A">
        <w:t>ounding</w:t>
      </w:r>
      <w:r w:rsidR="00547C07" w:rsidRPr="00A76C7A">
        <w:t xml:space="preserve"> year on year, so does the purchasing </w:t>
      </w:r>
      <w:r w:rsidR="003A452C" w:rsidRPr="00A76C7A">
        <w:t>power</w:t>
      </w:r>
      <w:r w:rsidR="00547C07" w:rsidRPr="00A76C7A">
        <w:t xml:space="preserve"> of the investor </w:t>
      </w:r>
      <w:r w:rsidR="00223CA5" w:rsidRPr="00A76C7A">
        <w:t>to</w:t>
      </w:r>
      <w:r w:rsidR="003A452C" w:rsidRPr="00A76C7A">
        <w:t xml:space="preserve"> deal with increased operation and </w:t>
      </w:r>
      <w:r w:rsidR="0006505C">
        <w:t>maintenance</w:t>
      </w:r>
      <w:r w:rsidR="00AD07D1">
        <w:t xml:space="preserve"> </w:t>
      </w:r>
      <w:r w:rsidR="00223CA5">
        <w:t>costs and</w:t>
      </w:r>
      <w:r w:rsidR="00AB0956" w:rsidRPr="00A76C7A">
        <w:t xml:space="preserve"> </w:t>
      </w:r>
      <w:r w:rsidR="00AD07D1">
        <w:t xml:space="preserve">the </w:t>
      </w:r>
      <w:r w:rsidR="00223CA5" w:rsidRPr="00A76C7A">
        <w:t>cost-of-service</w:t>
      </w:r>
      <w:r w:rsidR="00AB0956" w:rsidRPr="00A76C7A">
        <w:t xml:space="preserve"> providers. </w:t>
      </w:r>
    </w:p>
    <w:p w14:paraId="71F88FDE" w14:textId="4D722569" w:rsidR="002B7938" w:rsidRPr="00A76C7A" w:rsidRDefault="00192AE9" w:rsidP="00914E7F">
      <w:proofErr w:type="gramStart"/>
      <w:r w:rsidRPr="00A76C7A">
        <w:t>Specifically</w:t>
      </w:r>
      <w:proofErr w:type="gramEnd"/>
      <w:r w:rsidR="00AB0956" w:rsidRPr="00A76C7A">
        <w:t xml:space="preserve"> about option</w:t>
      </w:r>
      <w:r w:rsidR="005A78E9" w:rsidRPr="00A76C7A">
        <w:t xml:space="preserve"> 2, which links the RO to the price of </w:t>
      </w:r>
      <w:r w:rsidR="00806370" w:rsidRPr="00A76C7A">
        <w:t xml:space="preserve">electricity </w:t>
      </w:r>
      <w:r w:rsidRPr="00A76C7A">
        <w:t>prices, we</w:t>
      </w:r>
      <w:r w:rsidR="00AB0956" w:rsidRPr="00A76C7A">
        <w:t xml:space="preserve"> note </w:t>
      </w:r>
      <w:r w:rsidR="00F132B5">
        <w:t>these risks</w:t>
      </w:r>
      <w:r w:rsidR="00AB0956" w:rsidRPr="00A76C7A">
        <w:t xml:space="preserve"> penalising </w:t>
      </w:r>
      <w:r w:rsidR="00806370" w:rsidRPr="00A76C7A">
        <w:t xml:space="preserve">existing assets that have higher operational costs, such as those technologies with feedstocks. </w:t>
      </w:r>
      <w:r w:rsidRPr="00A76C7A">
        <w:t>The government</w:t>
      </w:r>
      <w:r w:rsidR="00796BAE" w:rsidRPr="00A76C7A">
        <w:t xml:space="preserve"> should not be looking </w:t>
      </w:r>
      <w:r>
        <w:t>t</w:t>
      </w:r>
      <w:r w:rsidR="00796BAE" w:rsidRPr="00A76C7A">
        <w:t xml:space="preserve">o make changes to a scheme that could </w:t>
      </w:r>
      <w:r w:rsidR="00F132B5">
        <w:t>unfairly disadvantage specific</w:t>
      </w:r>
      <w:r w:rsidR="00796BAE" w:rsidRPr="00A76C7A">
        <w:t xml:space="preserve"> scheme </w:t>
      </w:r>
      <w:r w:rsidRPr="00A76C7A">
        <w:t>participants</w:t>
      </w:r>
      <w:r w:rsidR="00796BAE" w:rsidRPr="00A76C7A">
        <w:t xml:space="preserve">. </w:t>
      </w:r>
    </w:p>
    <w:p w14:paraId="1F49200A" w14:textId="77777777" w:rsidR="0050674E" w:rsidRDefault="00192AE9" w:rsidP="00914E7F">
      <w:r w:rsidRPr="00A76C7A">
        <w:t xml:space="preserve">The </w:t>
      </w:r>
      <w:r w:rsidR="00B22810" w:rsidRPr="00A76C7A">
        <w:t>Government</w:t>
      </w:r>
      <w:r w:rsidRPr="00A76C7A">
        <w:t xml:space="preserve"> have already introduced the </w:t>
      </w:r>
      <w:r w:rsidR="00B22810" w:rsidRPr="00A76C7A">
        <w:t>Electricity</w:t>
      </w:r>
      <w:r w:rsidRPr="00A76C7A">
        <w:t xml:space="preserve"> Generator Levy </w:t>
      </w:r>
      <w:r w:rsidR="00223CA5" w:rsidRPr="00A76C7A">
        <w:t>to</w:t>
      </w:r>
      <w:r w:rsidRPr="00A76C7A">
        <w:t xml:space="preserve"> </w:t>
      </w:r>
      <w:r w:rsidR="00B22810" w:rsidRPr="00A76C7A">
        <w:t>address</w:t>
      </w:r>
      <w:r w:rsidRPr="00A76C7A">
        <w:t xml:space="preserve"> </w:t>
      </w:r>
      <w:r w:rsidR="00E37FB5" w:rsidRPr="00A76C7A">
        <w:t xml:space="preserve">extraordinary revenues within the sector. It would be </w:t>
      </w:r>
      <w:r w:rsidR="00B22810" w:rsidRPr="00A76C7A">
        <w:t>inappropriate</w:t>
      </w:r>
      <w:r w:rsidR="00E37FB5" w:rsidRPr="00A76C7A">
        <w:t xml:space="preserve"> to change the RO’s treatment of </w:t>
      </w:r>
      <w:r w:rsidR="00DB4569" w:rsidRPr="00A76C7A">
        <w:t xml:space="preserve">inflation to also try and </w:t>
      </w:r>
      <w:r w:rsidR="00B22810" w:rsidRPr="00A76C7A">
        <w:t>address</w:t>
      </w:r>
      <w:r w:rsidR="00DB4569" w:rsidRPr="00A76C7A">
        <w:t xml:space="preserve"> this. This will effect</w:t>
      </w:r>
      <w:r w:rsidR="00B22810">
        <w:t>ively penalise</w:t>
      </w:r>
      <w:r w:rsidR="00DB4569" w:rsidRPr="00A76C7A">
        <w:t xml:space="preserve"> </w:t>
      </w:r>
      <w:r w:rsidR="00B22810">
        <w:t>low-carbon RO projects twice</w:t>
      </w:r>
      <w:r w:rsidR="00A76C7A" w:rsidRPr="00A76C7A">
        <w:t xml:space="preserve">. </w:t>
      </w:r>
      <w:r w:rsidR="00B22810">
        <w:t xml:space="preserve">This will undermine the </w:t>
      </w:r>
      <w:r w:rsidR="00223CA5">
        <w:t>Government's</w:t>
      </w:r>
      <w:r w:rsidR="00B22810">
        <w:t xml:space="preserve"> </w:t>
      </w:r>
      <w:r w:rsidR="00223CA5">
        <w:t>investments</w:t>
      </w:r>
      <w:r w:rsidR="00B22810">
        <w:t xml:space="preserve"> and policy intentions in </w:t>
      </w:r>
      <w:r w:rsidR="00223CA5">
        <w:t>seeing the deployment of low-carbon generation.</w:t>
      </w:r>
    </w:p>
    <w:p w14:paraId="06228B59" w14:textId="77777777" w:rsidR="0050674E" w:rsidRDefault="00192AE9" w:rsidP="0050674E">
      <w:pPr>
        <w:rPr>
          <w:b/>
          <w:bCs/>
        </w:rPr>
      </w:pPr>
      <w:r w:rsidRPr="0050674E">
        <w:rPr>
          <w:b/>
          <w:bCs/>
        </w:rPr>
        <w:t>Q25. Do you agree with the proposal to introduce the new FPC model in 2027?</w:t>
      </w:r>
    </w:p>
    <w:p w14:paraId="5B44281C" w14:textId="263598C7" w:rsidR="0050674E" w:rsidRPr="0050674E" w:rsidRDefault="00192AE9" w:rsidP="0050674E">
      <w:r>
        <w:lastRenderedPageBreak/>
        <w:t xml:space="preserve">We do not oppose the introduction of FPC’s in 2027 </w:t>
      </w:r>
      <w:r w:rsidR="000B383E">
        <w:t>if</w:t>
      </w:r>
      <w:r>
        <w:t xml:space="preserve"> there is clear tran</w:t>
      </w:r>
      <w:r w:rsidR="00D94285">
        <w:t>sparency on how their price is set, and that</w:t>
      </w:r>
      <w:r w:rsidR="000B383E">
        <w:t xml:space="preserve"> it</w:t>
      </w:r>
      <w:r w:rsidR="00D94285">
        <w:t xml:space="preserve"> does not result in a reduction in revenue for generators. </w:t>
      </w:r>
      <w:proofErr w:type="gramStart"/>
      <w:r w:rsidR="00D94285">
        <w:t>As long as</w:t>
      </w:r>
      <w:proofErr w:type="gramEnd"/>
      <w:r w:rsidR="00D94285">
        <w:t xml:space="preserve"> the</w:t>
      </w:r>
      <w:r w:rsidR="000B383E">
        <w:t>re is</w:t>
      </w:r>
      <w:r w:rsidR="00D94285">
        <w:t xml:space="preserve"> clarity in the timescale and transition time, then the industry will be ready for this change. </w:t>
      </w:r>
    </w:p>
    <w:p w14:paraId="76489B3D" w14:textId="77777777" w:rsidR="0050674E" w:rsidRPr="0050674E" w:rsidRDefault="00192AE9" w:rsidP="0050674E">
      <w:pPr>
        <w:rPr>
          <w:b/>
          <w:bCs/>
        </w:rPr>
      </w:pPr>
      <w:r w:rsidRPr="0050674E">
        <w:rPr>
          <w:b/>
          <w:bCs/>
        </w:rPr>
        <w:t>Q26. What length of time would constitute a reasonable period of notice for marke</w:t>
      </w:r>
      <w:r w:rsidRPr="0050674E">
        <w:rPr>
          <w:b/>
          <w:bCs/>
        </w:rPr>
        <w:t>t participants and other parties (</w:t>
      </w:r>
      <w:proofErr w:type="gramStart"/>
      <w:r w:rsidRPr="0050674E">
        <w:rPr>
          <w:b/>
          <w:bCs/>
        </w:rPr>
        <w:t>e.g.</w:t>
      </w:r>
      <w:proofErr w:type="gramEnd"/>
      <w:r w:rsidRPr="0050674E">
        <w:rPr>
          <w:b/>
          <w:bCs/>
        </w:rPr>
        <w:t xml:space="preserve"> administrator, counterparty) to prepare for the transition to the new model?</w:t>
      </w:r>
    </w:p>
    <w:p w14:paraId="4D27715F" w14:textId="0F0578EF" w:rsidR="002B7938" w:rsidRDefault="00192AE9" w:rsidP="00914E7F">
      <w:proofErr w:type="gramStart"/>
      <w:r>
        <w:t>As long as</w:t>
      </w:r>
      <w:proofErr w:type="gramEnd"/>
      <w:r>
        <w:t xml:space="preserve"> government are clear on the design of FPCs and that it will </w:t>
      </w:r>
      <w:r w:rsidR="009D4E0A">
        <w:t>n</w:t>
      </w:r>
      <w:r>
        <w:t>ot reduce revenues for generators, then a period of two to three yea</w:t>
      </w:r>
      <w:r>
        <w:t xml:space="preserve">rs will be sufficient. </w:t>
      </w:r>
    </w:p>
    <w:p w14:paraId="6285FD00" w14:textId="1E14D308" w:rsidR="006D270D" w:rsidRPr="00914E7F" w:rsidRDefault="00192AE9" w:rsidP="00B3351B">
      <w:pPr>
        <w:jc w:val="right"/>
        <w:rPr>
          <w:b/>
          <w:bCs/>
        </w:rPr>
      </w:pPr>
      <w:r w:rsidRPr="00A45193">
        <w:rPr>
          <w:b/>
          <w:bCs/>
          <w:i/>
          <w:iCs/>
        </w:rPr>
        <w:t>October 2023</w:t>
      </w:r>
    </w:p>
    <w:sectPr w:rsidR="006D270D" w:rsidRPr="00914E7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F40E" w14:textId="77777777" w:rsidR="00192AE9" w:rsidRDefault="00192AE9">
      <w:pPr>
        <w:spacing w:after="0" w:line="240" w:lineRule="auto"/>
      </w:pPr>
      <w:r>
        <w:separator/>
      </w:r>
    </w:p>
  </w:endnote>
  <w:endnote w:type="continuationSeparator" w:id="0">
    <w:p w14:paraId="2AC04B8D" w14:textId="77777777" w:rsidR="00192AE9" w:rsidRDefault="0019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9EA6" w14:textId="77777777" w:rsidR="00192AE9" w:rsidRDefault="00192AE9">
      <w:pPr>
        <w:spacing w:after="0" w:line="240" w:lineRule="auto"/>
      </w:pPr>
      <w:r>
        <w:separator/>
      </w:r>
    </w:p>
  </w:footnote>
  <w:footnote w:type="continuationSeparator" w:id="0">
    <w:p w14:paraId="2ED28D3F" w14:textId="77777777" w:rsidR="00192AE9" w:rsidRDefault="0019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799" w14:textId="63E58D60" w:rsidR="00A47652" w:rsidRDefault="00192AE9">
    <w:pPr>
      <w:pStyle w:val="Header"/>
    </w:pPr>
    <w:r>
      <w:rPr>
        <w:noProof/>
      </w:rPr>
      <w:drawing>
        <wp:anchor distT="0" distB="0" distL="114300" distR="114300" simplePos="0" relativeHeight="251658240" behindDoc="0" locked="0" layoutInCell="1" allowOverlap="1" wp14:anchorId="331A224B" wp14:editId="0CA258F6">
          <wp:simplePos x="0" y="0"/>
          <wp:positionH relativeFrom="column">
            <wp:posOffset>4648200</wp:posOffset>
          </wp:positionH>
          <wp:positionV relativeFrom="paragraph">
            <wp:posOffset>-135255</wp:posOffset>
          </wp:positionV>
          <wp:extent cx="1116965" cy="581025"/>
          <wp:effectExtent l="0" t="0" r="6985"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16965"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402BF"/>
    <w:multiLevelType w:val="hybridMultilevel"/>
    <w:tmpl w:val="1C36C462"/>
    <w:lvl w:ilvl="0" w:tplc="1764CF3E">
      <w:numFmt w:val="bullet"/>
      <w:lvlText w:val="-"/>
      <w:lvlJc w:val="left"/>
      <w:pPr>
        <w:ind w:left="720" w:hanging="360"/>
      </w:pPr>
      <w:rPr>
        <w:rFonts w:ascii="Calibri" w:eastAsiaTheme="minorHAnsi" w:hAnsi="Calibri" w:cs="Calibri" w:hint="default"/>
      </w:rPr>
    </w:lvl>
    <w:lvl w:ilvl="1" w:tplc="0F020ABE" w:tentative="1">
      <w:start w:val="1"/>
      <w:numFmt w:val="bullet"/>
      <w:lvlText w:val="o"/>
      <w:lvlJc w:val="left"/>
      <w:pPr>
        <w:ind w:left="1440" w:hanging="360"/>
      </w:pPr>
      <w:rPr>
        <w:rFonts w:ascii="Courier New" w:hAnsi="Courier New" w:cs="Courier New" w:hint="default"/>
      </w:rPr>
    </w:lvl>
    <w:lvl w:ilvl="2" w:tplc="6826F186" w:tentative="1">
      <w:start w:val="1"/>
      <w:numFmt w:val="bullet"/>
      <w:lvlText w:val=""/>
      <w:lvlJc w:val="left"/>
      <w:pPr>
        <w:ind w:left="2160" w:hanging="360"/>
      </w:pPr>
      <w:rPr>
        <w:rFonts w:ascii="Wingdings" w:hAnsi="Wingdings" w:hint="default"/>
      </w:rPr>
    </w:lvl>
    <w:lvl w:ilvl="3" w:tplc="4B205E24" w:tentative="1">
      <w:start w:val="1"/>
      <w:numFmt w:val="bullet"/>
      <w:lvlText w:val=""/>
      <w:lvlJc w:val="left"/>
      <w:pPr>
        <w:ind w:left="2880" w:hanging="360"/>
      </w:pPr>
      <w:rPr>
        <w:rFonts w:ascii="Symbol" w:hAnsi="Symbol" w:hint="default"/>
      </w:rPr>
    </w:lvl>
    <w:lvl w:ilvl="4" w:tplc="0C8010DA" w:tentative="1">
      <w:start w:val="1"/>
      <w:numFmt w:val="bullet"/>
      <w:lvlText w:val="o"/>
      <w:lvlJc w:val="left"/>
      <w:pPr>
        <w:ind w:left="3600" w:hanging="360"/>
      </w:pPr>
      <w:rPr>
        <w:rFonts w:ascii="Courier New" w:hAnsi="Courier New" w:cs="Courier New" w:hint="default"/>
      </w:rPr>
    </w:lvl>
    <w:lvl w:ilvl="5" w:tplc="E0386492" w:tentative="1">
      <w:start w:val="1"/>
      <w:numFmt w:val="bullet"/>
      <w:lvlText w:val=""/>
      <w:lvlJc w:val="left"/>
      <w:pPr>
        <w:ind w:left="4320" w:hanging="360"/>
      </w:pPr>
      <w:rPr>
        <w:rFonts w:ascii="Wingdings" w:hAnsi="Wingdings" w:hint="default"/>
      </w:rPr>
    </w:lvl>
    <w:lvl w:ilvl="6" w:tplc="A668822C" w:tentative="1">
      <w:start w:val="1"/>
      <w:numFmt w:val="bullet"/>
      <w:lvlText w:val=""/>
      <w:lvlJc w:val="left"/>
      <w:pPr>
        <w:ind w:left="5040" w:hanging="360"/>
      </w:pPr>
      <w:rPr>
        <w:rFonts w:ascii="Symbol" w:hAnsi="Symbol" w:hint="default"/>
      </w:rPr>
    </w:lvl>
    <w:lvl w:ilvl="7" w:tplc="70E6AFA0" w:tentative="1">
      <w:start w:val="1"/>
      <w:numFmt w:val="bullet"/>
      <w:lvlText w:val="o"/>
      <w:lvlJc w:val="left"/>
      <w:pPr>
        <w:ind w:left="5760" w:hanging="360"/>
      </w:pPr>
      <w:rPr>
        <w:rFonts w:ascii="Courier New" w:hAnsi="Courier New" w:cs="Courier New" w:hint="default"/>
      </w:rPr>
    </w:lvl>
    <w:lvl w:ilvl="8" w:tplc="14FC6472" w:tentative="1">
      <w:start w:val="1"/>
      <w:numFmt w:val="bullet"/>
      <w:lvlText w:val=""/>
      <w:lvlJc w:val="left"/>
      <w:pPr>
        <w:ind w:left="6480" w:hanging="360"/>
      </w:pPr>
      <w:rPr>
        <w:rFonts w:ascii="Wingdings" w:hAnsi="Wingdings" w:hint="default"/>
      </w:rPr>
    </w:lvl>
  </w:abstractNum>
  <w:abstractNum w:abstractNumId="1" w15:restartNumberingAfterBreak="0">
    <w:nsid w:val="7FCE4C8F"/>
    <w:multiLevelType w:val="hybridMultilevel"/>
    <w:tmpl w:val="8F846450"/>
    <w:lvl w:ilvl="0" w:tplc="6EAC2CC8">
      <w:start w:val="1"/>
      <w:numFmt w:val="bullet"/>
      <w:lvlText w:val="•"/>
      <w:lvlJc w:val="left"/>
      <w:pPr>
        <w:tabs>
          <w:tab w:val="num" w:pos="720"/>
        </w:tabs>
        <w:ind w:left="720" w:hanging="360"/>
      </w:pPr>
      <w:rPr>
        <w:rFonts w:ascii="Arial" w:hAnsi="Arial" w:hint="default"/>
      </w:rPr>
    </w:lvl>
    <w:lvl w:ilvl="1" w:tplc="4516D2E0" w:tentative="1">
      <w:start w:val="1"/>
      <w:numFmt w:val="bullet"/>
      <w:lvlText w:val="•"/>
      <w:lvlJc w:val="left"/>
      <w:pPr>
        <w:tabs>
          <w:tab w:val="num" w:pos="1440"/>
        </w:tabs>
        <w:ind w:left="1440" w:hanging="360"/>
      </w:pPr>
      <w:rPr>
        <w:rFonts w:ascii="Arial" w:hAnsi="Arial" w:hint="default"/>
      </w:rPr>
    </w:lvl>
    <w:lvl w:ilvl="2" w:tplc="5A443B4C" w:tentative="1">
      <w:start w:val="1"/>
      <w:numFmt w:val="bullet"/>
      <w:lvlText w:val="•"/>
      <w:lvlJc w:val="left"/>
      <w:pPr>
        <w:tabs>
          <w:tab w:val="num" w:pos="2160"/>
        </w:tabs>
        <w:ind w:left="2160" w:hanging="360"/>
      </w:pPr>
      <w:rPr>
        <w:rFonts w:ascii="Arial" w:hAnsi="Arial" w:hint="default"/>
      </w:rPr>
    </w:lvl>
    <w:lvl w:ilvl="3" w:tplc="4AF4FD60" w:tentative="1">
      <w:start w:val="1"/>
      <w:numFmt w:val="bullet"/>
      <w:lvlText w:val="•"/>
      <w:lvlJc w:val="left"/>
      <w:pPr>
        <w:tabs>
          <w:tab w:val="num" w:pos="2880"/>
        </w:tabs>
        <w:ind w:left="2880" w:hanging="360"/>
      </w:pPr>
      <w:rPr>
        <w:rFonts w:ascii="Arial" w:hAnsi="Arial" w:hint="default"/>
      </w:rPr>
    </w:lvl>
    <w:lvl w:ilvl="4" w:tplc="11682CFA" w:tentative="1">
      <w:start w:val="1"/>
      <w:numFmt w:val="bullet"/>
      <w:lvlText w:val="•"/>
      <w:lvlJc w:val="left"/>
      <w:pPr>
        <w:tabs>
          <w:tab w:val="num" w:pos="3600"/>
        </w:tabs>
        <w:ind w:left="3600" w:hanging="360"/>
      </w:pPr>
      <w:rPr>
        <w:rFonts w:ascii="Arial" w:hAnsi="Arial" w:hint="default"/>
      </w:rPr>
    </w:lvl>
    <w:lvl w:ilvl="5" w:tplc="D0B2D50E" w:tentative="1">
      <w:start w:val="1"/>
      <w:numFmt w:val="bullet"/>
      <w:lvlText w:val="•"/>
      <w:lvlJc w:val="left"/>
      <w:pPr>
        <w:tabs>
          <w:tab w:val="num" w:pos="4320"/>
        </w:tabs>
        <w:ind w:left="4320" w:hanging="360"/>
      </w:pPr>
      <w:rPr>
        <w:rFonts w:ascii="Arial" w:hAnsi="Arial" w:hint="default"/>
      </w:rPr>
    </w:lvl>
    <w:lvl w:ilvl="6" w:tplc="2214B9D8" w:tentative="1">
      <w:start w:val="1"/>
      <w:numFmt w:val="bullet"/>
      <w:lvlText w:val="•"/>
      <w:lvlJc w:val="left"/>
      <w:pPr>
        <w:tabs>
          <w:tab w:val="num" w:pos="5040"/>
        </w:tabs>
        <w:ind w:left="5040" w:hanging="360"/>
      </w:pPr>
      <w:rPr>
        <w:rFonts w:ascii="Arial" w:hAnsi="Arial" w:hint="default"/>
      </w:rPr>
    </w:lvl>
    <w:lvl w:ilvl="7" w:tplc="142E945A" w:tentative="1">
      <w:start w:val="1"/>
      <w:numFmt w:val="bullet"/>
      <w:lvlText w:val="•"/>
      <w:lvlJc w:val="left"/>
      <w:pPr>
        <w:tabs>
          <w:tab w:val="num" w:pos="5760"/>
        </w:tabs>
        <w:ind w:left="5760" w:hanging="360"/>
      </w:pPr>
      <w:rPr>
        <w:rFonts w:ascii="Arial" w:hAnsi="Arial" w:hint="default"/>
      </w:rPr>
    </w:lvl>
    <w:lvl w:ilvl="8" w:tplc="B27EFD40" w:tentative="1">
      <w:start w:val="1"/>
      <w:numFmt w:val="bullet"/>
      <w:lvlText w:val="•"/>
      <w:lvlJc w:val="left"/>
      <w:pPr>
        <w:tabs>
          <w:tab w:val="num" w:pos="6480"/>
        </w:tabs>
        <w:ind w:left="6480" w:hanging="360"/>
      </w:pPr>
      <w:rPr>
        <w:rFonts w:ascii="Arial" w:hAnsi="Arial" w:hint="default"/>
      </w:rPr>
    </w:lvl>
  </w:abstractNum>
  <w:num w:numId="1" w16cid:durableId="886571036">
    <w:abstractNumId w:val="0"/>
  </w:num>
  <w:num w:numId="2" w16cid:durableId="160441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7F"/>
    <w:rsid w:val="0000460B"/>
    <w:rsid w:val="00011DB2"/>
    <w:rsid w:val="0001663D"/>
    <w:rsid w:val="00017193"/>
    <w:rsid w:val="00021DE0"/>
    <w:rsid w:val="00024E89"/>
    <w:rsid w:val="00033F62"/>
    <w:rsid w:val="0003799F"/>
    <w:rsid w:val="0006505C"/>
    <w:rsid w:val="00065723"/>
    <w:rsid w:val="00074AA3"/>
    <w:rsid w:val="000825E8"/>
    <w:rsid w:val="00085CED"/>
    <w:rsid w:val="0008725A"/>
    <w:rsid w:val="00096642"/>
    <w:rsid w:val="000B2DCC"/>
    <w:rsid w:val="000B383E"/>
    <w:rsid w:val="000F2294"/>
    <w:rsid w:val="000F343E"/>
    <w:rsid w:val="000F4FCC"/>
    <w:rsid w:val="00101485"/>
    <w:rsid w:val="00103329"/>
    <w:rsid w:val="00116EB6"/>
    <w:rsid w:val="00124614"/>
    <w:rsid w:val="0012509A"/>
    <w:rsid w:val="00125958"/>
    <w:rsid w:val="00126737"/>
    <w:rsid w:val="0013128A"/>
    <w:rsid w:val="00133552"/>
    <w:rsid w:val="00136AE8"/>
    <w:rsid w:val="00137624"/>
    <w:rsid w:val="00142E56"/>
    <w:rsid w:val="00143BE8"/>
    <w:rsid w:val="00144A96"/>
    <w:rsid w:val="00166C50"/>
    <w:rsid w:val="00176D90"/>
    <w:rsid w:val="0018025E"/>
    <w:rsid w:val="001858E6"/>
    <w:rsid w:val="00192AE9"/>
    <w:rsid w:val="001A6629"/>
    <w:rsid w:val="001A75E5"/>
    <w:rsid w:val="001C49CF"/>
    <w:rsid w:val="001D5B2D"/>
    <w:rsid w:val="001E0661"/>
    <w:rsid w:val="0020470D"/>
    <w:rsid w:val="002114A1"/>
    <w:rsid w:val="00220419"/>
    <w:rsid w:val="00223CA5"/>
    <w:rsid w:val="00227261"/>
    <w:rsid w:val="002326E3"/>
    <w:rsid w:val="00260F03"/>
    <w:rsid w:val="00266847"/>
    <w:rsid w:val="002B7938"/>
    <w:rsid w:val="002B7F6C"/>
    <w:rsid w:val="002C3F0F"/>
    <w:rsid w:val="002E41F0"/>
    <w:rsid w:val="002E6FFF"/>
    <w:rsid w:val="002F521A"/>
    <w:rsid w:val="002F6706"/>
    <w:rsid w:val="00315270"/>
    <w:rsid w:val="00315AB2"/>
    <w:rsid w:val="003277D9"/>
    <w:rsid w:val="00336758"/>
    <w:rsid w:val="0035667B"/>
    <w:rsid w:val="00367E51"/>
    <w:rsid w:val="00385571"/>
    <w:rsid w:val="00387C45"/>
    <w:rsid w:val="00395F11"/>
    <w:rsid w:val="00396DDF"/>
    <w:rsid w:val="003A452C"/>
    <w:rsid w:val="003B7126"/>
    <w:rsid w:val="003C0FD8"/>
    <w:rsid w:val="003C6613"/>
    <w:rsid w:val="003D64D3"/>
    <w:rsid w:val="003F4B7F"/>
    <w:rsid w:val="003F548F"/>
    <w:rsid w:val="00402E5E"/>
    <w:rsid w:val="0040636C"/>
    <w:rsid w:val="0041197A"/>
    <w:rsid w:val="00436005"/>
    <w:rsid w:val="00446BD7"/>
    <w:rsid w:val="00453F67"/>
    <w:rsid w:val="004544BB"/>
    <w:rsid w:val="00462EA1"/>
    <w:rsid w:val="00485265"/>
    <w:rsid w:val="00493A3B"/>
    <w:rsid w:val="004A6015"/>
    <w:rsid w:val="004B747F"/>
    <w:rsid w:val="004C233D"/>
    <w:rsid w:val="004D281B"/>
    <w:rsid w:val="004E3A7B"/>
    <w:rsid w:val="005062ED"/>
    <w:rsid w:val="0050674E"/>
    <w:rsid w:val="00536F52"/>
    <w:rsid w:val="0053716A"/>
    <w:rsid w:val="00547C07"/>
    <w:rsid w:val="00564279"/>
    <w:rsid w:val="00581540"/>
    <w:rsid w:val="0058758F"/>
    <w:rsid w:val="005A78E9"/>
    <w:rsid w:val="005B4B17"/>
    <w:rsid w:val="005C147E"/>
    <w:rsid w:val="005C680A"/>
    <w:rsid w:val="005D6538"/>
    <w:rsid w:val="005E42B0"/>
    <w:rsid w:val="005F02D0"/>
    <w:rsid w:val="005F6E2E"/>
    <w:rsid w:val="005F7B95"/>
    <w:rsid w:val="005F7F06"/>
    <w:rsid w:val="00606056"/>
    <w:rsid w:val="0065462F"/>
    <w:rsid w:val="00655EE5"/>
    <w:rsid w:val="006A134C"/>
    <w:rsid w:val="006B0FC6"/>
    <w:rsid w:val="006B46E5"/>
    <w:rsid w:val="006B5F65"/>
    <w:rsid w:val="006B709D"/>
    <w:rsid w:val="006C118B"/>
    <w:rsid w:val="006C35CE"/>
    <w:rsid w:val="006D270D"/>
    <w:rsid w:val="006D730D"/>
    <w:rsid w:val="006D7FA7"/>
    <w:rsid w:val="006E3D99"/>
    <w:rsid w:val="007032A4"/>
    <w:rsid w:val="00706C28"/>
    <w:rsid w:val="00706F87"/>
    <w:rsid w:val="00712354"/>
    <w:rsid w:val="007149F7"/>
    <w:rsid w:val="007256EF"/>
    <w:rsid w:val="00732EF1"/>
    <w:rsid w:val="007430D8"/>
    <w:rsid w:val="0076785E"/>
    <w:rsid w:val="00770630"/>
    <w:rsid w:val="00796BAE"/>
    <w:rsid w:val="007B193B"/>
    <w:rsid w:val="007C589C"/>
    <w:rsid w:val="007D3647"/>
    <w:rsid w:val="007E4995"/>
    <w:rsid w:val="007F61DD"/>
    <w:rsid w:val="00806370"/>
    <w:rsid w:val="008119DB"/>
    <w:rsid w:val="008306C9"/>
    <w:rsid w:val="00847A4A"/>
    <w:rsid w:val="0085013E"/>
    <w:rsid w:val="008503FF"/>
    <w:rsid w:val="00871071"/>
    <w:rsid w:val="00880055"/>
    <w:rsid w:val="00882987"/>
    <w:rsid w:val="0089570A"/>
    <w:rsid w:val="008A6348"/>
    <w:rsid w:val="008B1E84"/>
    <w:rsid w:val="008C51A3"/>
    <w:rsid w:val="008C72A2"/>
    <w:rsid w:val="008D2B79"/>
    <w:rsid w:val="008E3F55"/>
    <w:rsid w:val="008E684F"/>
    <w:rsid w:val="008E7928"/>
    <w:rsid w:val="008F43D4"/>
    <w:rsid w:val="009068ED"/>
    <w:rsid w:val="00914E7F"/>
    <w:rsid w:val="009263D6"/>
    <w:rsid w:val="0094697D"/>
    <w:rsid w:val="009757DA"/>
    <w:rsid w:val="009771DC"/>
    <w:rsid w:val="0098299D"/>
    <w:rsid w:val="0098452F"/>
    <w:rsid w:val="00995D2F"/>
    <w:rsid w:val="009976CB"/>
    <w:rsid w:val="009B1605"/>
    <w:rsid w:val="009D4E0A"/>
    <w:rsid w:val="009E218E"/>
    <w:rsid w:val="009E2253"/>
    <w:rsid w:val="009F7055"/>
    <w:rsid w:val="00A037CF"/>
    <w:rsid w:val="00A10780"/>
    <w:rsid w:val="00A4056F"/>
    <w:rsid w:val="00A45193"/>
    <w:rsid w:val="00A47652"/>
    <w:rsid w:val="00A52285"/>
    <w:rsid w:val="00A531E8"/>
    <w:rsid w:val="00A61AFB"/>
    <w:rsid w:val="00A76C7A"/>
    <w:rsid w:val="00A90DA9"/>
    <w:rsid w:val="00A922AD"/>
    <w:rsid w:val="00A9282D"/>
    <w:rsid w:val="00A947B0"/>
    <w:rsid w:val="00AB0956"/>
    <w:rsid w:val="00AB0BCC"/>
    <w:rsid w:val="00AD07D1"/>
    <w:rsid w:val="00AE0917"/>
    <w:rsid w:val="00AE17EB"/>
    <w:rsid w:val="00AE3377"/>
    <w:rsid w:val="00AE5442"/>
    <w:rsid w:val="00B207AB"/>
    <w:rsid w:val="00B22810"/>
    <w:rsid w:val="00B3351B"/>
    <w:rsid w:val="00B73D66"/>
    <w:rsid w:val="00B7496A"/>
    <w:rsid w:val="00B76AE9"/>
    <w:rsid w:val="00B830EA"/>
    <w:rsid w:val="00BA6FE4"/>
    <w:rsid w:val="00BB2926"/>
    <w:rsid w:val="00BD64F2"/>
    <w:rsid w:val="00C110D9"/>
    <w:rsid w:val="00C11CD7"/>
    <w:rsid w:val="00C167E0"/>
    <w:rsid w:val="00C217E9"/>
    <w:rsid w:val="00C3101D"/>
    <w:rsid w:val="00C319EC"/>
    <w:rsid w:val="00C37103"/>
    <w:rsid w:val="00C46BD8"/>
    <w:rsid w:val="00C57874"/>
    <w:rsid w:val="00C8037E"/>
    <w:rsid w:val="00C86F7E"/>
    <w:rsid w:val="00C93FE5"/>
    <w:rsid w:val="00CA4553"/>
    <w:rsid w:val="00CB13AA"/>
    <w:rsid w:val="00CB3A6A"/>
    <w:rsid w:val="00D027E5"/>
    <w:rsid w:val="00D04DC3"/>
    <w:rsid w:val="00D10C7B"/>
    <w:rsid w:val="00D2294F"/>
    <w:rsid w:val="00D316F3"/>
    <w:rsid w:val="00D37BF1"/>
    <w:rsid w:val="00D60B88"/>
    <w:rsid w:val="00D94285"/>
    <w:rsid w:val="00D977FC"/>
    <w:rsid w:val="00DA2221"/>
    <w:rsid w:val="00DA30AF"/>
    <w:rsid w:val="00DA6C65"/>
    <w:rsid w:val="00DA742D"/>
    <w:rsid w:val="00DB4569"/>
    <w:rsid w:val="00DD47F9"/>
    <w:rsid w:val="00DD566E"/>
    <w:rsid w:val="00DE4115"/>
    <w:rsid w:val="00DE6B19"/>
    <w:rsid w:val="00E0211A"/>
    <w:rsid w:val="00E02B3F"/>
    <w:rsid w:val="00E03D69"/>
    <w:rsid w:val="00E10A83"/>
    <w:rsid w:val="00E10D33"/>
    <w:rsid w:val="00E17C30"/>
    <w:rsid w:val="00E3591E"/>
    <w:rsid w:val="00E37FB5"/>
    <w:rsid w:val="00E4301C"/>
    <w:rsid w:val="00E442EB"/>
    <w:rsid w:val="00E72893"/>
    <w:rsid w:val="00EA03C1"/>
    <w:rsid w:val="00EB5C9D"/>
    <w:rsid w:val="00EB7B71"/>
    <w:rsid w:val="00ED2D35"/>
    <w:rsid w:val="00ED3481"/>
    <w:rsid w:val="00EE545A"/>
    <w:rsid w:val="00EF6C12"/>
    <w:rsid w:val="00F06EDD"/>
    <w:rsid w:val="00F0760B"/>
    <w:rsid w:val="00F132B5"/>
    <w:rsid w:val="00F15C67"/>
    <w:rsid w:val="00F51419"/>
    <w:rsid w:val="00F62392"/>
    <w:rsid w:val="00F649A8"/>
    <w:rsid w:val="00F679AB"/>
    <w:rsid w:val="00F728F6"/>
    <w:rsid w:val="00F760F4"/>
    <w:rsid w:val="00F87670"/>
    <w:rsid w:val="00FA48E0"/>
    <w:rsid w:val="00FB0B78"/>
    <w:rsid w:val="00FB4BAA"/>
    <w:rsid w:val="00FC3BD0"/>
    <w:rsid w:val="00FE1E1F"/>
    <w:rsid w:val="00FF029F"/>
    <w:rsid w:val="00FF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B8B6"/>
  <w15:chartTrackingRefBased/>
  <w15:docId w15:val="{C8ABA7CF-DEA1-444C-97CD-074047BA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B79"/>
    <w:pPr>
      <w:ind w:left="720"/>
      <w:contextualSpacing/>
    </w:pPr>
  </w:style>
  <w:style w:type="character" w:styleId="Hyperlink">
    <w:name w:val="Hyperlink"/>
    <w:basedOn w:val="DefaultParagraphFont"/>
    <w:uiPriority w:val="99"/>
    <w:unhideWhenUsed/>
    <w:rsid w:val="00074AA3"/>
    <w:rPr>
      <w:color w:val="0563C1" w:themeColor="hyperlink"/>
      <w:u w:val="single"/>
    </w:rPr>
  </w:style>
  <w:style w:type="character" w:styleId="UnresolvedMention">
    <w:name w:val="Unresolved Mention"/>
    <w:basedOn w:val="DefaultParagraphFont"/>
    <w:uiPriority w:val="99"/>
    <w:semiHidden/>
    <w:unhideWhenUsed/>
    <w:rsid w:val="00074AA3"/>
    <w:rPr>
      <w:color w:val="605E5C"/>
      <w:shd w:val="clear" w:color="auto" w:fill="E1DFDD"/>
    </w:rPr>
  </w:style>
  <w:style w:type="paragraph" w:styleId="Header">
    <w:name w:val="header"/>
    <w:basedOn w:val="Normal"/>
    <w:link w:val="HeaderChar"/>
    <w:uiPriority w:val="99"/>
    <w:unhideWhenUsed/>
    <w:rsid w:val="00A47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652"/>
  </w:style>
  <w:style w:type="paragraph" w:styleId="Footer">
    <w:name w:val="footer"/>
    <w:basedOn w:val="Normal"/>
    <w:link w:val="FooterChar"/>
    <w:uiPriority w:val="99"/>
    <w:unhideWhenUsed/>
    <w:rsid w:val="00A47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5a79b691e5274a684690b920/3884-planning-electric-future-technical-updat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fgem.gov.uk/sites/default/files/docs/2019/04/ro_generator_guidance_apr1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96538-2ECE-4CEA-9F6D-C18512233A99}">
  <ds:schemaRefs>
    <ds:schemaRef ds:uri="http://schemas.microsoft.com/sharepoint/v3/contenttype/forms"/>
  </ds:schemaRefs>
</ds:datastoreItem>
</file>

<file path=customXml/itemProps2.xml><?xml version="1.0" encoding="utf-8"?>
<ds:datastoreItem xmlns:ds="http://schemas.openxmlformats.org/officeDocument/2006/customXml" ds:itemID="{0CD1FCE5-D704-4433-AC02-74A3159E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95E48-1A3D-4BFA-90BB-B6DB0C9ED7E3}">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4.xml><?xml version="1.0" encoding="utf-8"?>
<ds:datastoreItem xmlns:ds="http://schemas.openxmlformats.org/officeDocument/2006/customXml" ds:itemID="{6FB49F44-7056-4C6E-B0FC-935A8479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99408-494C-456C-AAAD-24E990C75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3058</Words>
  <Characters>17434</Characters>
  <Application>Microsoft Office Word</Application>
  <DocSecurity>0</DocSecurity>
  <Lines>145</Lines>
  <Paragraphs>40</Paragraphs>
  <ScaleCrop>false</ScaleCrop>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69</cp:revision>
  <dcterms:created xsi:type="dcterms:W3CDTF">2023-09-30T09:25:00Z</dcterms:created>
  <dcterms:modified xsi:type="dcterms:W3CDTF">2023-10-02T18:11:00Z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