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1A76C" w14:textId="50F742A9" w:rsidR="006B0D4C" w:rsidRPr="00485974" w:rsidRDefault="006B0D4C" w:rsidP="006B0D4C">
      <w:pPr>
        <w:jc w:val="center"/>
        <w:rPr>
          <w:rFonts w:ascii="Open Sans" w:hAnsi="Open Sans" w:cs="Open Sans"/>
          <w:b/>
          <w:bCs/>
          <w:color w:val="06926B"/>
          <w:sz w:val="24"/>
          <w:szCs w:val="24"/>
        </w:rPr>
      </w:pPr>
      <w:r w:rsidRPr="00485974">
        <w:rPr>
          <w:rFonts w:ascii="Open Sans" w:hAnsi="Open Sans" w:cs="Open Sans"/>
          <w:b/>
          <w:bCs/>
          <w:color w:val="06926B"/>
          <w:sz w:val="24"/>
          <w:szCs w:val="24"/>
        </w:rPr>
        <w:t xml:space="preserve">REA Response: Capacity Market Consultation - </w:t>
      </w:r>
      <w:r w:rsidR="000854B0" w:rsidRPr="000854B0">
        <w:rPr>
          <w:rFonts w:ascii="Open Sans" w:hAnsi="Open Sans" w:cs="Open Sans"/>
          <w:b/>
          <w:bCs/>
          <w:color w:val="06926B"/>
          <w:sz w:val="24"/>
          <w:szCs w:val="24"/>
        </w:rPr>
        <w:t>Consultation on proposals to improve security of supply and align with net zero (Phase 2) and call for evidence on Ten-year Review</w:t>
      </w:r>
    </w:p>
    <w:p w14:paraId="04108B47" w14:textId="77777777" w:rsidR="006B0D4C" w:rsidRPr="00E06151" w:rsidRDefault="006B0D4C" w:rsidP="006B0D4C">
      <w:pPr>
        <w:rPr>
          <w:rFonts w:ascii="Open Sans" w:hAnsi="Open Sans" w:cs="Open Sans"/>
        </w:rPr>
      </w:pPr>
      <w:r w:rsidRPr="00E06151">
        <w:rPr>
          <w:rFonts w:ascii="Open Sans" w:hAnsi="Open Sans" w:cs="Open Sans"/>
        </w:rPr>
        <w:t xml:space="preserve">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09BBE4FF" w14:textId="77777777" w:rsidR="006B0D4C" w:rsidRPr="00E06151" w:rsidRDefault="006B0D4C" w:rsidP="006B0D4C">
      <w:pPr>
        <w:rPr>
          <w:rFonts w:ascii="Open Sans" w:hAnsi="Open Sans" w:cs="Open Sans"/>
        </w:rPr>
      </w:pPr>
      <w:r w:rsidRPr="00E06151">
        <w:rPr>
          <w:rFonts w:ascii="Open Sans" w:hAnsi="Open Sans" w:cs="Open Sans"/>
        </w:rPr>
        <w:t xml:space="preserve">The REA includes member forums focused on a wide range of low-carbon generation technologies and energy storage developers. As such, our response primarily focuses on proposals concerned with ensuring access to the CM for such market participants. </w:t>
      </w:r>
    </w:p>
    <w:p w14:paraId="05EE020F" w14:textId="77777777" w:rsidR="006B0D4C" w:rsidRPr="00E06151" w:rsidRDefault="006B0D4C" w:rsidP="00A20532">
      <w:pPr>
        <w:spacing w:after="0" w:line="240" w:lineRule="auto"/>
        <w:rPr>
          <w:rFonts w:ascii="Open Sans" w:hAnsi="Open Sans" w:cs="Open Sans"/>
          <w:b/>
          <w:bCs/>
        </w:rPr>
      </w:pPr>
    </w:p>
    <w:p w14:paraId="2F944EAF" w14:textId="61BE85F9" w:rsidR="000A3322" w:rsidRPr="00E06151" w:rsidRDefault="000A3322" w:rsidP="00A20532">
      <w:pPr>
        <w:spacing w:after="0" w:line="240" w:lineRule="auto"/>
        <w:rPr>
          <w:rFonts w:ascii="Open Sans" w:hAnsi="Open Sans" w:cs="Open Sans"/>
        </w:rPr>
      </w:pPr>
      <w:r w:rsidRPr="00E06151">
        <w:rPr>
          <w:rFonts w:ascii="Open Sans" w:hAnsi="Open Sans" w:cs="Open Sans"/>
          <w:b/>
          <w:bCs/>
        </w:rPr>
        <w:t>Question 1: Do you agree with the proposed changes to the timelines for ESC Volume</w:t>
      </w:r>
      <w:r w:rsidR="00E06151">
        <w:rPr>
          <w:rFonts w:ascii="Open Sans" w:hAnsi="Open Sans" w:cs="Open Sans"/>
          <w:b/>
          <w:bCs/>
        </w:rPr>
        <w:t xml:space="preserve"> </w:t>
      </w:r>
      <w:r w:rsidRPr="00E06151">
        <w:rPr>
          <w:rFonts w:ascii="Open Sans" w:hAnsi="Open Sans" w:cs="Open Sans"/>
          <w:b/>
          <w:bCs/>
        </w:rPr>
        <w:t>Ve-allocation activities and the Volume Re-allocation window? Are there any unintended</w:t>
      </w:r>
      <w:r w:rsidR="00E06151">
        <w:rPr>
          <w:rFonts w:ascii="Open Sans" w:hAnsi="Open Sans" w:cs="Open Sans"/>
          <w:b/>
          <w:bCs/>
        </w:rPr>
        <w:t xml:space="preserve"> </w:t>
      </w:r>
      <w:r w:rsidRPr="00E06151">
        <w:rPr>
          <w:rFonts w:ascii="Open Sans" w:hAnsi="Open Sans" w:cs="Open Sans"/>
          <w:b/>
          <w:bCs/>
        </w:rPr>
        <w:t>consequences of these changes</w:t>
      </w:r>
      <w:r w:rsidRPr="00E06151">
        <w:rPr>
          <w:rFonts w:ascii="Open Sans" w:hAnsi="Open Sans" w:cs="Open Sans"/>
        </w:rPr>
        <w:t>?</w:t>
      </w:r>
    </w:p>
    <w:p w14:paraId="037BB3E0" w14:textId="77777777" w:rsidR="00A20532" w:rsidRPr="00E06151" w:rsidRDefault="00A20532" w:rsidP="00A20532">
      <w:pPr>
        <w:spacing w:after="0" w:line="240" w:lineRule="auto"/>
        <w:rPr>
          <w:rFonts w:ascii="Open Sans" w:hAnsi="Open Sans" w:cs="Open Sans"/>
        </w:rPr>
      </w:pPr>
    </w:p>
    <w:p w14:paraId="04462A10" w14:textId="12408C65" w:rsidR="001B2C06" w:rsidRPr="00E06151" w:rsidRDefault="001B2C06" w:rsidP="00A20532">
      <w:pPr>
        <w:spacing w:after="0" w:line="240" w:lineRule="auto"/>
        <w:rPr>
          <w:rFonts w:ascii="Open Sans" w:hAnsi="Open Sans" w:cs="Open Sans"/>
        </w:rPr>
      </w:pPr>
      <w:r w:rsidRPr="00E06151">
        <w:rPr>
          <w:rFonts w:ascii="Open Sans" w:hAnsi="Open Sans" w:cs="Open Sans"/>
        </w:rPr>
        <w:t xml:space="preserve">REA are not intending a response. </w:t>
      </w:r>
    </w:p>
    <w:p w14:paraId="06D58399" w14:textId="77777777" w:rsidR="001B2C06" w:rsidRPr="00E06151" w:rsidRDefault="001B2C06" w:rsidP="00A20532">
      <w:pPr>
        <w:spacing w:after="0" w:line="240" w:lineRule="auto"/>
        <w:rPr>
          <w:rFonts w:ascii="Open Sans" w:hAnsi="Open Sans" w:cs="Open Sans"/>
        </w:rPr>
      </w:pPr>
    </w:p>
    <w:p w14:paraId="76AED574" w14:textId="5E359038" w:rsidR="000A3322" w:rsidRPr="00E06151" w:rsidRDefault="000A3322" w:rsidP="00A20532">
      <w:pPr>
        <w:spacing w:after="0" w:line="240" w:lineRule="auto"/>
        <w:rPr>
          <w:rFonts w:ascii="Open Sans" w:hAnsi="Open Sans" w:cs="Open Sans"/>
          <w:b/>
          <w:bCs/>
        </w:rPr>
      </w:pPr>
      <w:r w:rsidRPr="00E06151">
        <w:rPr>
          <w:rFonts w:ascii="Open Sans" w:hAnsi="Open Sans" w:cs="Open Sans"/>
          <w:b/>
          <w:bCs/>
        </w:rPr>
        <w:t xml:space="preserve">Question 2: Do you have any comments on supporting changes to other </w:t>
      </w:r>
      <w:r w:rsidR="00E06151">
        <w:rPr>
          <w:rFonts w:ascii="Open Sans" w:hAnsi="Open Sans" w:cs="Open Sans"/>
          <w:b/>
          <w:bCs/>
        </w:rPr>
        <w:t>s</w:t>
      </w:r>
      <w:r w:rsidRPr="00E06151">
        <w:rPr>
          <w:rFonts w:ascii="Open Sans" w:hAnsi="Open Sans" w:cs="Open Sans"/>
          <w:b/>
          <w:bCs/>
        </w:rPr>
        <w:t>ettlement</w:t>
      </w:r>
      <w:r w:rsidR="00E06151">
        <w:rPr>
          <w:rFonts w:ascii="Open Sans" w:hAnsi="Open Sans" w:cs="Open Sans"/>
          <w:b/>
          <w:bCs/>
        </w:rPr>
        <w:t xml:space="preserve"> </w:t>
      </w:r>
      <w:r w:rsidRPr="00E06151">
        <w:rPr>
          <w:rFonts w:ascii="Open Sans" w:hAnsi="Open Sans" w:cs="Open Sans"/>
          <w:b/>
          <w:bCs/>
        </w:rPr>
        <w:t>activities that may be required following the changes to Regulation 41(2)? Do you have</w:t>
      </w:r>
      <w:r w:rsidR="00E06151">
        <w:rPr>
          <w:rFonts w:ascii="Open Sans" w:hAnsi="Open Sans" w:cs="Open Sans"/>
          <w:b/>
          <w:bCs/>
        </w:rPr>
        <w:t xml:space="preserve"> </w:t>
      </w:r>
      <w:r w:rsidRPr="00E06151">
        <w:rPr>
          <w:rFonts w:ascii="Open Sans" w:hAnsi="Open Sans" w:cs="Open Sans"/>
          <w:b/>
          <w:bCs/>
        </w:rPr>
        <w:t>any comments on the correction to Regulation references in Rule 10.5?</w:t>
      </w:r>
    </w:p>
    <w:p w14:paraId="7699CD82" w14:textId="77777777" w:rsidR="00A20532" w:rsidRPr="00E06151" w:rsidRDefault="00A20532" w:rsidP="00A20532">
      <w:pPr>
        <w:spacing w:after="0" w:line="240" w:lineRule="auto"/>
        <w:rPr>
          <w:rFonts w:ascii="Open Sans" w:hAnsi="Open Sans" w:cs="Open Sans"/>
        </w:rPr>
      </w:pPr>
    </w:p>
    <w:p w14:paraId="5DF3961D" w14:textId="77777777" w:rsidR="001B2C06" w:rsidRPr="00E06151" w:rsidRDefault="001B2C06" w:rsidP="001B2C06">
      <w:pPr>
        <w:spacing w:after="0" w:line="240" w:lineRule="auto"/>
        <w:rPr>
          <w:rFonts w:ascii="Open Sans" w:hAnsi="Open Sans" w:cs="Open Sans"/>
        </w:rPr>
      </w:pPr>
      <w:r w:rsidRPr="00E06151">
        <w:rPr>
          <w:rFonts w:ascii="Open Sans" w:hAnsi="Open Sans" w:cs="Open Sans"/>
        </w:rPr>
        <w:t xml:space="preserve">REA are not intending a response. </w:t>
      </w:r>
    </w:p>
    <w:p w14:paraId="43C7AAE3" w14:textId="77777777" w:rsidR="001B2C06" w:rsidRPr="00E06151" w:rsidRDefault="001B2C06" w:rsidP="00A20532">
      <w:pPr>
        <w:spacing w:after="0" w:line="240" w:lineRule="auto"/>
        <w:rPr>
          <w:rFonts w:ascii="Open Sans" w:hAnsi="Open Sans" w:cs="Open Sans"/>
        </w:rPr>
      </w:pPr>
    </w:p>
    <w:p w14:paraId="2C3FB3C2" w14:textId="3BB0542B" w:rsidR="000A3322" w:rsidRPr="00E06151" w:rsidRDefault="000A3322" w:rsidP="00EE5B49">
      <w:pPr>
        <w:spacing w:after="0" w:line="240" w:lineRule="auto"/>
        <w:rPr>
          <w:rFonts w:ascii="Open Sans" w:hAnsi="Open Sans" w:cs="Open Sans"/>
          <w:b/>
          <w:bCs/>
        </w:rPr>
      </w:pPr>
      <w:r w:rsidRPr="00E06151">
        <w:rPr>
          <w:rFonts w:ascii="Open Sans" w:hAnsi="Open Sans" w:cs="Open Sans"/>
          <w:b/>
          <w:bCs/>
        </w:rPr>
        <w:t xml:space="preserve">Question 3: Do you agree with the proposed temporary rule change to </w:t>
      </w:r>
      <w:proofErr w:type="gramStart"/>
      <w:r w:rsidRPr="00E06151">
        <w:rPr>
          <w:rFonts w:ascii="Open Sans" w:hAnsi="Open Sans" w:cs="Open Sans"/>
          <w:b/>
          <w:bCs/>
        </w:rPr>
        <w:t>operational</w:t>
      </w:r>
      <w:proofErr w:type="gramEnd"/>
    </w:p>
    <w:p w14:paraId="0491BB96" w14:textId="768BDBED" w:rsidR="000A3322" w:rsidRPr="00E06151" w:rsidRDefault="000A3322" w:rsidP="00EE5B49">
      <w:pPr>
        <w:spacing w:after="0" w:line="240" w:lineRule="auto"/>
        <w:rPr>
          <w:rFonts w:ascii="Open Sans" w:hAnsi="Open Sans" w:cs="Open Sans"/>
          <w:b/>
          <w:bCs/>
        </w:rPr>
      </w:pPr>
      <w:r w:rsidRPr="00E06151">
        <w:rPr>
          <w:rFonts w:ascii="Open Sans" w:hAnsi="Open Sans" w:cs="Open Sans"/>
          <w:b/>
          <w:bCs/>
        </w:rPr>
        <w:t>requirements for Existing Generating CMUs which are mothballed? Does this proposal</w:t>
      </w:r>
      <w:r w:rsidR="00E06151">
        <w:rPr>
          <w:rFonts w:ascii="Open Sans" w:hAnsi="Open Sans" w:cs="Open Sans"/>
          <w:b/>
          <w:bCs/>
        </w:rPr>
        <w:t xml:space="preserve"> </w:t>
      </w:r>
      <w:r w:rsidRPr="00E06151">
        <w:rPr>
          <w:rFonts w:ascii="Open Sans" w:hAnsi="Open Sans" w:cs="Open Sans"/>
          <w:b/>
          <w:bCs/>
        </w:rPr>
        <w:t>create any unintended consequences?</w:t>
      </w:r>
    </w:p>
    <w:p w14:paraId="2D707B44" w14:textId="77777777" w:rsidR="00EE5B49" w:rsidRDefault="00EE5B49" w:rsidP="00EE5B49">
      <w:pPr>
        <w:spacing w:after="0" w:line="240" w:lineRule="auto"/>
        <w:rPr>
          <w:rFonts w:ascii="Open Sans" w:hAnsi="Open Sans" w:cs="Open Sans"/>
        </w:rPr>
      </w:pPr>
    </w:p>
    <w:p w14:paraId="02B29B6A" w14:textId="0220464B" w:rsidR="00BE6530" w:rsidRDefault="00284ADB" w:rsidP="00EE5B49">
      <w:pPr>
        <w:spacing w:after="0" w:line="240" w:lineRule="auto"/>
        <w:rPr>
          <w:rFonts w:ascii="Open Sans" w:hAnsi="Open Sans" w:cs="Open Sans"/>
        </w:rPr>
      </w:pPr>
      <w:r w:rsidRPr="00E06151">
        <w:rPr>
          <w:rFonts w:ascii="Open Sans" w:hAnsi="Open Sans" w:cs="Open Sans"/>
        </w:rPr>
        <w:t xml:space="preserve">The REA are supportive of </w:t>
      </w:r>
      <w:r w:rsidR="00D87C24" w:rsidRPr="00E06151">
        <w:rPr>
          <w:rFonts w:ascii="Open Sans" w:hAnsi="Open Sans" w:cs="Open Sans"/>
        </w:rPr>
        <w:t xml:space="preserve">continuing </w:t>
      </w:r>
      <w:r w:rsidR="00A46CA2" w:rsidRPr="00E06151">
        <w:rPr>
          <w:rFonts w:ascii="Open Sans" w:hAnsi="Open Sans" w:cs="Open Sans"/>
        </w:rPr>
        <w:t>t</w:t>
      </w:r>
      <w:r w:rsidR="00D87C24" w:rsidRPr="00E06151">
        <w:rPr>
          <w:rFonts w:ascii="Open Sans" w:hAnsi="Open Sans" w:cs="Open Sans"/>
        </w:rPr>
        <w:t xml:space="preserve">he temporary </w:t>
      </w:r>
      <w:r w:rsidR="00A46CA2" w:rsidRPr="00E06151">
        <w:rPr>
          <w:rFonts w:ascii="Open Sans" w:hAnsi="Open Sans" w:cs="Open Sans"/>
        </w:rPr>
        <w:t>amendment,</w:t>
      </w:r>
      <w:r w:rsidR="006014D8" w:rsidRPr="00E06151">
        <w:rPr>
          <w:rFonts w:ascii="Open Sans" w:hAnsi="Open Sans" w:cs="Open Sans"/>
        </w:rPr>
        <w:t xml:space="preserve"> as previously implemented, to allow mothballed CMUs </w:t>
      </w:r>
      <w:r w:rsidR="00257567" w:rsidRPr="00E06151">
        <w:rPr>
          <w:rFonts w:ascii="Open Sans" w:hAnsi="Open Sans" w:cs="Open Sans"/>
        </w:rPr>
        <w:t xml:space="preserve">to demonstrate </w:t>
      </w:r>
      <w:r w:rsidR="00154935" w:rsidRPr="00E06151">
        <w:rPr>
          <w:rFonts w:ascii="Open Sans" w:hAnsi="Open Sans" w:cs="Open Sans"/>
        </w:rPr>
        <w:t>performance from the</w:t>
      </w:r>
      <w:r w:rsidR="00DE74A1">
        <w:rPr>
          <w:rFonts w:ascii="Open Sans" w:hAnsi="Open Sans" w:cs="Open Sans"/>
        </w:rPr>
        <w:t>ir</w:t>
      </w:r>
      <w:r w:rsidR="00154935" w:rsidRPr="00E06151">
        <w:rPr>
          <w:rFonts w:ascii="Open Sans" w:hAnsi="Open Sans" w:cs="Open Sans"/>
        </w:rPr>
        <w:t xml:space="preserve"> most recent </w:t>
      </w:r>
      <w:r w:rsidR="00DE74A1">
        <w:rPr>
          <w:rFonts w:ascii="Open Sans" w:hAnsi="Open Sans" w:cs="Open Sans"/>
        </w:rPr>
        <w:t xml:space="preserve">operational </w:t>
      </w:r>
      <w:proofErr w:type="gramStart"/>
      <w:r w:rsidR="00154935" w:rsidRPr="00E06151">
        <w:rPr>
          <w:rFonts w:ascii="Open Sans" w:hAnsi="Open Sans" w:cs="Open Sans"/>
        </w:rPr>
        <w:t>24 month</w:t>
      </w:r>
      <w:proofErr w:type="gramEnd"/>
      <w:r w:rsidR="00154935" w:rsidRPr="00E06151">
        <w:rPr>
          <w:rFonts w:ascii="Open Sans" w:hAnsi="Open Sans" w:cs="Open Sans"/>
        </w:rPr>
        <w:t xml:space="preserve"> window, when more immediate data is not available. We would also encourage </w:t>
      </w:r>
      <w:r w:rsidR="00E14F61" w:rsidRPr="00E06151">
        <w:rPr>
          <w:rFonts w:ascii="Open Sans" w:hAnsi="Open Sans" w:cs="Open Sans"/>
        </w:rPr>
        <w:t xml:space="preserve">Government to quickly develop policy that would allow such arrangements to become </w:t>
      </w:r>
      <w:r w:rsidR="00A46CA2" w:rsidRPr="00E06151">
        <w:rPr>
          <w:rFonts w:ascii="Open Sans" w:hAnsi="Open Sans" w:cs="Open Sans"/>
        </w:rPr>
        <w:t>permanent</w:t>
      </w:r>
      <w:r w:rsidR="00E14F61" w:rsidRPr="00E06151">
        <w:rPr>
          <w:rFonts w:ascii="Open Sans" w:hAnsi="Open Sans" w:cs="Open Sans"/>
        </w:rPr>
        <w:t xml:space="preserve"> without the need for continuing </w:t>
      </w:r>
      <w:r w:rsidR="00A46CA2" w:rsidRPr="00E06151">
        <w:rPr>
          <w:rFonts w:ascii="Open Sans" w:hAnsi="Open Sans" w:cs="Open Sans"/>
        </w:rPr>
        <w:t xml:space="preserve">extensions to temporary measures. </w:t>
      </w:r>
    </w:p>
    <w:p w14:paraId="6D02CB1B" w14:textId="77777777" w:rsidR="00EE5B49" w:rsidRPr="00E06151" w:rsidRDefault="00EE5B49" w:rsidP="00EE5B49">
      <w:pPr>
        <w:spacing w:after="0" w:line="240" w:lineRule="auto"/>
        <w:rPr>
          <w:rFonts w:ascii="Open Sans" w:hAnsi="Open Sans" w:cs="Open Sans"/>
        </w:rPr>
      </w:pPr>
    </w:p>
    <w:p w14:paraId="3106BE9F" w14:textId="4F532F8D" w:rsidR="000A3322" w:rsidRPr="00E06151" w:rsidRDefault="000A3322" w:rsidP="00A46CA2">
      <w:pPr>
        <w:spacing w:line="240" w:lineRule="auto"/>
        <w:rPr>
          <w:rFonts w:ascii="Open Sans" w:hAnsi="Open Sans" w:cs="Open Sans"/>
          <w:b/>
          <w:bCs/>
        </w:rPr>
      </w:pPr>
      <w:r w:rsidRPr="00E06151">
        <w:rPr>
          <w:rFonts w:ascii="Open Sans" w:hAnsi="Open Sans" w:cs="Open Sans"/>
          <w:b/>
          <w:bCs/>
        </w:rPr>
        <w:t>Question 4: Do you agree with the proposed amendment to Regulation 50 so that it</w:t>
      </w:r>
      <w:r w:rsidR="00A46CA2" w:rsidRPr="00E06151">
        <w:rPr>
          <w:rFonts w:ascii="Open Sans" w:hAnsi="Open Sans" w:cs="Open Sans"/>
          <w:b/>
          <w:bCs/>
        </w:rPr>
        <w:t xml:space="preserve"> </w:t>
      </w:r>
      <w:r w:rsidRPr="00E06151">
        <w:rPr>
          <w:rFonts w:ascii="Open Sans" w:hAnsi="Open Sans" w:cs="Open Sans"/>
          <w:b/>
          <w:bCs/>
        </w:rPr>
        <w:t>aligns with the policy intent and CM Rules, in that failure to meet EPTs are to be treated</w:t>
      </w:r>
      <w:r w:rsidR="00A46CA2" w:rsidRPr="00E06151">
        <w:rPr>
          <w:rFonts w:ascii="Open Sans" w:hAnsi="Open Sans" w:cs="Open Sans"/>
          <w:b/>
          <w:bCs/>
        </w:rPr>
        <w:t xml:space="preserve"> </w:t>
      </w:r>
      <w:r w:rsidRPr="00E06151">
        <w:rPr>
          <w:rFonts w:ascii="Open Sans" w:hAnsi="Open Sans" w:cs="Open Sans"/>
          <w:b/>
          <w:bCs/>
        </w:rPr>
        <w:t>in the same ways as failure to meet SPDs across suspension of payments? Does the</w:t>
      </w:r>
      <w:r w:rsidR="00E822EA" w:rsidRPr="00E06151">
        <w:rPr>
          <w:rFonts w:ascii="Open Sans" w:hAnsi="Open Sans" w:cs="Open Sans"/>
          <w:b/>
          <w:bCs/>
        </w:rPr>
        <w:t xml:space="preserve"> </w:t>
      </w:r>
      <w:r w:rsidRPr="00E06151">
        <w:rPr>
          <w:rFonts w:ascii="Open Sans" w:hAnsi="Open Sans" w:cs="Open Sans"/>
          <w:b/>
          <w:bCs/>
        </w:rPr>
        <w:t>proposed amendment have any unintended consequences?</w:t>
      </w:r>
    </w:p>
    <w:p w14:paraId="0079E3E4" w14:textId="79B1316C" w:rsidR="00E822EA" w:rsidRPr="00E06151" w:rsidRDefault="0097682C" w:rsidP="00A46CA2">
      <w:pPr>
        <w:spacing w:line="240" w:lineRule="auto"/>
        <w:rPr>
          <w:rFonts w:ascii="Open Sans" w:hAnsi="Open Sans" w:cs="Open Sans"/>
        </w:rPr>
      </w:pPr>
      <w:r w:rsidRPr="00E06151">
        <w:rPr>
          <w:rFonts w:ascii="Open Sans" w:hAnsi="Open Sans" w:cs="Open Sans"/>
        </w:rPr>
        <w:t xml:space="preserve">The REA are supportive of this change, believing it brings clarity to the </w:t>
      </w:r>
      <w:r w:rsidR="006B17CD" w:rsidRPr="00E06151">
        <w:rPr>
          <w:rFonts w:ascii="Open Sans" w:hAnsi="Open Sans" w:cs="Open Sans"/>
        </w:rPr>
        <w:t>relationship between EPTs and SPDs.</w:t>
      </w:r>
    </w:p>
    <w:p w14:paraId="2427E0C1" w14:textId="62C0C681" w:rsidR="000A3322" w:rsidRPr="00E06151" w:rsidRDefault="000A3322" w:rsidP="006B17CD">
      <w:pPr>
        <w:spacing w:after="0" w:line="240" w:lineRule="auto"/>
        <w:rPr>
          <w:rFonts w:ascii="Open Sans" w:hAnsi="Open Sans" w:cs="Open Sans"/>
          <w:b/>
          <w:bCs/>
        </w:rPr>
      </w:pPr>
      <w:r w:rsidRPr="00E06151">
        <w:rPr>
          <w:rFonts w:ascii="Open Sans" w:hAnsi="Open Sans" w:cs="Open Sans"/>
          <w:b/>
          <w:bCs/>
        </w:rPr>
        <w:lastRenderedPageBreak/>
        <w:t>Question 5: Do you agree with the proposed amendment to add further detail to</w:t>
      </w:r>
      <w:r w:rsidR="0097532D" w:rsidRPr="00E06151">
        <w:rPr>
          <w:rFonts w:ascii="Open Sans" w:hAnsi="Open Sans" w:cs="Open Sans"/>
          <w:b/>
          <w:bCs/>
        </w:rPr>
        <w:t xml:space="preserve"> </w:t>
      </w:r>
      <w:r w:rsidRPr="00E06151">
        <w:rPr>
          <w:rFonts w:ascii="Open Sans" w:hAnsi="Open Sans" w:cs="Open Sans"/>
          <w:b/>
          <w:bCs/>
        </w:rPr>
        <w:t>Regulation 16 (2) to clarify that that a CMU can only be prequalified where no CfD has</w:t>
      </w:r>
      <w:r w:rsidR="0097532D" w:rsidRPr="00E06151">
        <w:rPr>
          <w:rFonts w:ascii="Open Sans" w:hAnsi="Open Sans" w:cs="Open Sans"/>
          <w:b/>
          <w:bCs/>
        </w:rPr>
        <w:t xml:space="preserve"> </w:t>
      </w:r>
      <w:r w:rsidRPr="00E06151">
        <w:rPr>
          <w:rFonts w:ascii="Open Sans" w:hAnsi="Open Sans" w:cs="Open Sans"/>
          <w:b/>
          <w:bCs/>
        </w:rPr>
        <w:t>been awarded in respect of it, even if the CfD is for a later delivery period, unless the</w:t>
      </w:r>
      <w:r w:rsidR="0097532D" w:rsidRPr="00E06151">
        <w:rPr>
          <w:rFonts w:ascii="Open Sans" w:hAnsi="Open Sans" w:cs="Open Sans"/>
          <w:b/>
          <w:bCs/>
        </w:rPr>
        <w:t xml:space="preserve"> </w:t>
      </w:r>
      <w:r w:rsidRPr="00E06151">
        <w:rPr>
          <w:rFonts w:ascii="Open Sans" w:hAnsi="Open Sans" w:cs="Open Sans"/>
          <w:b/>
          <w:bCs/>
        </w:rPr>
        <w:t>CfD in question has expired or been terminated? Does the proposed amendment have</w:t>
      </w:r>
      <w:r w:rsidR="0097532D" w:rsidRPr="00E06151">
        <w:rPr>
          <w:rFonts w:ascii="Open Sans" w:hAnsi="Open Sans" w:cs="Open Sans"/>
          <w:b/>
          <w:bCs/>
        </w:rPr>
        <w:t xml:space="preserve"> </w:t>
      </w:r>
      <w:r w:rsidRPr="00E06151">
        <w:rPr>
          <w:rFonts w:ascii="Open Sans" w:hAnsi="Open Sans" w:cs="Open Sans"/>
          <w:b/>
          <w:bCs/>
        </w:rPr>
        <w:t>any unintended consequences?</w:t>
      </w:r>
    </w:p>
    <w:p w14:paraId="38805752" w14:textId="77777777" w:rsidR="000A3322" w:rsidRPr="00E06151" w:rsidRDefault="000A3322" w:rsidP="000A3322">
      <w:pPr>
        <w:rPr>
          <w:rFonts w:ascii="Open Sans" w:hAnsi="Open Sans" w:cs="Open Sans"/>
        </w:rPr>
      </w:pPr>
    </w:p>
    <w:p w14:paraId="022EE2DA" w14:textId="13FEEB3C" w:rsidR="00BA79BD" w:rsidRPr="00E06151" w:rsidRDefault="00BA79BD" w:rsidP="000A3322">
      <w:pPr>
        <w:rPr>
          <w:rFonts w:ascii="Open Sans" w:hAnsi="Open Sans" w:cs="Open Sans"/>
        </w:rPr>
      </w:pPr>
      <w:r w:rsidRPr="00E06151">
        <w:rPr>
          <w:rFonts w:ascii="Open Sans" w:hAnsi="Open Sans" w:cs="Open Sans"/>
        </w:rPr>
        <w:t xml:space="preserve">No. Given the evolution of the Government approach to </w:t>
      </w:r>
      <w:proofErr w:type="spellStart"/>
      <w:r w:rsidRPr="00E06151">
        <w:rPr>
          <w:rFonts w:ascii="Open Sans" w:hAnsi="Open Sans" w:cs="Open Sans"/>
        </w:rPr>
        <w:t>CfD</w:t>
      </w:r>
      <w:r w:rsidR="007D44F2" w:rsidRPr="00E06151">
        <w:rPr>
          <w:rFonts w:ascii="Open Sans" w:hAnsi="Open Sans" w:cs="Open Sans"/>
        </w:rPr>
        <w:t>’s</w:t>
      </w:r>
      <w:proofErr w:type="spellEnd"/>
      <w:r w:rsidR="007D44F2" w:rsidRPr="00E06151">
        <w:rPr>
          <w:rFonts w:ascii="Open Sans" w:hAnsi="Open Sans" w:cs="Open Sans"/>
        </w:rPr>
        <w:t>,</w:t>
      </w:r>
      <w:r w:rsidRPr="00E06151">
        <w:rPr>
          <w:rFonts w:ascii="Open Sans" w:hAnsi="Open Sans" w:cs="Open Sans"/>
        </w:rPr>
        <w:t xml:space="preserve"> further clarity is now required </w:t>
      </w:r>
      <w:r w:rsidR="00B42DFE" w:rsidRPr="00E06151">
        <w:rPr>
          <w:rFonts w:ascii="Open Sans" w:hAnsi="Open Sans" w:cs="Open Sans"/>
        </w:rPr>
        <w:t>to</w:t>
      </w:r>
      <w:r w:rsidRPr="00E06151">
        <w:rPr>
          <w:rFonts w:ascii="Open Sans" w:hAnsi="Open Sans" w:cs="Open Sans"/>
        </w:rPr>
        <w:t xml:space="preserve"> futuer proof such changes to the Capacity Market</w:t>
      </w:r>
      <w:r w:rsidR="00AB4D89" w:rsidRPr="00E06151">
        <w:rPr>
          <w:rFonts w:ascii="Open Sans" w:hAnsi="Open Sans" w:cs="Open Sans"/>
        </w:rPr>
        <w:t>.</w:t>
      </w:r>
    </w:p>
    <w:p w14:paraId="2A37E9B7" w14:textId="57E78BCC" w:rsidR="005827A9" w:rsidRPr="00E06151" w:rsidRDefault="00B42DFE" w:rsidP="000A3322">
      <w:pPr>
        <w:rPr>
          <w:rFonts w:ascii="Open Sans" w:hAnsi="Open Sans" w:cs="Open Sans"/>
        </w:rPr>
      </w:pPr>
      <w:r w:rsidRPr="00E06151">
        <w:rPr>
          <w:rFonts w:ascii="Open Sans" w:hAnsi="Open Sans" w:cs="Open Sans"/>
        </w:rPr>
        <w:t xml:space="preserve">The CfD model is now being used by government as the basis for </w:t>
      </w:r>
      <w:r w:rsidR="00F97220" w:rsidRPr="00E06151">
        <w:rPr>
          <w:rFonts w:ascii="Open Sans" w:hAnsi="Open Sans" w:cs="Open Sans"/>
        </w:rPr>
        <w:t>several</w:t>
      </w:r>
      <w:r w:rsidRPr="00E06151">
        <w:rPr>
          <w:rFonts w:ascii="Open Sans" w:hAnsi="Open Sans" w:cs="Open Sans"/>
        </w:rPr>
        <w:t xml:space="preserve"> different supporting business models that </w:t>
      </w:r>
      <w:r w:rsidR="003E3AEC" w:rsidRPr="00E06151">
        <w:rPr>
          <w:rFonts w:ascii="Open Sans" w:hAnsi="Open Sans" w:cs="Open Sans"/>
        </w:rPr>
        <w:t>CMU</w:t>
      </w:r>
      <w:r w:rsidR="00AB4D89" w:rsidRPr="00E06151">
        <w:rPr>
          <w:rFonts w:ascii="Open Sans" w:hAnsi="Open Sans" w:cs="Open Sans"/>
        </w:rPr>
        <w:t>s</w:t>
      </w:r>
      <w:r w:rsidR="003E3AEC" w:rsidRPr="00E06151">
        <w:rPr>
          <w:rFonts w:ascii="Open Sans" w:hAnsi="Open Sans" w:cs="Open Sans"/>
        </w:rPr>
        <w:t xml:space="preserve"> may </w:t>
      </w:r>
      <w:r w:rsidR="00B14C73" w:rsidRPr="00E06151">
        <w:rPr>
          <w:rFonts w:ascii="Open Sans" w:hAnsi="Open Sans" w:cs="Open Sans"/>
        </w:rPr>
        <w:t>consider</w:t>
      </w:r>
      <w:r w:rsidR="003E3AEC" w:rsidRPr="00E06151">
        <w:rPr>
          <w:rFonts w:ascii="Open Sans" w:hAnsi="Open Sans" w:cs="Open Sans"/>
        </w:rPr>
        <w:t xml:space="preserve"> applying for in the future. Not all of these relate to payments for power production. </w:t>
      </w:r>
    </w:p>
    <w:p w14:paraId="1255531A" w14:textId="68EB02EC" w:rsidR="00B42DFE" w:rsidRPr="00E06151" w:rsidRDefault="004C530A" w:rsidP="000A3322">
      <w:pPr>
        <w:rPr>
          <w:rFonts w:ascii="Open Sans" w:hAnsi="Open Sans" w:cs="Open Sans"/>
        </w:rPr>
      </w:pPr>
      <w:r w:rsidRPr="00E06151">
        <w:rPr>
          <w:rFonts w:ascii="Open Sans" w:hAnsi="Open Sans" w:cs="Open Sans"/>
        </w:rPr>
        <w:t>For example, c</w:t>
      </w:r>
      <w:r w:rsidR="005827A9" w:rsidRPr="00E06151">
        <w:rPr>
          <w:rFonts w:ascii="Open Sans" w:hAnsi="Open Sans" w:cs="Open Sans"/>
        </w:rPr>
        <w:t xml:space="preserve">urrent proposals for the Greenhouse Gas Removal </w:t>
      </w:r>
      <w:r w:rsidR="003F5D80" w:rsidRPr="00E06151">
        <w:rPr>
          <w:rFonts w:ascii="Open Sans" w:hAnsi="Open Sans" w:cs="Open Sans"/>
        </w:rPr>
        <w:t xml:space="preserve">Business Model </w:t>
      </w:r>
      <w:r w:rsidR="004806D6" w:rsidRPr="00E06151">
        <w:rPr>
          <w:rFonts w:ascii="Open Sans" w:hAnsi="Open Sans" w:cs="Open Sans"/>
        </w:rPr>
        <w:t xml:space="preserve">utilise a CfD model and </w:t>
      </w:r>
      <w:r w:rsidR="003F5D80" w:rsidRPr="00E06151">
        <w:rPr>
          <w:rFonts w:ascii="Open Sans" w:hAnsi="Open Sans" w:cs="Open Sans"/>
        </w:rPr>
        <w:t>will exclusively pay for negative emissions,</w:t>
      </w:r>
      <w:r w:rsidR="00F97220" w:rsidRPr="00E06151">
        <w:rPr>
          <w:rFonts w:ascii="Open Sans" w:hAnsi="Open Sans" w:cs="Open Sans"/>
        </w:rPr>
        <w:t xml:space="preserve"> </w:t>
      </w:r>
      <w:r w:rsidR="003F5D80" w:rsidRPr="00E06151">
        <w:rPr>
          <w:rFonts w:ascii="Open Sans" w:hAnsi="Open Sans" w:cs="Open Sans"/>
        </w:rPr>
        <w:t xml:space="preserve">while a Power BECCS </w:t>
      </w:r>
      <w:r w:rsidR="00F97220" w:rsidRPr="00E06151">
        <w:rPr>
          <w:rFonts w:ascii="Open Sans" w:hAnsi="Open Sans" w:cs="Open Sans"/>
        </w:rPr>
        <w:t>asset</w:t>
      </w:r>
      <w:r w:rsidR="003F5D80" w:rsidRPr="00E06151">
        <w:rPr>
          <w:rFonts w:ascii="Open Sans" w:hAnsi="Open Sans" w:cs="Open Sans"/>
        </w:rPr>
        <w:t xml:space="preserve"> will also be producing power that could be used in the </w:t>
      </w:r>
      <w:r w:rsidR="004806D6" w:rsidRPr="00E06151">
        <w:rPr>
          <w:rFonts w:ascii="Open Sans" w:hAnsi="Open Sans" w:cs="Open Sans"/>
        </w:rPr>
        <w:t xml:space="preserve">capacity market. </w:t>
      </w:r>
      <w:r w:rsidRPr="00E06151">
        <w:rPr>
          <w:rFonts w:ascii="Open Sans" w:hAnsi="Open Sans" w:cs="Open Sans"/>
        </w:rPr>
        <w:t xml:space="preserve"> </w:t>
      </w:r>
    </w:p>
    <w:p w14:paraId="5EB38EFE" w14:textId="71CAE584" w:rsidR="004C530A" w:rsidRPr="00E06151" w:rsidRDefault="004C530A" w:rsidP="000A3322">
      <w:pPr>
        <w:rPr>
          <w:rFonts w:ascii="Open Sans" w:hAnsi="Open Sans" w:cs="Open Sans"/>
        </w:rPr>
      </w:pPr>
      <w:r w:rsidRPr="00E06151">
        <w:rPr>
          <w:rFonts w:ascii="Open Sans" w:hAnsi="Open Sans" w:cs="Open Sans"/>
        </w:rPr>
        <w:t>As such</w:t>
      </w:r>
      <w:r w:rsidR="000904DA" w:rsidRPr="00E06151">
        <w:rPr>
          <w:rFonts w:ascii="Open Sans" w:hAnsi="Open Sans" w:cs="Open Sans"/>
        </w:rPr>
        <w:t>,</w:t>
      </w:r>
      <w:r w:rsidRPr="00E06151">
        <w:rPr>
          <w:rFonts w:ascii="Open Sans" w:hAnsi="Open Sans" w:cs="Open Sans"/>
        </w:rPr>
        <w:t xml:space="preserve"> the amendment should be clear it is referring to </w:t>
      </w:r>
      <w:proofErr w:type="spellStart"/>
      <w:r w:rsidRPr="00E06151">
        <w:rPr>
          <w:rFonts w:ascii="Open Sans" w:hAnsi="Open Sans" w:cs="Open Sans"/>
        </w:rPr>
        <w:t>CfD’s</w:t>
      </w:r>
      <w:proofErr w:type="spellEnd"/>
      <w:r w:rsidRPr="00E06151">
        <w:rPr>
          <w:rFonts w:ascii="Open Sans" w:hAnsi="Open Sans" w:cs="Open Sans"/>
        </w:rPr>
        <w:t xml:space="preserve"> that pay for </w:t>
      </w:r>
      <w:r w:rsidR="000904DA" w:rsidRPr="00E06151">
        <w:rPr>
          <w:rFonts w:ascii="Open Sans" w:hAnsi="Open Sans" w:cs="Open Sans"/>
        </w:rPr>
        <w:t xml:space="preserve">low carbon </w:t>
      </w:r>
      <w:r w:rsidRPr="00E06151">
        <w:rPr>
          <w:rFonts w:ascii="Open Sans" w:hAnsi="Open Sans" w:cs="Open Sans"/>
        </w:rPr>
        <w:t xml:space="preserve">power </w:t>
      </w:r>
      <w:r w:rsidR="00DB6418">
        <w:rPr>
          <w:rFonts w:ascii="Open Sans" w:hAnsi="Open Sans" w:cs="Open Sans"/>
        </w:rPr>
        <w:t>generation</w:t>
      </w:r>
      <w:r w:rsidR="000904DA" w:rsidRPr="00E06151">
        <w:rPr>
          <w:rFonts w:ascii="Open Sans" w:hAnsi="Open Sans" w:cs="Open Sans"/>
        </w:rPr>
        <w:t xml:space="preserve">, </w:t>
      </w:r>
      <w:r w:rsidRPr="00E06151">
        <w:rPr>
          <w:rFonts w:ascii="Open Sans" w:hAnsi="Open Sans" w:cs="Open Sans"/>
        </w:rPr>
        <w:t xml:space="preserve">where there maybe risk of the same power being paid for twice. </w:t>
      </w:r>
    </w:p>
    <w:p w14:paraId="6C615C91" w14:textId="11B8A448" w:rsidR="004C530A" w:rsidRPr="00E06151" w:rsidRDefault="004C530A" w:rsidP="000A3322">
      <w:pPr>
        <w:rPr>
          <w:rFonts w:ascii="Open Sans" w:hAnsi="Open Sans" w:cs="Open Sans"/>
        </w:rPr>
      </w:pPr>
      <w:r w:rsidRPr="00E06151">
        <w:rPr>
          <w:rFonts w:ascii="Open Sans" w:hAnsi="Open Sans" w:cs="Open Sans"/>
        </w:rPr>
        <w:t xml:space="preserve">Such a </w:t>
      </w:r>
      <w:r w:rsidR="00C76CCA" w:rsidRPr="00E06151">
        <w:rPr>
          <w:rFonts w:ascii="Open Sans" w:hAnsi="Open Sans" w:cs="Open Sans"/>
        </w:rPr>
        <w:t>distinction could prove important in allowing sites to sta</w:t>
      </w:r>
      <w:r w:rsidR="0014062E" w:rsidRPr="00E06151">
        <w:rPr>
          <w:rFonts w:ascii="Open Sans" w:hAnsi="Open Sans" w:cs="Open Sans"/>
        </w:rPr>
        <w:t>c</w:t>
      </w:r>
      <w:r w:rsidR="00C76CCA" w:rsidRPr="00E06151">
        <w:rPr>
          <w:rFonts w:ascii="Open Sans" w:hAnsi="Open Sans" w:cs="Open Sans"/>
        </w:rPr>
        <w:t>k</w:t>
      </w:r>
      <w:r w:rsidR="0014062E" w:rsidRPr="00E06151">
        <w:rPr>
          <w:rFonts w:ascii="Open Sans" w:hAnsi="Open Sans" w:cs="Open Sans"/>
        </w:rPr>
        <w:t xml:space="preserve"> s</w:t>
      </w:r>
      <w:r w:rsidR="00C76CCA" w:rsidRPr="00E06151">
        <w:rPr>
          <w:rFonts w:ascii="Open Sans" w:hAnsi="Open Sans" w:cs="Open Sans"/>
        </w:rPr>
        <w:t xml:space="preserve">upport mechanisms </w:t>
      </w:r>
      <w:r w:rsidR="000904DA" w:rsidRPr="00E06151">
        <w:rPr>
          <w:rFonts w:ascii="Open Sans" w:hAnsi="Open Sans" w:cs="Open Sans"/>
        </w:rPr>
        <w:t>that pay</w:t>
      </w:r>
      <w:r w:rsidR="0014062E" w:rsidRPr="00E06151">
        <w:rPr>
          <w:rFonts w:ascii="Open Sans" w:hAnsi="Open Sans" w:cs="Open Sans"/>
        </w:rPr>
        <w:t xml:space="preserve"> for different services. This may in turn be crucial to enabling the decarbonisation </w:t>
      </w:r>
      <w:r w:rsidR="000904DA" w:rsidRPr="00E06151">
        <w:rPr>
          <w:rFonts w:ascii="Open Sans" w:hAnsi="Open Sans" w:cs="Open Sans"/>
        </w:rPr>
        <w:t xml:space="preserve">of existing CMUs. </w:t>
      </w:r>
    </w:p>
    <w:p w14:paraId="4113060D" w14:textId="40A84468" w:rsidR="000904DA" w:rsidRPr="00E06151" w:rsidRDefault="000904DA" w:rsidP="000A3322">
      <w:pPr>
        <w:rPr>
          <w:rFonts w:ascii="Open Sans" w:hAnsi="Open Sans" w:cs="Open Sans"/>
        </w:rPr>
      </w:pPr>
      <w:r w:rsidRPr="00E06151">
        <w:rPr>
          <w:rFonts w:ascii="Open Sans" w:hAnsi="Open Sans" w:cs="Open Sans"/>
        </w:rPr>
        <w:t xml:space="preserve">In addition, there </w:t>
      </w:r>
      <w:r w:rsidR="005A793E" w:rsidRPr="00E06151">
        <w:rPr>
          <w:rFonts w:ascii="Open Sans" w:hAnsi="Open Sans" w:cs="Open Sans"/>
        </w:rPr>
        <w:t>m</w:t>
      </w:r>
      <w:r w:rsidRPr="00E06151">
        <w:rPr>
          <w:rFonts w:ascii="Open Sans" w:hAnsi="Open Sans" w:cs="Open Sans"/>
        </w:rPr>
        <w:t xml:space="preserve">ust be a </w:t>
      </w:r>
      <w:r w:rsidR="006360A2" w:rsidRPr="00E06151">
        <w:rPr>
          <w:rFonts w:ascii="Open Sans" w:hAnsi="Open Sans" w:cs="Open Sans"/>
        </w:rPr>
        <w:t>clear and efficient pathway</w:t>
      </w:r>
      <w:r w:rsidRPr="00E06151">
        <w:rPr>
          <w:rFonts w:ascii="Open Sans" w:hAnsi="Open Sans" w:cs="Open Sans"/>
        </w:rPr>
        <w:t xml:space="preserve"> by which a </w:t>
      </w:r>
      <w:r w:rsidR="00167171" w:rsidRPr="00E06151">
        <w:rPr>
          <w:rFonts w:ascii="Open Sans" w:hAnsi="Open Sans" w:cs="Open Sans"/>
        </w:rPr>
        <w:t xml:space="preserve">site may choose to switch from a CfD to </w:t>
      </w:r>
      <w:r w:rsidR="00C31779" w:rsidRPr="00E06151">
        <w:rPr>
          <w:rFonts w:ascii="Open Sans" w:hAnsi="Open Sans" w:cs="Open Sans"/>
        </w:rPr>
        <w:t xml:space="preserve">a </w:t>
      </w:r>
      <w:r w:rsidR="00167171" w:rsidRPr="00E06151">
        <w:rPr>
          <w:rFonts w:ascii="Open Sans" w:hAnsi="Open Sans" w:cs="Open Sans"/>
        </w:rPr>
        <w:t xml:space="preserve">Capacity Market </w:t>
      </w:r>
      <w:r w:rsidR="005A793E" w:rsidRPr="00E06151">
        <w:rPr>
          <w:rFonts w:ascii="Open Sans" w:hAnsi="Open Sans" w:cs="Open Sans"/>
        </w:rPr>
        <w:t>contract or</w:t>
      </w:r>
      <w:r w:rsidR="00167171" w:rsidRPr="00E06151">
        <w:rPr>
          <w:rFonts w:ascii="Open Sans" w:hAnsi="Open Sans" w:cs="Open Sans"/>
        </w:rPr>
        <w:t xml:space="preserve"> vice a versa. With so many policy work streams underway, and both </w:t>
      </w:r>
      <w:r w:rsidR="005A793E" w:rsidRPr="00E06151">
        <w:rPr>
          <w:rFonts w:ascii="Open Sans" w:hAnsi="Open Sans" w:cs="Open Sans"/>
        </w:rPr>
        <w:t>mechanism</w:t>
      </w:r>
      <w:r w:rsidR="00167171" w:rsidRPr="00E06151">
        <w:rPr>
          <w:rFonts w:ascii="Open Sans" w:hAnsi="Open Sans" w:cs="Open Sans"/>
        </w:rPr>
        <w:t xml:space="preserve"> continuing to evolve, it may well prove </w:t>
      </w:r>
      <w:r w:rsidR="005A793E" w:rsidRPr="00E06151">
        <w:rPr>
          <w:rFonts w:ascii="Open Sans" w:hAnsi="Open Sans" w:cs="Open Sans"/>
        </w:rPr>
        <w:t>beneficial</w:t>
      </w:r>
      <w:r w:rsidR="00167171" w:rsidRPr="00E06151">
        <w:rPr>
          <w:rFonts w:ascii="Open Sans" w:hAnsi="Open Sans" w:cs="Open Sans"/>
        </w:rPr>
        <w:t xml:space="preserve"> for a</w:t>
      </w:r>
      <w:r w:rsidR="006360A2" w:rsidRPr="00E06151">
        <w:rPr>
          <w:rFonts w:ascii="Open Sans" w:hAnsi="Open Sans" w:cs="Open Sans"/>
        </w:rPr>
        <w:t xml:space="preserve">n </w:t>
      </w:r>
      <w:r w:rsidR="00B53FC3" w:rsidRPr="00E06151">
        <w:rPr>
          <w:rFonts w:ascii="Open Sans" w:hAnsi="Open Sans" w:cs="Open Sans"/>
        </w:rPr>
        <w:t xml:space="preserve">operator to surrender one contract </w:t>
      </w:r>
      <w:r w:rsidR="00876DBB" w:rsidRPr="00E06151">
        <w:rPr>
          <w:rFonts w:ascii="Open Sans" w:hAnsi="Open Sans" w:cs="Open Sans"/>
        </w:rPr>
        <w:t>to</w:t>
      </w:r>
      <w:r w:rsidR="00B53FC3" w:rsidRPr="00E06151">
        <w:rPr>
          <w:rFonts w:ascii="Open Sans" w:hAnsi="Open Sans" w:cs="Open Sans"/>
        </w:rPr>
        <w:t xml:space="preserve"> take advantage of a new of support</w:t>
      </w:r>
      <w:r w:rsidR="00876DBB">
        <w:rPr>
          <w:rFonts w:ascii="Open Sans" w:hAnsi="Open Sans" w:cs="Open Sans"/>
        </w:rPr>
        <w:t xml:space="preserve"> mechanism</w:t>
      </w:r>
      <w:r w:rsidR="00B53FC3" w:rsidRPr="00E06151">
        <w:rPr>
          <w:rFonts w:ascii="Open Sans" w:hAnsi="Open Sans" w:cs="Open Sans"/>
        </w:rPr>
        <w:t xml:space="preserve">. This includes being able to </w:t>
      </w:r>
      <w:r w:rsidR="005A793E" w:rsidRPr="00E06151">
        <w:rPr>
          <w:rFonts w:ascii="Open Sans" w:hAnsi="Open Sans" w:cs="Open Sans"/>
        </w:rPr>
        <w:t>switch to business model</w:t>
      </w:r>
      <w:r w:rsidR="00555B69" w:rsidRPr="00E06151">
        <w:rPr>
          <w:rFonts w:ascii="Open Sans" w:hAnsi="Open Sans" w:cs="Open Sans"/>
        </w:rPr>
        <w:t>s</w:t>
      </w:r>
      <w:r w:rsidR="005A793E" w:rsidRPr="00E06151">
        <w:rPr>
          <w:rFonts w:ascii="Open Sans" w:hAnsi="Open Sans" w:cs="Open Sans"/>
        </w:rPr>
        <w:t xml:space="preserve"> that enables the installation of CCS, having come of a capacity market contract. </w:t>
      </w:r>
    </w:p>
    <w:p w14:paraId="02C82216" w14:textId="0ED8B826" w:rsidR="005A793E" w:rsidRPr="00E06151" w:rsidRDefault="005A793E" w:rsidP="000A3322">
      <w:pPr>
        <w:rPr>
          <w:rFonts w:ascii="Open Sans" w:hAnsi="Open Sans" w:cs="Open Sans"/>
        </w:rPr>
      </w:pPr>
      <w:r w:rsidRPr="00E06151">
        <w:rPr>
          <w:rFonts w:ascii="Open Sans" w:hAnsi="Open Sans" w:cs="Open Sans"/>
        </w:rPr>
        <w:t>We also note, given the focus on flexibility within REMA and government considering how</w:t>
      </w:r>
      <w:r w:rsidR="00806421" w:rsidRPr="00E06151">
        <w:rPr>
          <w:rFonts w:ascii="Open Sans" w:hAnsi="Open Sans" w:cs="Open Sans"/>
        </w:rPr>
        <w:t xml:space="preserve"> </w:t>
      </w:r>
      <w:r w:rsidR="00555B69" w:rsidRPr="00E06151">
        <w:rPr>
          <w:rFonts w:ascii="Open Sans" w:hAnsi="Open Sans" w:cs="Open Sans"/>
        </w:rPr>
        <w:t>flexibility could be better rewarded both</w:t>
      </w:r>
      <w:r w:rsidR="00DC04D0" w:rsidRPr="00E06151">
        <w:rPr>
          <w:rFonts w:ascii="Open Sans" w:hAnsi="Open Sans" w:cs="Open Sans"/>
        </w:rPr>
        <w:t xml:space="preserve"> </w:t>
      </w:r>
      <w:r w:rsidR="00C10E05" w:rsidRPr="00E06151">
        <w:rPr>
          <w:rFonts w:ascii="Open Sans" w:hAnsi="Open Sans" w:cs="Open Sans"/>
        </w:rPr>
        <w:t xml:space="preserve">within the CfD and Capacity Market, it may well be </w:t>
      </w:r>
      <w:r w:rsidR="000B7728" w:rsidRPr="00E06151">
        <w:rPr>
          <w:rFonts w:ascii="Open Sans" w:hAnsi="Open Sans" w:cs="Open Sans"/>
        </w:rPr>
        <w:t xml:space="preserve">advantageous in the futuer </w:t>
      </w:r>
      <w:r w:rsidR="00EB7A3F" w:rsidRPr="00E06151">
        <w:rPr>
          <w:rFonts w:ascii="Open Sans" w:hAnsi="Open Sans" w:cs="Open Sans"/>
        </w:rPr>
        <w:t>for a site to be</w:t>
      </w:r>
      <w:r w:rsidR="000B7728" w:rsidRPr="00E06151">
        <w:rPr>
          <w:rFonts w:ascii="Open Sans" w:hAnsi="Open Sans" w:cs="Open Sans"/>
        </w:rPr>
        <w:t xml:space="preserve"> able </w:t>
      </w:r>
      <w:r w:rsidR="00EB7A3F" w:rsidRPr="00E06151">
        <w:rPr>
          <w:rFonts w:ascii="Open Sans" w:hAnsi="Open Sans" w:cs="Open Sans"/>
        </w:rPr>
        <w:t>t</w:t>
      </w:r>
      <w:r w:rsidR="000B7728" w:rsidRPr="00E06151">
        <w:rPr>
          <w:rFonts w:ascii="Open Sans" w:hAnsi="Open Sans" w:cs="Open Sans"/>
        </w:rPr>
        <w:t>o have both a power CfD and a capacity market contract, with o</w:t>
      </w:r>
      <w:r w:rsidR="00EB7A3F" w:rsidRPr="00E06151">
        <w:rPr>
          <w:rFonts w:ascii="Open Sans" w:hAnsi="Open Sans" w:cs="Open Sans"/>
        </w:rPr>
        <w:t>ne</w:t>
      </w:r>
      <w:r w:rsidR="000B7728" w:rsidRPr="00E06151">
        <w:rPr>
          <w:rFonts w:ascii="Open Sans" w:hAnsi="Open Sans" w:cs="Open Sans"/>
        </w:rPr>
        <w:t xml:space="preserve"> paying for the power, while the other pays for flexibility services provided. We would encourage Government to be open to this idea, while recognising the need to ensure that the same power is not paid for twice. </w:t>
      </w:r>
    </w:p>
    <w:p w14:paraId="1ED803FF" w14:textId="53B26D6A" w:rsidR="000A3322" w:rsidRPr="00E06151" w:rsidRDefault="000A3322" w:rsidP="00324C6E">
      <w:pPr>
        <w:spacing w:after="0" w:line="240" w:lineRule="auto"/>
        <w:rPr>
          <w:rFonts w:ascii="Open Sans" w:hAnsi="Open Sans" w:cs="Open Sans"/>
          <w:b/>
          <w:bCs/>
        </w:rPr>
      </w:pPr>
      <w:r w:rsidRPr="00E06151">
        <w:rPr>
          <w:rFonts w:ascii="Open Sans" w:hAnsi="Open Sans" w:cs="Open Sans"/>
          <w:b/>
          <w:bCs/>
        </w:rPr>
        <w:t>Question 6: Do you agree with the proposals that we have put forward to help address</w:t>
      </w:r>
      <w:r w:rsidR="00AE0523" w:rsidRPr="00E06151">
        <w:rPr>
          <w:rFonts w:ascii="Open Sans" w:hAnsi="Open Sans" w:cs="Open Sans"/>
          <w:b/>
          <w:bCs/>
        </w:rPr>
        <w:t xml:space="preserve"> </w:t>
      </w:r>
      <w:r w:rsidRPr="00E06151">
        <w:rPr>
          <w:rFonts w:ascii="Open Sans" w:hAnsi="Open Sans" w:cs="Open Sans"/>
          <w:b/>
          <w:bCs/>
        </w:rPr>
        <w:t>barriers faced by storage CMUs in managing battery degradation? Specifically:</w:t>
      </w:r>
    </w:p>
    <w:p w14:paraId="601E218E" w14:textId="0C57D56F" w:rsidR="000A3322" w:rsidRPr="00E06151" w:rsidRDefault="000A3322" w:rsidP="006A5804">
      <w:pPr>
        <w:pStyle w:val="ListParagraph"/>
        <w:numPr>
          <w:ilvl w:val="0"/>
          <w:numId w:val="2"/>
        </w:numPr>
        <w:spacing w:after="0" w:line="240" w:lineRule="auto"/>
        <w:rPr>
          <w:rFonts w:ascii="Open Sans" w:hAnsi="Open Sans" w:cs="Open Sans"/>
          <w:b/>
          <w:bCs/>
        </w:rPr>
      </w:pPr>
      <w:r w:rsidRPr="00E06151">
        <w:rPr>
          <w:rFonts w:ascii="Open Sans" w:hAnsi="Open Sans" w:cs="Open Sans"/>
          <w:b/>
          <w:bCs/>
        </w:rPr>
        <w:t>The introduction of a definition of Permitted Augmentation under Rule 4.4.4; and</w:t>
      </w:r>
    </w:p>
    <w:p w14:paraId="1415989C" w14:textId="46E762C5" w:rsidR="00324C6E" w:rsidRPr="00E06151" w:rsidRDefault="000A3322" w:rsidP="006A5804">
      <w:pPr>
        <w:pStyle w:val="ListParagraph"/>
        <w:numPr>
          <w:ilvl w:val="0"/>
          <w:numId w:val="2"/>
        </w:numPr>
        <w:spacing w:after="0" w:line="240" w:lineRule="auto"/>
        <w:rPr>
          <w:rFonts w:ascii="Open Sans" w:hAnsi="Open Sans" w:cs="Open Sans"/>
          <w:b/>
          <w:bCs/>
        </w:rPr>
      </w:pPr>
      <w:r w:rsidRPr="00E06151">
        <w:rPr>
          <w:rFonts w:ascii="Open Sans" w:hAnsi="Open Sans" w:cs="Open Sans"/>
          <w:b/>
          <w:bCs/>
        </w:rPr>
        <w:t>Enabling the level of EPT requirement to be appropriately reduced when</w:t>
      </w:r>
      <w:r w:rsidR="00AE0523" w:rsidRPr="00E06151">
        <w:rPr>
          <w:rFonts w:ascii="Open Sans" w:hAnsi="Open Sans" w:cs="Open Sans"/>
          <w:b/>
          <w:bCs/>
        </w:rPr>
        <w:t xml:space="preserve"> </w:t>
      </w:r>
      <w:r w:rsidRPr="00E06151">
        <w:rPr>
          <w:rFonts w:ascii="Open Sans" w:hAnsi="Open Sans" w:cs="Open Sans"/>
          <w:b/>
          <w:bCs/>
        </w:rPr>
        <w:t>secondary trading occurs.</w:t>
      </w:r>
    </w:p>
    <w:p w14:paraId="53165DB1" w14:textId="1143F987" w:rsidR="00324C6E" w:rsidRPr="00E06151" w:rsidRDefault="00324C6E" w:rsidP="00324C6E">
      <w:pPr>
        <w:spacing w:after="0" w:line="240" w:lineRule="auto"/>
        <w:rPr>
          <w:rFonts w:ascii="Open Sans" w:hAnsi="Open Sans" w:cs="Open Sans"/>
          <w:b/>
          <w:bCs/>
        </w:rPr>
      </w:pPr>
    </w:p>
    <w:p w14:paraId="3E7C203F" w14:textId="77B03218" w:rsidR="00E27469" w:rsidRPr="00E06151" w:rsidRDefault="005E0373" w:rsidP="00324C6E">
      <w:pPr>
        <w:spacing w:after="0" w:line="240" w:lineRule="auto"/>
        <w:rPr>
          <w:rFonts w:ascii="Open Sans" w:hAnsi="Open Sans" w:cs="Open Sans"/>
        </w:rPr>
      </w:pPr>
      <w:r w:rsidRPr="00E06151">
        <w:rPr>
          <w:rFonts w:ascii="Open Sans" w:hAnsi="Open Sans" w:cs="Open Sans"/>
        </w:rPr>
        <w:lastRenderedPageBreak/>
        <w:t>In general the</w:t>
      </w:r>
      <w:r w:rsidR="00873432" w:rsidRPr="00E06151">
        <w:rPr>
          <w:rFonts w:ascii="Open Sans" w:hAnsi="Open Sans" w:cs="Open Sans"/>
        </w:rPr>
        <w:t xml:space="preserve"> REA support the </w:t>
      </w:r>
      <w:r w:rsidR="00632525" w:rsidRPr="00E06151">
        <w:rPr>
          <w:rFonts w:ascii="Open Sans" w:hAnsi="Open Sans" w:cs="Open Sans"/>
        </w:rPr>
        <w:t xml:space="preserve">introduction of a definition of Permitted Augmentation under Rule </w:t>
      </w:r>
      <w:proofErr w:type="gramStart"/>
      <w:r w:rsidR="00632525" w:rsidRPr="00E06151">
        <w:rPr>
          <w:rFonts w:ascii="Open Sans" w:hAnsi="Open Sans" w:cs="Open Sans"/>
        </w:rPr>
        <w:t xml:space="preserve">4.4.4 </w:t>
      </w:r>
      <w:r w:rsidRPr="00E06151">
        <w:rPr>
          <w:rFonts w:ascii="Open Sans" w:hAnsi="Open Sans" w:cs="Open Sans"/>
        </w:rPr>
        <w:t>,</w:t>
      </w:r>
      <w:proofErr w:type="gramEnd"/>
      <w:r w:rsidRPr="00E06151">
        <w:rPr>
          <w:rFonts w:ascii="Open Sans" w:hAnsi="Open Sans" w:cs="Open Sans"/>
        </w:rPr>
        <w:t xml:space="preserve"> recognising that this will create an improvement on the current situation and will enable storage providers to </w:t>
      </w:r>
      <w:r w:rsidR="003E028E" w:rsidRPr="00E06151">
        <w:rPr>
          <w:rFonts w:ascii="Open Sans" w:hAnsi="Open Sans" w:cs="Open Sans"/>
        </w:rPr>
        <w:t xml:space="preserve">supplement their capacity </w:t>
      </w:r>
      <w:r w:rsidR="00A6543F" w:rsidRPr="00E06151">
        <w:rPr>
          <w:rFonts w:ascii="Open Sans" w:hAnsi="Open Sans" w:cs="Open Sans"/>
        </w:rPr>
        <w:t>as batteries degrade during the contract length.</w:t>
      </w:r>
    </w:p>
    <w:p w14:paraId="436A3548" w14:textId="4289FD1E" w:rsidR="00A6543F" w:rsidRPr="00E06151" w:rsidRDefault="00A6543F" w:rsidP="00324C6E">
      <w:pPr>
        <w:spacing w:after="0" w:line="240" w:lineRule="auto"/>
        <w:rPr>
          <w:rFonts w:ascii="Open Sans" w:hAnsi="Open Sans" w:cs="Open Sans"/>
        </w:rPr>
      </w:pPr>
    </w:p>
    <w:p w14:paraId="146375CE" w14:textId="5E7D17BB" w:rsidR="00886D00" w:rsidRPr="00E06151" w:rsidRDefault="00A6543F" w:rsidP="00324C6E">
      <w:pPr>
        <w:spacing w:after="0" w:line="240" w:lineRule="auto"/>
        <w:rPr>
          <w:rFonts w:ascii="Open Sans" w:hAnsi="Open Sans" w:cs="Open Sans"/>
        </w:rPr>
      </w:pPr>
      <w:r w:rsidRPr="00E06151">
        <w:rPr>
          <w:rFonts w:ascii="Open Sans" w:hAnsi="Open Sans" w:cs="Open Sans"/>
        </w:rPr>
        <w:t xml:space="preserve">However, we warn </w:t>
      </w:r>
      <w:r w:rsidR="004A12F1" w:rsidRPr="00E06151">
        <w:rPr>
          <w:rFonts w:ascii="Open Sans" w:hAnsi="Open Sans" w:cs="Open Sans"/>
        </w:rPr>
        <w:t>t</w:t>
      </w:r>
      <w:r w:rsidRPr="00E06151">
        <w:rPr>
          <w:rFonts w:ascii="Open Sans" w:hAnsi="Open Sans" w:cs="Open Sans"/>
        </w:rPr>
        <w:t xml:space="preserve">hat </w:t>
      </w:r>
      <w:r w:rsidR="00252CE6" w:rsidRPr="00E06151">
        <w:rPr>
          <w:rFonts w:ascii="Open Sans" w:hAnsi="Open Sans" w:cs="Open Sans"/>
        </w:rPr>
        <w:t>government</w:t>
      </w:r>
      <w:r w:rsidRPr="00E06151">
        <w:rPr>
          <w:rFonts w:ascii="Open Sans" w:hAnsi="Open Sans" w:cs="Open Sans"/>
        </w:rPr>
        <w:t xml:space="preserve"> should recognise </w:t>
      </w:r>
      <w:r w:rsidR="00252CE6" w:rsidRPr="00E06151">
        <w:rPr>
          <w:rFonts w:ascii="Open Sans" w:hAnsi="Open Sans" w:cs="Open Sans"/>
        </w:rPr>
        <w:t>t</w:t>
      </w:r>
      <w:r w:rsidRPr="00E06151">
        <w:rPr>
          <w:rFonts w:ascii="Open Sans" w:hAnsi="Open Sans" w:cs="Open Sans"/>
        </w:rPr>
        <w:t xml:space="preserve">hat this </w:t>
      </w:r>
      <w:r w:rsidR="00AF49D6" w:rsidRPr="00E06151">
        <w:rPr>
          <w:rFonts w:ascii="Open Sans" w:hAnsi="Open Sans" w:cs="Open Sans"/>
        </w:rPr>
        <w:t xml:space="preserve">approach </w:t>
      </w:r>
      <w:r w:rsidRPr="00E06151">
        <w:rPr>
          <w:rFonts w:ascii="Open Sans" w:hAnsi="Open Sans" w:cs="Open Sans"/>
        </w:rPr>
        <w:t xml:space="preserve">is likely to increase storage costs for </w:t>
      </w:r>
      <w:r w:rsidR="00252CE6" w:rsidRPr="00E06151">
        <w:rPr>
          <w:rFonts w:ascii="Open Sans" w:hAnsi="Open Sans" w:cs="Open Sans"/>
        </w:rPr>
        <w:t>th</w:t>
      </w:r>
      <w:r w:rsidR="00AF49D6" w:rsidRPr="00E06151">
        <w:rPr>
          <w:rFonts w:ascii="Open Sans" w:hAnsi="Open Sans" w:cs="Open Sans"/>
        </w:rPr>
        <w:t xml:space="preserve">ose </w:t>
      </w:r>
      <w:r w:rsidRPr="00E06151">
        <w:rPr>
          <w:rFonts w:ascii="Open Sans" w:hAnsi="Open Sans" w:cs="Open Sans"/>
        </w:rPr>
        <w:t xml:space="preserve">bidding into the capacity market. </w:t>
      </w:r>
      <w:r w:rsidR="00252CE6" w:rsidRPr="00E06151">
        <w:rPr>
          <w:rFonts w:ascii="Open Sans" w:hAnsi="Open Sans" w:cs="Open Sans"/>
        </w:rPr>
        <w:t xml:space="preserve">Developers will not have certainty </w:t>
      </w:r>
      <w:r w:rsidR="004A12F1" w:rsidRPr="00E06151">
        <w:rPr>
          <w:rFonts w:ascii="Open Sans" w:hAnsi="Open Sans" w:cs="Open Sans"/>
        </w:rPr>
        <w:t>over</w:t>
      </w:r>
      <w:r w:rsidR="00252CE6" w:rsidRPr="00E06151">
        <w:rPr>
          <w:rFonts w:ascii="Open Sans" w:hAnsi="Open Sans" w:cs="Open Sans"/>
        </w:rPr>
        <w:t xml:space="preserve"> future battery prices which will </w:t>
      </w:r>
      <w:r w:rsidR="00C469C6">
        <w:rPr>
          <w:rFonts w:ascii="Open Sans" w:hAnsi="Open Sans" w:cs="Open Sans"/>
        </w:rPr>
        <w:t xml:space="preserve">be </w:t>
      </w:r>
      <w:r w:rsidR="00252CE6" w:rsidRPr="00E06151">
        <w:rPr>
          <w:rFonts w:ascii="Open Sans" w:hAnsi="Open Sans" w:cs="Open Sans"/>
        </w:rPr>
        <w:t xml:space="preserve">needed to be costed into the </w:t>
      </w:r>
      <w:r w:rsidR="00CE75A3" w:rsidRPr="00E06151">
        <w:rPr>
          <w:rFonts w:ascii="Open Sans" w:hAnsi="Open Sans" w:cs="Open Sans"/>
        </w:rPr>
        <w:t>operational</w:t>
      </w:r>
      <w:r w:rsidR="003E0131" w:rsidRPr="00E06151">
        <w:rPr>
          <w:rFonts w:ascii="Open Sans" w:hAnsi="Open Sans" w:cs="Open Sans"/>
        </w:rPr>
        <w:t xml:space="preserve"> costs of the site. </w:t>
      </w:r>
    </w:p>
    <w:p w14:paraId="2FB40BD6" w14:textId="77777777" w:rsidR="00886D00" w:rsidRPr="00E06151" w:rsidRDefault="00886D00" w:rsidP="00324C6E">
      <w:pPr>
        <w:spacing w:after="0" w:line="240" w:lineRule="auto"/>
        <w:rPr>
          <w:rFonts w:ascii="Open Sans" w:hAnsi="Open Sans" w:cs="Open Sans"/>
        </w:rPr>
      </w:pPr>
    </w:p>
    <w:p w14:paraId="5BEF21E9" w14:textId="21EFB9D6" w:rsidR="00886D00" w:rsidRPr="00E06151" w:rsidRDefault="003E0131" w:rsidP="00324C6E">
      <w:pPr>
        <w:spacing w:after="0" w:line="240" w:lineRule="auto"/>
        <w:rPr>
          <w:rFonts w:ascii="Open Sans" w:hAnsi="Open Sans" w:cs="Open Sans"/>
        </w:rPr>
      </w:pPr>
      <w:r w:rsidRPr="00E06151">
        <w:rPr>
          <w:rFonts w:ascii="Open Sans" w:hAnsi="Open Sans" w:cs="Open Sans"/>
        </w:rPr>
        <w:t xml:space="preserve">This may also </w:t>
      </w:r>
      <w:r w:rsidR="00AF49D6" w:rsidRPr="00E06151">
        <w:rPr>
          <w:rFonts w:ascii="Open Sans" w:hAnsi="Open Sans" w:cs="Open Sans"/>
        </w:rPr>
        <w:t xml:space="preserve">increase </w:t>
      </w:r>
      <w:r w:rsidR="00C469C6" w:rsidRPr="00E06151">
        <w:rPr>
          <w:rFonts w:ascii="Open Sans" w:hAnsi="Open Sans" w:cs="Open Sans"/>
        </w:rPr>
        <w:t>risk for</w:t>
      </w:r>
      <w:r w:rsidR="00CE75A3" w:rsidRPr="00E06151">
        <w:rPr>
          <w:rFonts w:ascii="Open Sans" w:hAnsi="Open Sans" w:cs="Open Sans"/>
        </w:rPr>
        <w:t xml:space="preserve"> investors</w:t>
      </w:r>
      <w:r w:rsidR="00652392">
        <w:rPr>
          <w:rFonts w:ascii="Open Sans" w:hAnsi="Open Sans" w:cs="Open Sans"/>
        </w:rPr>
        <w:t xml:space="preserve"> </w:t>
      </w:r>
      <w:r w:rsidR="00C469C6" w:rsidRPr="00E06151">
        <w:rPr>
          <w:rFonts w:ascii="Open Sans" w:hAnsi="Open Sans" w:cs="Open Sans"/>
        </w:rPr>
        <w:t>as</w:t>
      </w:r>
      <w:r w:rsidR="00CE75A3" w:rsidRPr="00E06151">
        <w:rPr>
          <w:rFonts w:ascii="Open Sans" w:hAnsi="Open Sans" w:cs="Open Sans"/>
        </w:rPr>
        <w:t xml:space="preserve"> it will add an element of revenue uncertainty. </w:t>
      </w:r>
      <w:r w:rsidR="00652392">
        <w:rPr>
          <w:rFonts w:ascii="Open Sans" w:hAnsi="Open Sans" w:cs="Open Sans"/>
        </w:rPr>
        <w:t xml:space="preserve">This may well be costed into the cost of capital. </w:t>
      </w:r>
      <w:r w:rsidR="00AC524E" w:rsidRPr="00E06151">
        <w:rPr>
          <w:rFonts w:ascii="Open Sans" w:hAnsi="Open Sans" w:cs="Open Sans"/>
        </w:rPr>
        <w:t>To</w:t>
      </w:r>
      <w:r w:rsidR="00886D00" w:rsidRPr="00E06151">
        <w:rPr>
          <w:rFonts w:ascii="Open Sans" w:hAnsi="Open Sans" w:cs="Open Sans"/>
        </w:rPr>
        <w:t xml:space="preserve"> help de-risk this situation for investors, the guidance for the implementation of the </w:t>
      </w:r>
      <w:r w:rsidR="007D2279" w:rsidRPr="00E06151">
        <w:rPr>
          <w:rFonts w:ascii="Open Sans" w:hAnsi="Open Sans" w:cs="Open Sans"/>
        </w:rPr>
        <w:t xml:space="preserve">new rule should make clear that storage CMU units will not be </w:t>
      </w:r>
      <w:r w:rsidR="00AC524E" w:rsidRPr="00E06151">
        <w:rPr>
          <w:rFonts w:ascii="Open Sans" w:hAnsi="Open Sans" w:cs="Open Sans"/>
        </w:rPr>
        <w:t>automatically</w:t>
      </w:r>
      <w:r w:rsidR="007D2279" w:rsidRPr="00E06151">
        <w:rPr>
          <w:rFonts w:ascii="Open Sans" w:hAnsi="Open Sans" w:cs="Open Sans"/>
        </w:rPr>
        <w:t xml:space="preserve"> ejected from the capacity market for failing an EPT</w:t>
      </w:r>
      <w:r w:rsidR="009F2493" w:rsidRPr="00E06151">
        <w:rPr>
          <w:rFonts w:ascii="Open Sans" w:hAnsi="Open Sans" w:cs="Open Sans"/>
        </w:rPr>
        <w:t xml:space="preserve"> </w:t>
      </w:r>
      <w:r w:rsidR="007D2279" w:rsidRPr="00E06151">
        <w:rPr>
          <w:rFonts w:ascii="Open Sans" w:hAnsi="Open Sans" w:cs="Open Sans"/>
        </w:rPr>
        <w:t xml:space="preserve">without first being given the chance to make the necessary augmentation. While most will look to do this before </w:t>
      </w:r>
      <w:r w:rsidR="003A044C" w:rsidRPr="00E06151">
        <w:rPr>
          <w:rFonts w:ascii="Open Sans" w:hAnsi="Open Sans" w:cs="Open Sans"/>
        </w:rPr>
        <w:t>the EPT test, some flexibility should be provided in case of mitigating factors</w:t>
      </w:r>
      <w:r w:rsidR="00CC18BF" w:rsidRPr="00E06151">
        <w:rPr>
          <w:rFonts w:ascii="Open Sans" w:hAnsi="Open Sans" w:cs="Open Sans"/>
        </w:rPr>
        <w:t xml:space="preserve"> </w:t>
      </w:r>
      <w:r w:rsidR="009F2493" w:rsidRPr="00E06151">
        <w:rPr>
          <w:rFonts w:ascii="Open Sans" w:hAnsi="Open Sans" w:cs="Open Sans"/>
        </w:rPr>
        <w:t>to</w:t>
      </w:r>
      <w:r w:rsidR="00CC18BF" w:rsidRPr="00E06151">
        <w:rPr>
          <w:rFonts w:ascii="Open Sans" w:hAnsi="Open Sans" w:cs="Open Sans"/>
        </w:rPr>
        <w:t xml:space="preserve"> avoid the potential unnecessary loss of a CMU for something that can be </w:t>
      </w:r>
      <w:r w:rsidR="00F04F3A">
        <w:rPr>
          <w:rFonts w:ascii="Open Sans" w:hAnsi="Open Sans" w:cs="Open Sans"/>
        </w:rPr>
        <w:t xml:space="preserve">fixed </w:t>
      </w:r>
      <w:r w:rsidR="009F2493" w:rsidRPr="00E06151">
        <w:rPr>
          <w:rFonts w:ascii="Open Sans" w:hAnsi="Open Sans" w:cs="Open Sans"/>
        </w:rPr>
        <w:t>relatively</w:t>
      </w:r>
      <w:r w:rsidR="00CC18BF" w:rsidRPr="00E06151">
        <w:rPr>
          <w:rFonts w:ascii="Open Sans" w:hAnsi="Open Sans" w:cs="Open Sans"/>
        </w:rPr>
        <w:t xml:space="preserve"> quickly. </w:t>
      </w:r>
    </w:p>
    <w:p w14:paraId="16F159BD" w14:textId="323B6443" w:rsidR="003A044C" w:rsidRPr="00E06151" w:rsidRDefault="003A044C" w:rsidP="00324C6E">
      <w:pPr>
        <w:spacing w:after="0" w:line="240" w:lineRule="auto"/>
        <w:rPr>
          <w:rFonts w:ascii="Open Sans" w:hAnsi="Open Sans" w:cs="Open Sans"/>
        </w:rPr>
      </w:pPr>
    </w:p>
    <w:p w14:paraId="3CC3791E" w14:textId="64BFE08E" w:rsidR="003A044C" w:rsidRPr="00E06151" w:rsidRDefault="00445809" w:rsidP="00324C6E">
      <w:pPr>
        <w:spacing w:after="0" w:line="240" w:lineRule="auto"/>
        <w:rPr>
          <w:rFonts w:ascii="Open Sans" w:hAnsi="Open Sans" w:cs="Open Sans"/>
        </w:rPr>
      </w:pPr>
      <w:r w:rsidRPr="00E06151">
        <w:rPr>
          <w:rFonts w:ascii="Open Sans" w:hAnsi="Open Sans" w:cs="Open Sans"/>
        </w:rPr>
        <w:t xml:space="preserve">As we stated in the previous consultation, we would still </w:t>
      </w:r>
      <w:r w:rsidR="00FC4B61" w:rsidRPr="00E06151">
        <w:rPr>
          <w:rFonts w:ascii="Open Sans" w:hAnsi="Open Sans" w:cs="Open Sans"/>
        </w:rPr>
        <w:t xml:space="preserve">prefer </w:t>
      </w:r>
      <w:r w:rsidR="009F2493" w:rsidRPr="00E06151">
        <w:rPr>
          <w:rFonts w:ascii="Open Sans" w:hAnsi="Open Sans" w:cs="Open Sans"/>
        </w:rPr>
        <w:t>an approach that sees</w:t>
      </w:r>
      <w:r w:rsidR="00924AB5" w:rsidRPr="00E06151">
        <w:rPr>
          <w:rFonts w:ascii="Open Sans" w:hAnsi="Open Sans" w:cs="Open Sans"/>
        </w:rPr>
        <w:t xml:space="preserve"> the removal of automatic termination for fa</w:t>
      </w:r>
      <w:r w:rsidR="00702EE1" w:rsidRPr="00E06151">
        <w:rPr>
          <w:rFonts w:ascii="Open Sans" w:hAnsi="Open Sans" w:cs="Open Sans"/>
        </w:rPr>
        <w:t>il</w:t>
      </w:r>
      <w:r w:rsidR="00924AB5" w:rsidRPr="00E06151">
        <w:rPr>
          <w:rFonts w:ascii="Open Sans" w:hAnsi="Open Sans" w:cs="Open Sans"/>
        </w:rPr>
        <w:t>ing a EPT</w:t>
      </w:r>
      <w:r w:rsidR="009F2493" w:rsidRPr="00E06151">
        <w:rPr>
          <w:rFonts w:ascii="Open Sans" w:hAnsi="Open Sans" w:cs="Open Sans"/>
        </w:rPr>
        <w:t xml:space="preserve"> </w:t>
      </w:r>
      <w:r w:rsidR="00924AB5" w:rsidRPr="00E06151">
        <w:rPr>
          <w:rFonts w:ascii="Open Sans" w:hAnsi="Open Sans" w:cs="Open Sans"/>
        </w:rPr>
        <w:t>accompanie</w:t>
      </w:r>
      <w:r w:rsidR="0023302D" w:rsidRPr="00E06151">
        <w:rPr>
          <w:rFonts w:ascii="Open Sans" w:hAnsi="Open Sans" w:cs="Open Sans"/>
        </w:rPr>
        <w:t>d</w:t>
      </w:r>
      <w:r w:rsidR="00924AB5" w:rsidRPr="00E06151">
        <w:rPr>
          <w:rFonts w:ascii="Open Sans" w:hAnsi="Open Sans" w:cs="Open Sans"/>
        </w:rPr>
        <w:t xml:space="preserve"> </w:t>
      </w:r>
      <w:r w:rsidR="00C251DF" w:rsidRPr="00E06151">
        <w:rPr>
          <w:rFonts w:ascii="Open Sans" w:hAnsi="Open Sans" w:cs="Open Sans"/>
        </w:rPr>
        <w:t>b</w:t>
      </w:r>
      <w:r w:rsidR="0023302D" w:rsidRPr="00E06151">
        <w:rPr>
          <w:rFonts w:ascii="Open Sans" w:hAnsi="Open Sans" w:cs="Open Sans"/>
        </w:rPr>
        <w:t>y</w:t>
      </w:r>
      <w:r w:rsidR="00C251DF" w:rsidRPr="00E06151">
        <w:rPr>
          <w:rFonts w:ascii="Open Sans" w:hAnsi="Open Sans" w:cs="Open Sans"/>
        </w:rPr>
        <w:t xml:space="preserve"> changing </w:t>
      </w:r>
      <w:r w:rsidR="00184C89">
        <w:rPr>
          <w:rFonts w:ascii="Open Sans" w:hAnsi="Open Sans" w:cs="Open Sans"/>
        </w:rPr>
        <w:t xml:space="preserve">the </w:t>
      </w:r>
      <w:r w:rsidR="00C251DF" w:rsidRPr="00E06151">
        <w:rPr>
          <w:rFonts w:ascii="Open Sans" w:hAnsi="Open Sans" w:cs="Open Sans"/>
        </w:rPr>
        <w:t xml:space="preserve">applicable de-rating factor </w:t>
      </w:r>
      <w:r w:rsidR="00184C89">
        <w:rPr>
          <w:rFonts w:ascii="Open Sans" w:hAnsi="Open Sans" w:cs="Open Sans"/>
        </w:rPr>
        <w:t xml:space="preserve">so </w:t>
      </w:r>
      <w:r w:rsidR="00C251DF" w:rsidRPr="00E06151">
        <w:rPr>
          <w:rFonts w:ascii="Open Sans" w:hAnsi="Open Sans" w:cs="Open Sans"/>
        </w:rPr>
        <w:t>that</w:t>
      </w:r>
      <w:r w:rsidR="00184C89">
        <w:rPr>
          <w:rFonts w:ascii="Open Sans" w:hAnsi="Open Sans" w:cs="Open Sans"/>
        </w:rPr>
        <w:t xml:space="preserve"> it</w:t>
      </w:r>
      <w:r w:rsidR="00C251DF" w:rsidRPr="00E06151">
        <w:rPr>
          <w:rFonts w:ascii="Open Sans" w:hAnsi="Open Sans" w:cs="Open Sans"/>
        </w:rPr>
        <w:t xml:space="preserve"> reflects the change in available capacity over time. </w:t>
      </w:r>
      <w:r w:rsidR="004D7306" w:rsidRPr="00E06151">
        <w:rPr>
          <w:rFonts w:ascii="Open Sans" w:hAnsi="Open Sans" w:cs="Open Sans"/>
        </w:rPr>
        <w:t>This approach would see less impact on developer costs and bidding levels</w:t>
      </w:r>
      <w:r w:rsidR="00043487" w:rsidRPr="00E06151">
        <w:rPr>
          <w:rFonts w:ascii="Open Sans" w:hAnsi="Open Sans" w:cs="Open Sans"/>
        </w:rPr>
        <w:t>, while still preventing</w:t>
      </w:r>
      <w:r w:rsidR="004B3F04" w:rsidRPr="00E06151">
        <w:rPr>
          <w:rFonts w:ascii="Open Sans" w:hAnsi="Open Sans" w:cs="Open Sans"/>
        </w:rPr>
        <w:t xml:space="preserve"> good volumes from being prematurely ejected. </w:t>
      </w:r>
    </w:p>
    <w:p w14:paraId="36D8A997" w14:textId="77777777" w:rsidR="00413847" w:rsidRPr="00E06151" w:rsidRDefault="00413847" w:rsidP="00324C6E">
      <w:pPr>
        <w:spacing w:after="0" w:line="240" w:lineRule="auto"/>
        <w:rPr>
          <w:rFonts w:ascii="Open Sans" w:hAnsi="Open Sans" w:cs="Open Sans"/>
        </w:rPr>
      </w:pPr>
    </w:p>
    <w:p w14:paraId="54CF5AF1" w14:textId="4209F2E6" w:rsidR="00413847" w:rsidRPr="00E06151" w:rsidRDefault="00B86AEB" w:rsidP="00324C6E">
      <w:pPr>
        <w:spacing w:after="0" w:line="240" w:lineRule="auto"/>
        <w:rPr>
          <w:rFonts w:ascii="Open Sans" w:hAnsi="Open Sans" w:cs="Open Sans"/>
        </w:rPr>
      </w:pPr>
      <w:r w:rsidRPr="00E06151">
        <w:rPr>
          <w:rFonts w:ascii="Open Sans" w:hAnsi="Open Sans" w:cs="Open Sans"/>
        </w:rPr>
        <w:t xml:space="preserve">We also support the enabling the level of EPT requirements to be reduced when secondary trading occurs. </w:t>
      </w:r>
      <w:r w:rsidR="001108E8" w:rsidRPr="00E06151">
        <w:rPr>
          <w:rFonts w:ascii="Open Sans" w:hAnsi="Open Sans" w:cs="Open Sans"/>
        </w:rPr>
        <w:t xml:space="preserve">This will simplify secondary trading processes. </w:t>
      </w:r>
    </w:p>
    <w:p w14:paraId="3FC8AF01" w14:textId="77777777" w:rsidR="001108E8" w:rsidRPr="00E06151" w:rsidRDefault="001108E8" w:rsidP="00324C6E">
      <w:pPr>
        <w:spacing w:after="0" w:line="240" w:lineRule="auto"/>
        <w:rPr>
          <w:rFonts w:ascii="Open Sans" w:hAnsi="Open Sans" w:cs="Open Sans"/>
        </w:rPr>
      </w:pPr>
    </w:p>
    <w:p w14:paraId="4B77E8E4" w14:textId="00F0B5EC" w:rsidR="000A3322" w:rsidRPr="00E06151" w:rsidRDefault="000A3322" w:rsidP="00D137C8">
      <w:pPr>
        <w:spacing w:after="0" w:line="240" w:lineRule="auto"/>
        <w:rPr>
          <w:rFonts w:ascii="Open Sans" w:hAnsi="Open Sans" w:cs="Open Sans"/>
          <w:b/>
          <w:bCs/>
        </w:rPr>
      </w:pPr>
      <w:r w:rsidRPr="00E06151">
        <w:rPr>
          <w:rFonts w:ascii="Open Sans" w:hAnsi="Open Sans" w:cs="Open Sans"/>
          <w:b/>
          <w:bCs/>
        </w:rPr>
        <w:t>Question 7: Do you foresee any unintended consequences which could arise from the</w:t>
      </w:r>
      <w:r w:rsidR="00E06151">
        <w:rPr>
          <w:rFonts w:ascii="Open Sans" w:hAnsi="Open Sans" w:cs="Open Sans"/>
          <w:b/>
          <w:bCs/>
        </w:rPr>
        <w:t xml:space="preserve"> </w:t>
      </w:r>
      <w:r w:rsidRPr="00E06151">
        <w:rPr>
          <w:rFonts w:ascii="Open Sans" w:hAnsi="Open Sans" w:cs="Open Sans"/>
          <w:b/>
          <w:bCs/>
        </w:rPr>
        <w:t>proposals set out in question 6?</w:t>
      </w:r>
    </w:p>
    <w:p w14:paraId="4D6E7C81" w14:textId="77777777" w:rsidR="00D137C8" w:rsidRPr="00E06151" w:rsidRDefault="00D137C8" w:rsidP="00D137C8">
      <w:pPr>
        <w:spacing w:after="0" w:line="240" w:lineRule="auto"/>
        <w:rPr>
          <w:rFonts w:ascii="Open Sans" w:hAnsi="Open Sans" w:cs="Open Sans"/>
          <w:b/>
          <w:bCs/>
        </w:rPr>
      </w:pPr>
    </w:p>
    <w:p w14:paraId="35DBD065" w14:textId="695A670B" w:rsidR="00F54362" w:rsidRPr="00E06151" w:rsidRDefault="00D137C8" w:rsidP="00D137C8">
      <w:pPr>
        <w:spacing w:after="0" w:line="240" w:lineRule="auto"/>
        <w:rPr>
          <w:rFonts w:ascii="Open Sans" w:hAnsi="Open Sans" w:cs="Open Sans"/>
        </w:rPr>
      </w:pPr>
      <w:r w:rsidRPr="00E06151">
        <w:rPr>
          <w:rFonts w:ascii="Open Sans" w:hAnsi="Open Sans" w:cs="Open Sans"/>
        </w:rPr>
        <w:t xml:space="preserve">As </w:t>
      </w:r>
      <w:proofErr w:type="gramStart"/>
      <w:r w:rsidRPr="00E06151">
        <w:rPr>
          <w:rFonts w:ascii="Open Sans" w:hAnsi="Open Sans" w:cs="Open Sans"/>
        </w:rPr>
        <w:t>stated</w:t>
      </w:r>
      <w:proofErr w:type="gramEnd"/>
      <w:r w:rsidRPr="00E06151">
        <w:rPr>
          <w:rFonts w:ascii="Open Sans" w:hAnsi="Open Sans" w:cs="Open Sans"/>
        </w:rPr>
        <w:t xml:space="preserve"> is question 6</w:t>
      </w:r>
      <w:r w:rsidR="00B76E77" w:rsidRPr="00E06151">
        <w:rPr>
          <w:rFonts w:ascii="Open Sans" w:hAnsi="Open Sans" w:cs="Open Sans"/>
        </w:rPr>
        <w:t xml:space="preserve">, </w:t>
      </w:r>
      <w:r w:rsidR="00EA25B5" w:rsidRPr="00E06151">
        <w:rPr>
          <w:rFonts w:ascii="Open Sans" w:hAnsi="Open Sans" w:cs="Open Sans"/>
        </w:rPr>
        <w:t>while we support the approach, its should be recognise</w:t>
      </w:r>
      <w:r w:rsidR="00BC634D" w:rsidRPr="00E06151">
        <w:rPr>
          <w:rFonts w:ascii="Open Sans" w:hAnsi="Open Sans" w:cs="Open Sans"/>
        </w:rPr>
        <w:t xml:space="preserve"> that it will </w:t>
      </w:r>
      <w:r w:rsidR="00304289" w:rsidRPr="00E06151">
        <w:rPr>
          <w:rFonts w:ascii="Open Sans" w:hAnsi="Open Sans" w:cs="Open Sans"/>
        </w:rPr>
        <w:t>likely</w:t>
      </w:r>
      <w:r w:rsidR="00BC634D" w:rsidRPr="00E06151">
        <w:rPr>
          <w:rFonts w:ascii="Open Sans" w:hAnsi="Open Sans" w:cs="Open Sans"/>
        </w:rPr>
        <w:t xml:space="preserve"> </w:t>
      </w:r>
      <w:r w:rsidR="00DE239E">
        <w:rPr>
          <w:rFonts w:ascii="Open Sans" w:hAnsi="Open Sans" w:cs="Open Sans"/>
        </w:rPr>
        <w:t xml:space="preserve">add </w:t>
      </w:r>
      <w:r w:rsidR="00BC634D" w:rsidRPr="00E06151">
        <w:rPr>
          <w:rFonts w:ascii="Open Sans" w:hAnsi="Open Sans" w:cs="Open Sans"/>
        </w:rPr>
        <w:t xml:space="preserve">additional </w:t>
      </w:r>
      <w:r w:rsidR="00575D5C" w:rsidRPr="00E06151">
        <w:rPr>
          <w:rFonts w:ascii="Open Sans" w:hAnsi="Open Sans" w:cs="Open Sans"/>
        </w:rPr>
        <w:t>storage</w:t>
      </w:r>
      <w:r w:rsidR="00BC634D" w:rsidRPr="00E06151">
        <w:rPr>
          <w:rFonts w:ascii="Open Sans" w:hAnsi="Open Sans" w:cs="Open Sans"/>
        </w:rPr>
        <w:t xml:space="preserve"> costs that will need </w:t>
      </w:r>
      <w:r w:rsidR="00F54362" w:rsidRPr="00E06151">
        <w:rPr>
          <w:rFonts w:ascii="Open Sans" w:hAnsi="Open Sans" w:cs="Open Sans"/>
        </w:rPr>
        <w:t>t</w:t>
      </w:r>
      <w:r w:rsidR="00BC634D" w:rsidRPr="00E06151">
        <w:rPr>
          <w:rFonts w:ascii="Open Sans" w:hAnsi="Open Sans" w:cs="Open Sans"/>
        </w:rPr>
        <w:t xml:space="preserve">o be built into capacity market bids. In addition, given the </w:t>
      </w:r>
      <w:r w:rsidR="00F54362" w:rsidRPr="00E06151">
        <w:rPr>
          <w:rFonts w:ascii="Open Sans" w:hAnsi="Open Sans" w:cs="Open Sans"/>
        </w:rPr>
        <w:t>uncertainty</w:t>
      </w:r>
      <w:r w:rsidR="00837A9D" w:rsidRPr="00E06151">
        <w:rPr>
          <w:rFonts w:ascii="Open Sans" w:hAnsi="Open Sans" w:cs="Open Sans"/>
        </w:rPr>
        <w:t xml:space="preserve"> of future storage prices, the </w:t>
      </w:r>
      <w:r w:rsidR="00F54362" w:rsidRPr="00E06151">
        <w:rPr>
          <w:rFonts w:ascii="Open Sans" w:hAnsi="Open Sans" w:cs="Open Sans"/>
        </w:rPr>
        <w:t>requirement</w:t>
      </w:r>
      <w:r w:rsidR="00837A9D" w:rsidRPr="00E06151">
        <w:rPr>
          <w:rFonts w:ascii="Open Sans" w:hAnsi="Open Sans" w:cs="Open Sans"/>
        </w:rPr>
        <w:t xml:space="preserve"> for augmentation will</w:t>
      </w:r>
      <w:r w:rsidR="00575D5C" w:rsidRPr="00E06151">
        <w:rPr>
          <w:rFonts w:ascii="Open Sans" w:hAnsi="Open Sans" w:cs="Open Sans"/>
        </w:rPr>
        <w:t xml:space="preserve"> create price-risk for investors that may have an impact on cost of capital. </w:t>
      </w:r>
    </w:p>
    <w:p w14:paraId="199C36EF" w14:textId="77777777" w:rsidR="00D137C8" w:rsidRPr="00E06151" w:rsidRDefault="00D137C8" w:rsidP="00D137C8">
      <w:pPr>
        <w:spacing w:after="0" w:line="240" w:lineRule="auto"/>
        <w:rPr>
          <w:rFonts w:ascii="Open Sans" w:hAnsi="Open Sans" w:cs="Open Sans"/>
        </w:rPr>
      </w:pPr>
    </w:p>
    <w:p w14:paraId="546B6E5D" w14:textId="4D6348D8" w:rsidR="000A3322" w:rsidRPr="00E06151" w:rsidRDefault="000A3322" w:rsidP="00CD4D25">
      <w:pPr>
        <w:spacing w:after="0" w:line="240" w:lineRule="auto"/>
        <w:rPr>
          <w:rFonts w:ascii="Open Sans" w:hAnsi="Open Sans" w:cs="Open Sans"/>
          <w:b/>
          <w:bCs/>
        </w:rPr>
      </w:pPr>
      <w:r w:rsidRPr="00E06151">
        <w:rPr>
          <w:rFonts w:ascii="Open Sans" w:hAnsi="Open Sans" w:cs="Open Sans"/>
          <w:b/>
          <w:bCs/>
        </w:rPr>
        <w:t>Question 8: Do you believe that other supporting changes are required to accommodate</w:t>
      </w:r>
      <w:r w:rsidR="00E06151">
        <w:rPr>
          <w:rFonts w:ascii="Open Sans" w:hAnsi="Open Sans" w:cs="Open Sans"/>
          <w:b/>
          <w:bCs/>
        </w:rPr>
        <w:t xml:space="preserve"> </w:t>
      </w:r>
      <w:r w:rsidRPr="00E06151">
        <w:rPr>
          <w:rFonts w:ascii="Open Sans" w:hAnsi="Open Sans" w:cs="Open Sans"/>
          <w:b/>
          <w:bCs/>
        </w:rPr>
        <w:t>the proposals set out in question 6, for example changes to testing arrangements?</w:t>
      </w:r>
    </w:p>
    <w:p w14:paraId="1D34D053" w14:textId="77777777" w:rsidR="00CD4D25" w:rsidRPr="00E06151" w:rsidRDefault="00CD4D25" w:rsidP="00CD4D25">
      <w:pPr>
        <w:spacing w:after="0" w:line="240" w:lineRule="auto"/>
        <w:rPr>
          <w:rFonts w:ascii="Open Sans" w:hAnsi="Open Sans" w:cs="Open Sans"/>
        </w:rPr>
      </w:pPr>
    </w:p>
    <w:p w14:paraId="67ADFC3C" w14:textId="0A2332B2" w:rsidR="00685D1D" w:rsidRPr="00E06151" w:rsidRDefault="00685D1D" w:rsidP="00685D1D">
      <w:pPr>
        <w:spacing w:after="0" w:line="240" w:lineRule="auto"/>
        <w:rPr>
          <w:rFonts w:ascii="Open Sans" w:hAnsi="Open Sans" w:cs="Open Sans"/>
        </w:rPr>
      </w:pPr>
      <w:r w:rsidRPr="00E06151">
        <w:rPr>
          <w:rFonts w:ascii="Open Sans" w:hAnsi="Open Sans" w:cs="Open Sans"/>
        </w:rPr>
        <w:t xml:space="preserve">Proposals in Question 6 will add a level of policy risk, as storage sites could still be automatically ejected from the capacity market contracts if they fail an EPT, having not carried out sufficient augmentation activities. To help de-risk this, it is important that guidance allows time for a CMU to react and make augmentations if they fail </w:t>
      </w:r>
      <w:proofErr w:type="gramStart"/>
      <w:r w:rsidRPr="00E06151">
        <w:rPr>
          <w:rFonts w:ascii="Open Sans" w:hAnsi="Open Sans" w:cs="Open Sans"/>
        </w:rPr>
        <w:t>a</w:t>
      </w:r>
      <w:proofErr w:type="gramEnd"/>
      <w:r w:rsidRPr="00E06151">
        <w:rPr>
          <w:rFonts w:ascii="Open Sans" w:hAnsi="Open Sans" w:cs="Open Sans"/>
        </w:rPr>
        <w:t xml:space="preserve"> EPT, </w:t>
      </w:r>
      <w:r w:rsidRPr="00E06151">
        <w:rPr>
          <w:rFonts w:ascii="Open Sans" w:hAnsi="Open Sans" w:cs="Open Sans"/>
        </w:rPr>
        <w:lastRenderedPageBreak/>
        <w:t xml:space="preserve">rather than automatically immediately being ejected. </w:t>
      </w:r>
      <w:r w:rsidR="007034B8" w:rsidRPr="00E06151">
        <w:rPr>
          <w:rFonts w:ascii="Open Sans" w:hAnsi="Open Sans" w:cs="Open Sans"/>
        </w:rPr>
        <w:t>This will ensure that projects are given the chance to main</w:t>
      </w:r>
      <w:r w:rsidR="00E070DE">
        <w:rPr>
          <w:rFonts w:ascii="Open Sans" w:hAnsi="Open Sans" w:cs="Open Sans"/>
        </w:rPr>
        <w:t xml:space="preserve">tain </w:t>
      </w:r>
      <w:r w:rsidR="007034B8" w:rsidRPr="00E06151">
        <w:rPr>
          <w:rFonts w:ascii="Open Sans" w:hAnsi="Open Sans" w:cs="Open Sans"/>
        </w:rPr>
        <w:t xml:space="preserve">capacity. </w:t>
      </w:r>
    </w:p>
    <w:p w14:paraId="4C2003FD" w14:textId="77777777" w:rsidR="007034B8" w:rsidRPr="00E06151" w:rsidRDefault="007034B8" w:rsidP="00685D1D">
      <w:pPr>
        <w:spacing w:after="0" w:line="240" w:lineRule="auto"/>
        <w:rPr>
          <w:rFonts w:ascii="Open Sans" w:hAnsi="Open Sans" w:cs="Open Sans"/>
        </w:rPr>
      </w:pPr>
    </w:p>
    <w:p w14:paraId="7F137284" w14:textId="27859F59" w:rsidR="000A3322" w:rsidRPr="00E06151" w:rsidRDefault="000A3322" w:rsidP="002A3415">
      <w:pPr>
        <w:spacing w:after="0" w:line="240" w:lineRule="auto"/>
        <w:rPr>
          <w:rFonts w:ascii="Open Sans" w:hAnsi="Open Sans" w:cs="Open Sans"/>
          <w:b/>
          <w:bCs/>
        </w:rPr>
      </w:pPr>
      <w:r w:rsidRPr="00E06151">
        <w:rPr>
          <w:rFonts w:ascii="Open Sans" w:hAnsi="Open Sans" w:cs="Open Sans"/>
          <w:b/>
          <w:bCs/>
        </w:rPr>
        <w:t>Question 9: Noting the considerations outlined in section 6.1 of the consultation, do you</w:t>
      </w:r>
      <w:r w:rsidR="00E06151">
        <w:rPr>
          <w:rFonts w:ascii="Open Sans" w:hAnsi="Open Sans" w:cs="Open Sans"/>
          <w:b/>
          <w:bCs/>
        </w:rPr>
        <w:t xml:space="preserve"> </w:t>
      </w:r>
      <w:r w:rsidRPr="00E06151">
        <w:rPr>
          <w:rFonts w:ascii="Open Sans" w:hAnsi="Open Sans" w:cs="Open Sans"/>
          <w:b/>
          <w:bCs/>
        </w:rPr>
        <w:t>have any further comments or concerns regarding the retention of the EPT framework</w:t>
      </w:r>
      <w:r w:rsidR="00E06151">
        <w:rPr>
          <w:rFonts w:ascii="Open Sans" w:hAnsi="Open Sans" w:cs="Open Sans"/>
          <w:b/>
          <w:bCs/>
        </w:rPr>
        <w:t xml:space="preserve"> </w:t>
      </w:r>
      <w:r w:rsidRPr="00E06151">
        <w:rPr>
          <w:rFonts w:ascii="Open Sans" w:hAnsi="Open Sans" w:cs="Open Sans"/>
          <w:b/>
          <w:bCs/>
        </w:rPr>
        <w:t>for storage CMUs? Are there any further required changes which have not been</w:t>
      </w:r>
      <w:r w:rsidR="00E06151">
        <w:rPr>
          <w:rFonts w:ascii="Open Sans" w:hAnsi="Open Sans" w:cs="Open Sans"/>
          <w:b/>
          <w:bCs/>
        </w:rPr>
        <w:t xml:space="preserve"> </w:t>
      </w:r>
      <w:r w:rsidRPr="00E06151">
        <w:rPr>
          <w:rFonts w:ascii="Open Sans" w:hAnsi="Open Sans" w:cs="Open Sans"/>
          <w:b/>
          <w:bCs/>
        </w:rPr>
        <w:t>identified or considered?</w:t>
      </w:r>
    </w:p>
    <w:p w14:paraId="5F72765B" w14:textId="77777777" w:rsidR="002A3415" w:rsidRPr="00E06151" w:rsidRDefault="002A3415" w:rsidP="002A3415">
      <w:pPr>
        <w:spacing w:after="0" w:line="240" w:lineRule="auto"/>
        <w:rPr>
          <w:rFonts w:ascii="Open Sans" w:hAnsi="Open Sans" w:cs="Open Sans"/>
        </w:rPr>
      </w:pPr>
    </w:p>
    <w:p w14:paraId="4D101D70" w14:textId="035C8623" w:rsidR="00702EE1" w:rsidRPr="00E06151" w:rsidRDefault="002A3415" w:rsidP="00702EE1">
      <w:pPr>
        <w:spacing w:after="0" w:line="240" w:lineRule="auto"/>
        <w:rPr>
          <w:rFonts w:ascii="Open Sans" w:hAnsi="Open Sans" w:cs="Open Sans"/>
        </w:rPr>
      </w:pPr>
      <w:r w:rsidRPr="00E06151">
        <w:rPr>
          <w:rFonts w:ascii="Open Sans" w:hAnsi="Open Sans" w:cs="Open Sans"/>
        </w:rPr>
        <w:t xml:space="preserve">The REA would still support </w:t>
      </w:r>
      <w:r w:rsidR="00702EE1" w:rsidRPr="00E06151">
        <w:rPr>
          <w:rFonts w:ascii="Open Sans" w:hAnsi="Open Sans" w:cs="Open Sans"/>
        </w:rPr>
        <w:t>an approach that sees the removal of automatic termination for failing a</w:t>
      </w:r>
      <w:r w:rsidR="00E070DE">
        <w:rPr>
          <w:rFonts w:ascii="Open Sans" w:hAnsi="Open Sans" w:cs="Open Sans"/>
        </w:rPr>
        <w:t>n</w:t>
      </w:r>
      <w:r w:rsidR="00702EE1" w:rsidRPr="00E06151">
        <w:rPr>
          <w:rFonts w:ascii="Open Sans" w:hAnsi="Open Sans" w:cs="Open Sans"/>
        </w:rPr>
        <w:t xml:space="preserve"> EPT, accompanied by a changing applicable de-rating factor that reflects the change in available capacity over time. This approach would see less impact on developer costs and bidding levels, while still preventing good volumes from being prematurely ejected. </w:t>
      </w:r>
    </w:p>
    <w:p w14:paraId="6E82E00D" w14:textId="77777777" w:rsidR="002A3415" w:rsidRPr="00E06151" w:rsidRDefault="002A3415" w:rsidP="002A3415">
      <w:pPr>
        <w:spacing w:after="0" w:line="240" w:lineRule="auto"/>
        <w:rPr>
          <w:rFonts w:ascii="Open Sans" w:hAnsi="Open Sans" w:cs="Open Sans"/>
        </w:rPr>
      </w:pPr>
    </w:p>
    <w:p w14:paraId="013FAFB2" w14:textId="5722671A" w:rsidR="000A3322" w:rsidRPr="00E06151" w:rsidRDefault="000A3322" w:rsidP="0035097B">
      <w:pPr>
        <w:spacing w:after="0" w:line="240" w:lineRule="auto"/>
        <w:rPr>
          <w:rFonts w:ascii="Open Sans" w:hAnsi="Open Sans" w:cs="Open Sans"/>
          <w:b/>
          <w:bCs/>
        </w:rPr>
      </w:pPr>
      <w:r w:rsidRPr="00E06151">
        <w:rPr>
          <w:rFonts w:ascii="Open Sans" w:hAnsi="Open Sans" w:cs="Open Sans"/>
          <w:b/>
          <w:bCs/>
        </w:rPr>
        <w:t>Question 10: Do you have any further views on the proposed 3-year or 9-year agreement</w:t>
      </w:r>
      <w:r w:rsidR="00E06151">
        <w:rPr>
          <w:rFonts w:ascii="Open Sans" w:hAnsi="Open Sans" w:cs="Open Sans"/>
          <w:b/>
          <w:bCs/>
        </w:rPr>
        <w:t xml:space="preserve"> </w:t>
      </w:r>
      <w:r w:rsidRPr="00E06151">
        <w:rPr>
          <w:rFonts w:ascii="Open Sans" w:hAnsi="Open Sans" w:cs="Open Sans"/>
          <w:b/>
          <w:bCs/>
        </w:rPr>
        <w:t>proposals?</w:t>
      </w:r>
    </w:p>
    <w:p w14:paraId="350F3BB1" w14:textId="77777777" w:rsidR="00D21A3B" w:rsidRDefault="00D21A3B" w:rsidP="000A3322">
      <w:pPr>
        <w:rPr>
          <w:rFonts w:ascii="Open Sans" w:hAnsi="Open Sans" w:cs="Open Sans"/>
        </w:rPr>
      </w:pPr>
    </w:p>
    <w:p w14:paraId="14015D84" w14:textId="1EBC3378" w:rsidR="000C0FEC" w:rsidRPr="00E06151" w:rsidRDefault="000C0FEC" w:rsidP="000A3322">
      <w:pPr>
        <w:rPr>
          <w:rFonts w:ascii="Open Sans" w:hAnsi="Open Sans" w:cs="Open Sans"/>
        </w:rPr>
      </w:pPr>
      <w:r w:rsidRPr="00E06151">
        <w:rPr>
          <w:rFonts w:ascii="Open Sans" w:hAnsi="Open Sans" w:cs="Open Sans"/>
        </w:rPr>
        <w:t>The REA are supportive of the prop</w:t>
      </w:r>
      <w:r w:rsidR="00D7197C" w:rsidRPr="00E06151">
        <w:rPr>
          <w:rFonts w:ascii="Open Sans" w:hAnsi="Open Sans" w:cs="Open Sans"/>
        </w:rPr>
        <w:t xml:space="preserve">osal </w:t>
      </w:r>
      <w:r w:rsidR="00620AB8" w:rsidRPr="00E06151">
        <w:rPr>
          <w:rFonts w:ascii="Open Sans" w:hAnsi="Open Sans" w:cs="Open Sans"/>
        </w:rPr>
        <w:t xml:space="preserve">to bring forward </w:t>
      </w:r>
      <w:r w:rsidR="00BC1205" w:rsidRPr="00E06151">
        <w:rPr>
          <w:rFonts w:ascii="Open Sans" w:hAnsi="Open Sans" w:cs="Open Sans"/>
        </w:rPr>
        <w:t xml:space="preserve">3-year and 9-year agreements. </w:t>
      </w:r>
      <w:proofErr w:type="gramStart"/>
      <w:r w:rsidR="008022DD" w:rsidRPr="00E06151">
        <w:rPr>
          <w:rFonts w:ascii="Open Sans" w:hAnsi="Open Sans" w:cs="Open Sans"/>
        </w:rPr>
        <w:t>However</w:t>
      </w:r>
      <w:proofErr w:type="gramEnd"/>
      <w:r w:rsidR="00BC1205" w:rsidRPr="00E06151">
        <w:rPr>
          <w:rFonts w:ascii="Open Sans" w:hAnsi="Open Sans" w:cs="Open Sans"/>
        </w:rPr>
        <w:t xml:space="preserve"> continue to make the following points, </w:t>
      </w:r>
      <w:r w:rsidR="008022DD" w:rsidRPr="00E06151">
        <w:rPr>
          <w:rFonts w:ascii="Open Sans" w:hAnsi="Open Sans" w:cs="Open Sans"/>
        </w:rPr>
        <w:t>raised</w:t>
      </w:r>
      <w:r w:rsidR="00BC1205" w:rsidRPr="00E06151">
        <w:rPr>
          <w:rFonts w:ascii="Open Sans" w:hAnsi="Open Sans" w:cs="Open Sans"/>
        </w:rPr>
        <w:t xml:space="preserve"> in the previous </w:t>
      </w:r>
      <w:r w:rsidR="008022DD" w:rsidRPr="00E06151">
        <w:rPr>
          <w:rFonts w:ascii="Open Sans" w:hAnsi="Open Sans" w:cs="Open Sans"/>
        </w:rPr>
        <w:t>consultation</w:t>
      </w:r>
      <w:r w:rsidR="00BC1205" w:rsidRPr="00E06151">
        <w:rPr>
          <w:rFonts w:ascii="Open Sans" w:hAnsi="Open Sans" w:cs="Open Sans"/>
        </w:rPr>
        <w:t xml:space="preserve">, but not yet addressed in the current proposals. </w:t>
      </w:r>
    </w:p>
    <w:p w14:paraId="6D75C21B" w14:textId="2EF979E5" w:rsidR="000C0FEC" w:rsidRPr="00E06151" w:rsidRDefault="00980E9A" w:rsidP="008022DD">
      <w:pPr>
        <w:pStyle w:val="ListParagraph"/>
        <w:numPr>
          <w:ilvl w:val="0"/>
          <w:numId w:val="4"/>
        </w:numPr>
        <w:rPr>
          <w:rFonts w:ascii="Open Sans" w:hAnsi="Open Sans" w:cs="Open Sans"/>
        </w:rPr>
      </w:pPr>
      <w:r w:rsidRPr="00E06151">
        <w:rPr>
          <w:rFonts w:ascii="Open Sans" w:hAnsi="Open Sans" w:cs="Open Sans"/>
        </w:rPr>
        <w:t>T</w:t>
      </w:r>
      <w:r w:rsidR="00784EA5" w:rsidRPr="00E06151">
        <w:rPr>
          <w:rFonts w:ascii="Open Sans" w:hAnsi="Open Sans" w:cs="Open Sans"/>
        </w:rPr>
        <w:t xml:space="preserve">he current design of 3-year </w:t>
      </w:r>
      <w:r w:rsidR="009A28CE" w:rsidRPr="00E06151">
        <w:rPr>
          <w:rFonts w:ascii="Open Sans" w:hAnsi="Open Sans" w:cs="Open Sans"/>
        </w:rPr>
        <w:t>agreement</w:t>
      </w:r>
      <w:r w:rsidR="00784EA5" w:rsidRPr="00E06151">
        <w:rPr>
          <w:rFonts w:ascii="Open Sans" w:hAnsi="Open Sans" w:cs="Open Sans"/>
        </w:rPr>
        <w:t xml:space="preserve"> for low </w:t>
      </w:r>
      <w:r w:rsidR="009A28CE" w:rsidRPr="00E06151">
        <w:rPr>
          <w:rFonts w:ascii="Open Sans" w:hAnsi="Open Sans" w:cs="Open Sans"/>
        </w:rPr>
        <w:t>carbon</w:t>
      </w:r>
      <w:r w:rsidR="00784EA5" w:rsidRPr="00E06151">
        <w:rPr>
          <w:rFonts w:ascii="Open Sans" w:hAnsi="Open Sans" w:cs="Open Sans"/>
        </w:rPr>
        <w:t>, low capex CMUs</w:t>
      </w:r>
      <w:r w:rsidR="00650271" w:rsidRPr="00E06151">
        <w:rPr>
          <w:rFonts w:ascii="Open Sans" w:hAnsi="Open Sans" w:cs="Open Sans"/>
        </w:rPr>
        <w:t xml:space="preserve"> will likely only really benefit DSR application, rather </w:t>
      </w:r>
      <w:proofErr w:type="gramStart"/>
      <w:r w:rsidR="00650271" w:rsidRPr="00E06151">
        <w:rPr>
          <w:rFonts w:ascii="Open Sans" w:hAnsi="Open Sans" w:cs="Open Sans"/>
        </w:rPr>
        <w:t>then</w:t>
      </w:r>
      <w:proofErr w:type="gramEnd"/>
      <w:r w:rsidR="00650271" w:rsidRPr="00E06151">
        <w:rPr>
          <w:rFonts w:ascii="Open Sans" w:hAnsi="Open Sans" w:cs="Open Sans"/>
        </w:rPr>
        <w:t xml:space="preserve"> help delivery of new low carbon capacity. </w:t>
      </w:r>
    </w:p>
    <w:p w14:paraId="293061CA" w14:textId="5B9D3DB2" w:rsidR="007E4CD9" w:rsidRPr="00E06151" w:rsidRDefault="007E4CD9" w:rsidP="008022DD">
      <w:pPr>
        <w:pStyle w:val="ListParagraph"/>
        <w:numPr>
          <w:ilvl w:val="0"/>
          <w:numId w:val="4"/>
        </w:numPr>
        <w:rPr>
          <w:rFonts w:ascii="Open Sans" w:hAnsi="Open Sans" w:cs="Open Sans"/>
        </w:rPr>
      </w:pPr>
      <w:r w:rsidRPr="00E06151">
        <w:rPr>
          <w:rFonts w:ascii="Open Sans" w:hAnsi="Open Sans" w:cs="Open Sans"/>
        </w:rPr>
        <w:t>Given the expected shortfall in capacity resulting from decarbonisation activities in the CM, the proposed 3-year agreement should be extended to low carbon refurbs. This 3-year agreement could, therefore, be used to extend the lifespan of a low-carbon asset where the main capex has already been invested several years before the auction. It is recognised that appropriate eligibility criteria would need to be developed to ensure further investment is focused on decarbonisation activities and it is helping to meet the shortfall in capacity.</w:t>
      </w:r>
    </w:p>
    <w:p w14:paraId="2190A84C" w14:textId="1F9EB420" w:rsidR="00980E9A" w:rsidRPr="00E06151" w:rsidRDefault="00980E9A" w:rsidP="008022DD">
      <w:pPr>
        <w:pStyle w:val="ListParagraph"/>
        <w:numPr>
          <w:ilvl w:val="0"/>
          <w:numId w:val="4"/>
        </w:numPr>
        <w:rPr>
          <w:rFonts w:ascii="Open Sans" w:hAnsi="Open Sans" w:cs="Open Sans"/>
        </w:rPr>
      </w:pPr>
      <w:r w:rsidRPr="00E06151">
        <w:rPr>
          <w:rFonts w:ascii="Open Sans" w:hAnsi="Open Sans" w:cs="Open Sans"/>
        </w:rPr>
        <w:t>This could also have positive interaction with low-carbon assets coming to the end of their existing support mechanisms, such as the Renewable Obligation, with projects starting to come to the end of their contracts in 2027. A three-year CM agreement could potentially be used as a useful mechanism for repowering and extending the life of such assets</w:t>
      </w:r>
      <w:r w:rsidR="00931C70" w:rsidRPr="00E06151">
        <w:rPr>
          <w:rFonts w:ascii="Open Sans" w:hAnsi="Open Sans" w:cs="Open Sans"/>
        </w:rPr>
        <w:t xml:space="preserve">, where much of the capex has been spent in the year prior. </w:t>
      </w:r>
    </w:p>
    <w:p w14:paraId="265F3EDA" w14:textId="7B3BC5AD" w:rsidR="0014151D" w:rsidRPr="00E06151" w:rsidRDefault="00CD0652" w:rsidP="0014151D">
      <w:pPr>
        <w:pStyle w:val="ListParagraph"/>
        <w:numPr>
          <w:ilvl w:val="0"/>
          <w:numId w:val="4"/>
        </w:numPr>
        <w:rPr>
          <w:rFonts w:ascii="Open Sans" w:hAnsi="Open Sans" w:cs="Open Sans"/>
        </w:rPr>
      </w:pPr>
      <w:r w:rsidRPr="00E06151">
        <w:rPr>
          <w:rFonts w:ascii="Open Sans" w:hAnsi="Open Sans" w:cs="Open Sans"/>
        </w:rPr>
        <w:t>A</w:t>
      </w:r>
      <w:r w:rsidR="008022DD" w:rsidRPr="00E06151">
        <w:rPr>
          <w:rFonts w:ascii="Open Sans" w:hAnsi="Open Sans" w:cs="Open Sans"/>
        </w:rPr>
        <w:t>dditional multi-year offerings, specifically for low carbon technologies should be introduced, which this 9-year capex requirement could form part of the eligibility criteria for.</w:t>
      </w:r>
    </w:p>
    <w:p w14:paraId="25EB1A80" w14:textId="6E3379B6" w:rsidR="007E4CD9" w:rsidRPr="00E06151" w:rsidRDefault="007E4CD9" w:rsidP="0014151D">
      <w:pPr>
        <w:pStyle w:val="ListParagraph"/>
        <w:numPr>
          <w:ilvl w:val="0"/>
          <w:numId w:val="4"/>
        </w:numPr>
        <w:rPr>
          <w:rFonts w:ascii="Open Sans" w:hAnsi="Open Sans" w:cs="Open Sans"/>
        </w:rPr>
      </w:pPr>
      <w:r w:rsidRPr="00E06151">
        <w:rPr>
          <w:rFonts w:ascii="Open Sans" w:hAnsi="Open Sans" w:cs="Open Sans"/>
        </w:rPr>
        <w:t>With the above in mind</w:t>
      </w:r>
      <w:r w:rsidR="00A44432">
        <w:rPr>
          <w:rFonts w:ascii="Open Sans" w:hAnsi="Open Sans" w:cs="Open Sans"/>
        </w:rPr>
        <w:t xml:space="preserve">, </w:t>
      </w:r>
      <w:proofErr w:type="gramStart"/>
      <w:r w:rsidRPr="00E06151">
        <w:rPr>
          <w:rFonts w:ascii="Open Sans" w:hAnsi="Open Sans" w:cs="Open Sans"/>
        </w:rPr>
        <w:t>it</w:t>
      </w:r>
      <w:proofErr w:type="gramEnd"/>
      <w:r w:rsidRPr="00E06151">
        <w:rPr>
          <w:rFonts w:ascii="Open Sans" w:hAnsi="Open Sans" w:cs="Open Sans"/>
        </w:rPr>
        <w:t xml:space="preserve"> crucial hat the developmnet of both 3 and 9-year agreement aligns with the developmnet of </w:t>
      </w:r>
      <w:r w:rsidR="00E462AB" w:rsidRPr="00E06151">
        <w:rPr>
          <w:rFonts w:ascii="Open Sans" w:hAnsi="Open Sans" w:cs="Open Sans"/>
        </w:rPr>
        <w:t xml:space="preserve">CCUS business models, so that those who </w:t>
      </w:r>
      <w:r w:rsidR="0014151D" w:rsidRPr="00E06151">
        <w:rPr>
          <w:rFonts w:ascii="Open Sans" w:hAnsi="Open Sans" w:cs="Open Sans"/>
        </w:rPr>
        <w:t>utilise</w:t>
      </w:r>
      <w:r w:rsidR="00E462AB" w:rsidRPr="00E06151">
        <w:rPr>
          <w:rFonts w:ascii="Open Sans" w:hAnsi="Open Sans" w:cs="Open Sans"/>
        </w:rPr>
        <w:t xml:space="preserve"> these support mechanisms are neither excluded from bidding </w:t>
      </w:r>
      <w:r w:rsidR="0014151D" w:rsidRPr="00E06151">
        <w:rPr>
          <w:rFonts w:ascii="Open Sans" w:hAnsi="Open Sans" w:cs="Open Sans"/>
        </w:rPr>
        <w:t xml:space="preserve">into the CM, </w:t>
      </w:r>
      <w:r w:rsidR="00FC631A" w:rsidRPr="00E06151">
        <w:rPr>
          <w:rFonts w:ascii="Open Sans" w:hAnsi="Open Sans" w:cs="Open Sans"/>
        </w:rPr>
        <w:t xml:space="preserve">or existing CMUs are not excluded from applying for CCUS support. </w:t>
      </w:r>
    </w:p>
    <w:p w14:paraId="4BE8EE4D" w14:textId="757D7C96" w:rsidR="00706E75" w:rsidRPr="00E06151" w:rsidRDefault="00706E75" w:rsidP="0014151D">
      <w:pPr>
        <w:pStyle w:val="ListParagraph"/>
        <w:numPr>
          <w:ilvl w:val="0"/>
          <w:numId w:val="4"/>
        </w:numPr>
        <w:rPr>
          <w:rFonts w:ascii="Open Sans" w:hAnsi="Open Sans" w:cs="Open Sans"/>
        </w:rPr>
      </w:pPr>
      <w:r w:rsidRPr="00E06151">
        <w:rPr>
          <w:rFonts w:ascii="Open Sans" w:hAnsi="Open Sans" w:cs="Open Sans"/>
        </w:rPr>
        <w:lastRenderedPageBreak/>
        <w:t>In relation to the emission limit, further review and guidance of the yearly emission limit should be done, with the possibility of seeing this reduced over time. Given the intention to align the Capacity Market to net zero targets, the target itself should be based on the emissions of low carbon generation needed by 2035, rather than gas generation, as is currently the case.</w:t>
      </w:r>
      <w:r w:rsidR="00204509" w:rsidRPr="00E06151">
        <w:rPr>
          <w:rFonts w:ascii="Open Sans" w:hAnsi="Open Sans" w:cs="Open Sans"/>
        </w:rPr>
        <w:t xml:space="preserve"> This should include consideration of the future carbon intensity of the gas grid itself, given the likely decarbonisation potential as biomethane and hydrogen enter the gas grid, as well as reductions in overall gas demand. This could mean the emission thresholds could allow for an increase in the running hours of gas-peaking plants, even if the yearly emission limit is kept at the same level today.</w:t>
      </w:r>
    </w:p>
    <w:p w14:paraId="224292CC" w14:textId="77777777" w:rsidR="00A875EC" w:rsidRPr="00E06151" w:rsidRDefault="00A875EC" w:rsidP="0014151D">
      <w:pPr>
        <w:spacing w:after="0" w:line="240" w:lineRule="auto"/>
        <w:rPr>
          <w:rFonts w:ascii="Open Sans" w:hAnsi="Open Sans" w:cs="Open Sans"/>
          <w:b/>
          <w:bCs/>
        </w:rPr>
      </w:pPr>
    </w:p>
    <w:p w14:paraId="7946355F" w14:textId="5F0845BD" w:rsidR="000A3322" w:rsidRPr="00E06151" w:rsidRDefault="000A3322" w:rsidP="000F62D9">
      <w:pPr>
        <w:spacing w:after="0" w:line="240" w:lineRule="auto"/>
        <w:rPr>
          <w:rFonts w:ascii="Open Sans" w:hAnsi="Open Sans" w:cs="Open Sans"/>
          <w:b/>
          <w:bCs/>
        </w:rPr>
      </w:pPr>
      <w:r w:rsidRPr="00E06151">
        <w:rPr>
          <w:rFonts w:ascii="Open Sans" w:hAnsi="Open Sans" w:cs="Open Sans"/>
          <w:b/>
          <w:bCs/>
        </w:rPr>
        <w:t>Question 11: Do you agree with the proposed introduction of Declared Long Stops, both</w:t>
      </w:r>
      <w:r w:rsidR="00E06151">
        <w:rPr>
          <w:rFonts w:ascii="Open Sans" w:hAnsi="Open Sans" w:cs="Open Sans"/>
          <w:b/>
          <w:bCs/>
        </w:rPr>
        <w:t xml:space="preserve"> </w:t>
      </w:r>
      <w:r w:rsidRPr="00E06151">
        <w:rPr>
          <w:rFonts w:ascii="Open Sans" w:hAnsi="Open Sans" w:cs="Open Sans"/>
          <w:b/>
          <w:bCs/>
        </w:rPr>
        <w:t>12- and 24-month options, to accommodate low carbon projects with long build times in</w:t>
      </w:r>
      <w:r w:rsidR="00E06151">
        <w:rPr>
          <w:rFonts w:ascii="Open Sans" w:hAnsi="Open Sans" w:cs="Open Sans"/>
          <w:b/>
          <w:bCs/>
        </w:rPr>
        <w:t xml:space="preserve"> </w:t>
      </w:r>
      <w:r w:rsidRPr="00E06151">
        <w:rPr>
          <w:rFonts w:ascii="Open Sans" w:hAnsi="Open Sans" w:cs="Open Sans"/>
          <w:b/>
          <w:bCs/>
        </w:rPr>
        <w:t>the CM?</w:t>
      </w:r>
    </w:p>
    <w:p w14:paraId="14CA47D1" w14:textId="77777777" w:rsidR="000F62D9" w:rsidRPr="00E06151" w:rsidRDefault="000F62D9" w:rsidP="000F62D9">
      <w:pPr>
        <w:spacing w:after="0" w:line="240" w:lineRule="auto"/>
        <w:rPr>
          <w:rFonts w:ascii="Open Sans" w:hAnsi="Open Sans" w:cs="Open Sans"/>
        </w:rPr>
      </w:pPr>
    </w:p>
    <w:p w14:paraId="0303918B" w14:textId="2DCC61A2" w:rsidR="00F97B74" w:rsidRPr="00E06151" w:rsidRDefault="00270C81" w:rsidP="000F62D9">
      <w:pPr>
        <w:spacing w:after="0" w:line="240" w:lineRule="auto"/>
        <w:rPr>
          <w:rFonts w:ascii="Open Sans" w:hAnsi="Open Sans" w:cs="Open Sans"/>
        </w:rPr>
      </w:pPr>
      <w:r w:rsidRPr="00E06151">
        <w:rPr>
          <w:rFonts w:ascii="Open Sans" w:hAnsi="Open Sans" w:cs="Open Sans"/>
        </w:rPr>
        <w:t xml:space="preserve">The REA are supportive of the introduction of </w:t>
      </w:r>
      <w:r w:rsidR="00A875EC" w:rsidRPr="00E06151">
        <w:rPr>
          <w:rFonts w:ascii="Open Sans" w:hAnsi="Open Sans" w:cs="Open Sans"/>
        </w:rPr>
        <w:t xml:space="preserve">declared long stop dates to assist the delivery of </w:t>
      </w:r>
      <w:r w:rsidR="0008445F" w:rsidRPr="00E06151">
        <w:rPr>
          <w:rFonts w:ascii="Open Sans" w:hAnsi="Open Sans" w:cs="Open Sans"/>
        </w:rPr>
        <w:t xml:space="preserve">low carbon capacity </w:t>
      </w:r>
      <w:r w:rsidR="00A875EC" w:rsidRPr="00E06151">
        <w:rPr>
          <w:rFonts w:ascii="Open Sans" w:hAnsi="Open Sans" w:cs="Open Sans"/>
        </w:rPr>
        <w:t xml:space="preserve">projects </w:t>
      </w:r>
      <w:r w:rsidR="0008445F" w:rsidRPr="00E06151">
        <w:rPr>
          <w:rFonts w:ascii="Open Sans" w:hAnsi="Open Sans" w:cs="Open Sans"/>
        </w:rPr>
        <w:t xml:space="preserve">that have </w:t>
      </w:r>
      <w:r w:rsidR="00A875EC" w:rsidRPr="00E06151">
        <w:rPr>
          <w:rFonts w:ascii="Open Sans" w:hAnsi="Open Sans" w:cs="Open Sans"/>
        </w:rPr>
        <w:t xml:space="preserve">long build times. </w:t>
      </w:r>
      <w:r w:rsidR="00A21C57" w:rsidRPr="00E06151">
        <w:rPr>
          <w:rFonts w:ascii="Open Sans" w:hAnsi="Open Sans" w:cs="Open Sans"/>
        </w:rPr>
        <w:t xml:space="preserve">Such provision will help to de-risk </w:t>
      </w:r>
      <w:r w:rsidR="00331022" w:rsidRPr="00E06151">
        <w:rPr>
          <w:rFonts w:ascii="Open Sans" w:hAnsi="Open Sans" w:cs="Open Sans"/>
        </w:rPr>
        <w:t xml:space="preserve">projects that may </w:t>
      </w:r>
      <w:r w:rsidR="00794EE7" w:rsidRPr="00E06151">
        <w:rPr>
          <w:rFonts w:ascii="Open Sans" w:hAnsi="Open Sans" w:cs="Open Sans"/>
        </w:rPr>
        <w:t>otherwise</w:t>
      </w:r>
      <w:r w:rsidR="00331022" w:rsidRPr="00E06151">
        <w:rPr>
          <w:rFonts w:ascii="Open Sans" w:hAnsi="Open Sans" w:cs="Open Sans"/>
        </w:rPr>
        <w:t xml:space="preserve"> find it hard to </w:t>
      </w:r>
      <w:r w:rsidR="00794EE7" w:rsidRPr="00E06151">
        <w:rPr>
          <w:rFonts w:ascii="Open Sans" w:hAnsi="Open Sans" w:cs="Open Sans"/>
        </w:rPr>
        <w:t xml:space="preserve">commit to capacity contracts. </w:t>
      </w:r>
    </w:p>
    <w:p w14:paraId="476B76B7" w14:textId="77777777" w:rsidR="004656E8" w:rsidRDefault="004656E8" w:rsidP="000A3322">
      <w:pPr>
        <w:rPr>
          <w:rFonts w:ascii="Open Sans" w:hAnsi="Open Sans" w:cs="Open Sans"/>
          <w:b/>
          <w:bCs/>
        </w:rPr>
      </w:pPr>
    </w:p>
    <w:p w14:paraId="3B7369C7" w14:textId="546525E4" w:rsidR="000A3322" w:rsidRPr="00E06151" w:rsidRDefault="000A3322" w:rsidP="000A3322">
      <w:pPr>
        <w:rPr>
          <w:rFonts w:ascii="Open Sans" w:hAnsi="Open Sans" w:cs="Open Sans"/>
          <w:b/>
          <w:bCs/>
        </w:rPr>
      </w:pPr>
      <w:r w:rsidRPr="00E06151">
        <w:rPr>
          <w:rFonts w:ascii="Open Sans" w:hAnsi="Open Sans" w:cs="Open Sans"/>
          <w:b/>
          <w:bCs/>
        </w:rPr>
        <w:t>Question 12: Does the option to declare a (12-month) Long Stop Date provide</w:t>
      </w:r>
      <w:r w:rsidR="00794EE7" w:rsidRPr="00E06151">
        <w:rPr>
          <w:rFonts w:ascii="Open Sans" w:hAnsi="Open Sans" w:cs="Open Sans"/>
          <w:b/>
          <w:bCs/>
        </w:rPr>
        <w:t xml:space="preserve"> </w:t>
      </w:r>
      <w:r w:rsidRPr="00E06151">
        <w:rPr>
          <w:rFonts w:ascii="Open Sans" w:hAnsi="Open Sans" w:cs="Open Sans"/>
          <w:b/>
          <w:bCs/>
        </w:rPr>
        <w:t>developers with any benefits versus relying on the existing Long Stop Date process?</w:t>
      </w:r>
    </w:p>
    <w:p w14:paraId="7F3C5AD3" w14:textId="032F124B" w:rsidR="00657E2E" w:rsidRPr="00E06151" w:rsidRDefault="00794EE7" w:rsidP="000A3322">
      <w:pPr>
        <w:rPr>
          <w:rFonts w:ascii="Open Sans" w:hAnsi="Open Sans" w:cs="Open Sans"/>
        </w:rPr>
      </w:pPr>
      <w:r w:rsidRPr="00E06151">
        <w:rPr>
          <w:rFonts w:ascii="Open Sans" w:hAnsi="Open Sans" w:cs="Open Sans"/>
        </w:rPr>
        <w:t xml:space="preserve">Yes, it will provide greater certainty that </w:t>
      </w:r>
      <w:r w:rsidR="00A83A40" w:rsidRPr="00E06151">
        <w:rPr>
          <w:rFonts w:ascii="Open Sans" w:hAnsi="Open Sans" w:cs="Open Sans"/>
        </w:rPr>
        <w:t xml:space="preserve">there is a further </w:t>
      </w:r>
      <w:r w:rsidR="00EC5B4B" w:rsidRPr="00E06151">
        <w:rPr>
          <w:rFonts w:ascii="Open Sans" w:hAnsi="Open Sans" w:cs="Open Sans"/>
        </w:rPr>
        <w:t>12-month</w:t>
      </w:r>
      <w:r w:rsidR="00A83A40" w:rsidRPr="00E06151">
        <w:rPr>
          <w:rFonts w:ascii="Open Sans" w:hAnsi="Open Sans" w:cs="Open Sans"/>
        </w:rPr>
        <w:t xml:space="preserve"> window for building out the project</w:t>
      </w:r>
      <w:r w:rsidR="002E3398" w:rsidRPr="00E06151">
        <w:rPr>
          <w:rFonts w:ascii="Open Sans" w:hAnsi="Open Sans" w:cs="Open Sans"/>
        </w:rPr>
        <w:t xml:space="preserve"> </w:t>
      </w:r>
      <w:r w:rsidR="00EC5B4B" w:rsidRPr="00E06151">
        <w:rPr>
          <w:rFonts w:ascii="Open Sans" w:hAnsi="Open Sans" w:cs="Open Sans"/>
        </w:rPr>
        <w:t xml:space="preserve">from </w:t>
      </w:r>
      <w:r w:rsidR="002E3398" w:rsidRPr="00E06151">
        <w:rPr>
          <w:rFonts w:ascii="Open Sans" w:hAnsi="Open Sans" w:cs="Open Sans"/>
        </w:rPr>
        <w:t xml:space="preserve">the moment of financial close, rather </w:t>
      </w:r>
      <w:r w:rsidR="00D72717" w:rsidRPr="00E06151">
        <w:rPr>
          <w:rFonts w:ascii="Open Sans" w:hAnsi="Open Sans" w:cs="Open Sans"/>
        </w:rPr>
        <w:t>than</w:t>
      </w:r>
      <w:r w:rsidR="002E3398" w:rsidRPr="00E06151">
        <w:rPr>
          <w:rFonts w:ascii="Open Sans" w:hAnsi="Open Sans" w:cs="Open Sans"/>
        </w:rPr>
        <w:t xml:space="preserve"> having to rely on existing mechanism that only kick in </w:t>
      </w:r>
      <w:proofErr w:type="gramStart"/>
      <w:r w:rsidR="002E3398" w:rsidRPr="00E06151">
        <w:rPr>
          <w:rFonts w:ascii="Open Sans" w:hAnsi="Open Sans" w:cs="Open Sans"/>
        </w:rPr>
        <w:t>later on</w:t>
      </w:r>
      <w:proofErr w:type="gramEnd"/>
      <w:r w:rsidR="002E3398" w:rsidRPr="00E06151">
        <w:rPr>
          <w:rFonts w:ascii="Open Sans" w:hAnsi="Open Sans" w:cs="Open Sans"/>
        </w:rPr>
        <w:t xml:space="preserve"> and could be subject to change or </w:t>
      </w:r>
      <w:r w:rsidR="00EC5B4B" w:rsidRPr="00E06151">
        <w:rPr>
          <w:rFonts w:ascii="Open Sans" w:hAnsi="Open Sans" w:cs="Open Sans"/>
        </w:rPr>
        <w:t xml:space="preserve">specific </w:t>
      </w:r>
      <w:r w:rsidR="002E3398" w:rsidRPr="00E06151">
        <w:rPr>
          <w:rFonts w:ascii="Open Sans" w:hAnsi="Open Sans" w:cs="Open Sans"/>
        </w:rPr>
        <w:t xml:space="preserve">circumstance. </w:t>
      </w:r>
    </w:p>
    <w:p w14:paraId="463B5114" w14:textId="7078F9C2" w:rsidR="000A3322" w:rsidRPr="00E06151" w:rsidRDefault="000A3322" w:rsidP="000A3322">
      <w:pPr>
        <w:rPr>
          <w:rFonts w:ascii="Open Sans" w:hAnsi="Open Sans" w:cs="Open Sans"/>
          <w:b/>
          <w:bCs/>
        </w:rPr>
      </w:pPr>
      <w:r w:rsidRPr="00E06151">
        <w:rPr>
          <w:rFonts w:ascii="Open Sans" w:hAnsi="Open Sans" w:cs="Open Sans"/>
          <w:b/>
          <w:bCs/>
        </w:rPr>
        <w:t>Question 13: Does a Declared Additional (24-month) Long Stop Date, Rule 6.7.7 (if</w:t>
      </w:r>
      <w:r w:rsidR="002E3398" w:rsidRPr="00E06151">
        <w:rPr>
          <w:rFonts w:ascii="Open Sans" w:hAnsi="Open Sans" w:cs="Open Sans"/>
          <w:b/>
          <w:bCs/>
        </w:rPr>
        <w:t xml:space="preserve"> </w:t>
      </w:r>
      <w:r w:rsidRPr="00E06151">
        <w:rPr>
          <w:rFonts w:ascii="Open Sans" w:hAnsi="Open Sans" w:cs="Open Sans"/>
          <w:b/>
          <w:bCs/>
        </w:rPr>
        <w:t>applicable) and the existing 120 working days from a Notice of Intention to Terminate</w:t>
      </w:r>
      <w:r w:rsidR="002E3398" w:rsidRPr="00E06151">
        <w:rPr>
          <w:rFonts w:ascii="Open Sans" w:hAnsi="Open Sans" w:cs="Open Sans"/>
          <w:b/>
          <w:bCs/>
        </w:rPr>
        <w:t xml:space="preserve"> </w:t>
      </w:r>
      <w:r w:rsidRPr="00E06151">
        <w:rPr>
          <w:rFonts w:ascii="Open Sans" w:hAnsi="Open Sans" w:cs="Open Sans"/>
          <w:b/>
          <w:bCs/>
        </w:rPr>
        <w:t>provide sufficient time for slippage, and if not, what would be an appropriate amount of</w:t>
      </w:r>
      <w:r w:rsidR="002E3398" w:rsidRPr="00E06151">
        <w:rPr>
          <w:rFonts w:ascii="Open Sans" w:hAnsi="Open Sans" w:cs="Open Sans"/>
          <w:b/>
          <w:bCs/>
        </w:rPr>
        <w:t xml:space="preserve"> </w:t>
      </w:r>
      <w:r w:rsidRPr="00E06151">
        <w:rPr>
          <w:rFonts w:ascii="Open Sans" w:hAnsi="Open Sans" w:cs="Open Sans"/>
          <w:b/>
          <w:bCs/>
        </w:rPr>
        <w:t>time which would need to be considered?</w:t>
      </w:r>
    </w:p>
    <w:p w14:paraId="7DC73299" w14:textId="77777777" w:rsidR="00ED086F" w:rsidRPr="00E06151" w:rsidRDefault="00E2494C" w:rsidP="000A3322">
      <w:pPr>
        <w:rPr>
          <w:rFonts w:ascii="Open Sans" w:hAnsi="Open Sans" w:cs="Open Sans"/>
        </w:rPr>
      </w:pPr>
      <w:r w:rsidRPr="00E06151">
        <w:rPr>
          <w:rFonts w:ascii="Open Sans" w:hAnsi="Open Sans" w:cs="Open Sans"/>
        </w:rPr>
        <w:t xml:space="preserve">The REA believe the </w:t>
      </w:r>
      <w:r w:rsidR="00CE5B72" w:rsidRPr="00E06151">
        <w:rPr>
          <w:rFonts w:ascii="Open Sans" w:hAnsi="Open Sans" w:cs="Open Sans"/>
        </w:rPr>
        <w:t xml:space="preserve">additional declared 24 month long stop date to be </w:t>
      </w:r>
      <w:proofErr w:type="gramStart"/>
      <w:r w:rsidR="00CE5B72" w:rsidRPr="00E06151">
        <w:rPr>
          <w:rFonts w:ascii="Open Sans" w:hAnsi="Open Sans" w:cs="Open Sans"/>
        </w:rPr>
        <w:t>helpful</w:t>
      </w:r>
      <w:r w:rsidR="00C41C2B" w:rsidRPr="00E06151">
        <w:rPr>
          <w:rFonts w:ascii="Open Sans" w:hAnsi="Open Sans" w:cs="Open Sans"/>
        </w:rPr>
        <w:t>, and</w:t>
      </w:r>
      <w:proofErr w:type="gramEnd"/>
      <w:r w:rsidR="00C41C2B" w:rsidRPr="00E06151">
        <w:rPr>
          <w:rFonts w:ascii="Open Sans" w:hAnsi="Open Sans" w:cs="Open Sans"/>
        </w:rPr>
        <w:t xml:space="preserve"> will cover </w:t>
      </w:r>
      <w:r w:rsidR="00ED086F" w:rsidRPr="00E06151">
        <w:rPr>
          <w:rFonts w:ascii="Open Sans" w:hAnsi="Open Sans" w:cs="Open Sans"/>
        </w:rPr>
        <w:t xml:space="preserve">the majority of </w:t>
      </w:r>
      <w:r w:rsidR="00C41C2B" w:rsidRPr="00E06151">
        <w:rPr>
          <w:rFonts w:ascii="Open Sans" w:hAnsi="Open Sans" w:cs="Open Sans"/>
        </w:rPr>
        <w:t xml:space="preserve">situations where </w:t>
      </w:r>
      <w:r w:rsidR="00DB76D5" w:rsidRPr="00E06151">
        <w:rPr>
          <w:rFonts w:ascii="Open Sans" w:hAnsi="Open Sans" w:cs="Open Sans"/>
        </w:rPr>
        <w:t xml:space="preserve">further build time </w:t>
      </w:r>
      <w:r w:rsidR="00ED086F" w:rsidRPr="00E06151">
        <w:rPr>
          <w:rFonts w:ascii="Open Sans" w:hAnsi="Open Sans" w:cs="Open Sans"/>
        </w:rPr>
        <w:t xml:space="preserve">are </w:t>
      </w:r>
      <w:r w:rsidR="00DB76D5" w:rsidRPr="00E06151">
        <w:rPr>
          <w:rFonts w:ascii="Open Sans" w:hAnsi="Open Sans" w:cs="Open Sans"/>
        </w:rPr>
        <w:t xml:space="preserve">required. </w:t>
      </w:r>
    </w:p>
    <w:p w14:paraId="1297FDA1" w14:textId="6FFBBB38" w:rsidR="00BE6530" w:rsidRPr="00E06151" w:rsidRDefault="00DB76D5" w:rsidP="000A3322">
      <w:pPr>
        <w:rPr>
          <w:rFonts w:ascii="Open Sans" w:hAnsi="Open Sans" w:cs="Open Sans"/>
        </w:rPr>
      </w:pPr>
      <w:r w:rsidRPr="00E06151">
        <w:rPr>
          <w:rFonts w:ascii="Open Sans" w:hAnsi="Open Sans" w:cs="Open Sans"/>
        </w:rPr>
        <w:t xml:space="preserve">There will, however, be specific situations where a further </w:t>
      </w:r>
      <w:r w:rsidR="00B75399" w:rsidRPr="00E06151">
        <w:rPr>
          <w:rFonts w:ascii="Open Sans" w:hAnsi="Open Sans" w:cs="Open Sans"/>
        </w:rPr>
        <w:t xml:space="preserve">pre declared </w:t>
      </w:r>
      <w:r w:rsidRPr="00E06151">
        <w:rPr>
          <w:rFonts w:ascii="Open Sans" w:hAnsi="Open Sans" w:cs="Open Sans"/>
        </w:rPr>
        <w:t>window could be helpful</w:t>
      </w:r>
      <w:r w:rsidR="00556AD7" w:rsidRPr="00E06151">
        <w:rPr>
          <w:rFonts w:ascii="Open Sans" w:hAnsi="Open Sans" w:cs="Open Sans"/>
        </w:rPr>
        <w:t xml:space="preserve">. While the majority could work well within the 24-month, </w:t>
      </w:r>
      <w:r w:rsidR="001B4164" w:rsidRPr="00E06151">
        <w:rPr>
          <w:rFonts w:ascii="Open Sans" w:hAnsi="Open Sans" w:cs="Open Sans"/>
        </w:rPr>
        <w:t>DESNZ should consider a process for bilateral negotiation where applicants could request</w:t>
      </w:r>
      <w:r w:rsidR="00713BE4" w:rsidRPr="00E06151">
        <w:rPr>
          <w:rFonts w:ascii="Open Sans" w:hAnsi="Open Sans" w:cs="Open Sans"/>
        </w:rPr>
        <w:t xml:space="preserve"> Declared Additional time beyond 24-</w:t>
      </w:r>
      <w:proofErr w:type="gramStart"/>
      <w:r w:rsidR="00713BE4" w:rsidRPr="00E06151">
        <w:rPr>
          <w:rFonts w:ascii="Open Sans" w:hAnsi="Open Sans" w:cs="Open Sans"/>
        </w:rPr>
        <w:t>months</w:t>
      </w:r>
      <w:proofErr w:type="gramEnd"/>
      <w:r w:rsidR="00713BE4" w:rsidRPr="00E06151">
        <w:rPr>
          <w:rFonts w:ascii="Open Sans" w:hAnsi="Open Sans" w:cs="Open Sans"/>
        </w:rPr>
        <w:t xml:space="preserve"> and this could be considered on a case-by-case basis by the department. </w:t>
      </w:r>
    </w:p>
    <w:p w14:paraId="2B1FEC2F" w14:textId="6FF7A9B3" w:rsidR="000A3322" w:rsidRPr="00E06151" w:rsidRDefault="000A3322" w:rsidP="00444CF9">
      <w:pPr>
        <w:spacing w:after="0" w:line="240" w:lineRule="auto"/>
        <w:rPr>
          <w:rFonts w:ascii="Open Sans" w:hAnsi="Open Sans" w:cs="Open Sans"/>
          <w:b/>
          <w:bCs/>
        </w:rPr>
      </w:pPr>
      <w:r w:rsidRPr="00E06151">
        <w:rPr>
          <w:rFonts w:ascii="Open Sans" w:hAnsi="Open Sans" w:cs="Open Sans"/>
          <w:b/>
          <w:bCs/>
        </w:rPr>
        <w:t>Question 14: Do you foresee any unintended consequences which could arise from the</w:t>
      </w:r>
      <w:r w:rsidR="00E06151">
        <w:rPr>
          <w:rFonts w:ascii="Open Sans" w:hAnsi="Open Sans" w:cs="Open Sans"/>
          <w:b/>
          <w:bCs/>
        </w:rPr>
        <w:t xml:space="preserve"> </w:t>
      </w:r>
      <w:r w:rsidRPr="00E06151">
        <w:rPr>
          <w:rFonts w:ascii="Open Sans" w:hAnsi="Open Sans" w:cs="Open Sans"/>
          <w:b/>
          <w:bCs/>
        </w:rPr>
        <w:t>introduction of the declared long stop dates?</w:t>
      </w:r>
    </w:p>
    <w:p w14:paraId="7C634F3C" w14:textId="77777777" w:rsidR="00444CF9" w:rsidRPr="00E06151" w:rsidRDefault="00444CF9" w:rsidP="00444CF9">
      <w:pPr>
        <w:spacing w:after="0" w:line="240" w:lineRule="auto"/>
        <w:rPr>
          <w:rFonts w:ascii="Open Sans" w:hAnsi="Open Sans" w:cs="Open Sans"/>
          <w:b/>
          <w:bCs/>
        </w:rPr>
      </w:pPr>
    </w:p>
    <w:p w14:paraId="0444D2EE" w14:textId="307B01F2" w:rsidR="00444CF9" w:rsidRPr="00E06151" w:rsidRDefault="00444CF9" w:rsidP="00444CF9">
      <w:pPr>
        <w:spacing w:after="0" w:line="240" w:lineRule="auto"/>
        <w:rPr>
          <w:rFonts w:ascii="Open Sans" w:hAnsi="Open Sans" w:cs="Open Sans"/>
        </w:rPr>
      </w:pPr>
      <w:r w:rsidRPr="00E06151">
        <w:rPr>
          <w:rFonts w:ascii="Open Sans" w:hAnsi="Open Sans" w:cs="Open Sans"/>
        </w:rPr>
        <w:lastRenderedPageBreak/>
        <w:t xml:space="preserve">REA are not intending a </w:t>
      </w:r>
      <w:proofErr w:type="gramStart"/>
      <w:r w:rsidRPr="00E06151">
        <w:rPr>
          <w:rFonts w:ascii="Open Sans" w:hAnsi="Open Sans" w:cs="Open Sans"/>
        </w:rPr>
        <w:t>response</w:t>
      </w:r>
      <w:proofErr w:type="gramEnd"/>
    </w:p>
    <w:p w14:paraId="202FD42A" w14:textId="77777777" w:rsidR="00444CF9" w:rsidRPr="00E06151" w:rsidRDefault="00444CF9" w:rsidP="00444CF9">
      <w:pPr>
        <w:spacing w:after="0" w:line="240" w:lineRule="auto"/>
        <w:rPr>
          <w:rFonts w:ascii="Open Sans" w:hAnsi="Open Sans" w:cs="Open Sans"/>
          <w:b/>
          <w:bCs/>
        </w:rPr>
      </w:pPr>
    </w:p>
    <w:p w14:paraId="66828332" w14:textId="1FF1F573" w:rsidR="000A3322" w:rsidRPr="00E06151" w:rsidRDefault="000A3322" w:rsidP="00444CF9">
      <w:pPr>
        <w:spacing w:after="0" w:line="240" w:lineRule="auto"/>
        <w:rPr>
          <w:rFonts w:ascii="Open Sans" w:hAnsi="Open Sans" w:cs="Open Sans"/>
          <w:b/>
          <w:bCs/>
        </w:rPr>
      </w:pPr>
      <w:r w:rsidRPr="00E06151">
        <w:rPr>
          <w:rFonts w:ascii="Open Sans" w:hAnsi="Open Sans" w:cs="Open Sans"/>
          <w:b/>
          <w:bCs/>
        </w:rPr>
        <w:t>Question 15: Do you agree with the proposed eligibility criteria for CMU’s seeking to</w:t>
      </w:r>
      <w:r w:rsidR="00E06151">
        <w:rPr>
          <w:rFonts w:ascii="Open Sans" w:hAnsi="Open Sans" w:cs="Open Sans"/>
          <w:b/>
          <w:bCs/>
        </w:rPr>
        <w:t xml:space="preserve"> </w:t>
      </w:r>
      <w:r w:rsidRPr="00E06151">
        <w:rPr>
          <w:rFonts w:ascii="Open Sans" w:hAnsi="Open Sans" w:cs="Open Sans"/>
          <w:b/>
          <w:bCs/>
        </w:rPr>
        <w:t>utilise the Declared Additional (24-month) Long Stop?</w:t>
      </w:r>
    </w:p>
    <w:p w14:paraId="57C2FC97" w14:textId="77777777" w:rsidR="00B23218" w:rsidRPr="00E06151" w:rsidRDefault="00B23218" w:rsidP="00444CF9">
      <w:pPr>
        <w:spacing w:after="0" w:line="240" w:lineRule="auto"/>
        <w:rPr>
          <w:rFonts w:ascii="Open Sans" w:hAnsi="Open Sans" w:cs="Open Sans"/>
          <w:b/>
          <w:bCs/>
        </w:rPr>
      </w:pPr>
    </w:p>
    <w:p w14:paraId="1FC8789C" w14:textId="1FAA2F35" w:rsidR="00B23218" w:rsidRPr="00E06151" w:rsidRDefault="00B23218" w:rsidP="00444CF9">
      <w:pPr>
        <w:spacing w:after="0" w:line="240" w:lineRule="auto"/>
        <w:rPr>
          <w:rFonts w:ascii="Open Sans" w:hAnsi="Open Sans" w:cs="Open Sans"/>
        </w:rPr>
      </w:pPr>
      <w:r w:rsidRPr="00E06151">
        <w:rPr>
          <w:rFonts w:ascii="Open Sans" w:hAnsi="Open Sans" w:cs="Open Sans"/>
        </w:rPr>
        <w:t xml:space="preserve">Yes, however, we note that </w:t>
      </w:r>
      <w:r w:rsidR="00AF7A92" w:rsidRPr="00E06151">
        <w:rPr>
          <w:rFonts w:ascii="Open Sans" w:hAnsi="Open Sans" w:cs="Open Sans"/>
        </w:rPr>
        <w:t>there may need to be some element of</w:t>
      </w:r>
      <w:r w:rsidRPr="00E06151">
        <w:rPr>
          <w:rFonts w:ascii="Open Sans" w:hAnsi="Open Sans" w:cs="Open Sans"/>
        </w:rPr>
        <w:t xml:space="preserve"> flexibility</w:t>
      </w:r>
      <w:r w:rsidR="0080598B" w:rsidRPr="00E06151">
        <w:rPr>
          <w:rFonts w:ascii="Open Sans" w:hAnsi="Open Sans" w:cs="Open Sans"/>
        </w:rPr>
        <w:t xml:space="preserve"> </w:t>
      </w:r>
      <w:r w:rsidRPr="00E06151">
        <w:rPr>
          <w:rFonts w:ascii="Open Sans" w:hAnsi="Open Sans" w:cs="Open Sans"/>
        </w:rPr>
        <w:t xml:space="preserve">provided </w:t>
      </w:r>
      <w:r w:rsidR="00050DA8" w:rsidRPr="00E06151">
        <w:rPr>
          <w:rFonts w:ascii="Open Sans" w:hAnsi="Open Sans" w:cs="Open Sans"/>
        </w:rPr>
        <w:t xml:space="preserve">to first of a </w:t>
      </w:r>
      <w:r w:rsidR="002E6A84" w:rsidRPr="00E06151">
        <w:rPr>
          <w:rFonts w:ascii="Open Sans" w:hAnsi="Open Sans" w:cs="Open Sans"/>
        </w:rPr>
        <w:t xml:space="preserve">kind application </w:t>
      </w:r>
      <w:proofErr w:type="gramStart"/>
      <w:r w:rsidR="009739FE" w:rsidRPr="00E06151">
        <w:rPr>
          <w:rFonts w:ascii="Open Sans" w:hAnsi="Open Sans" w:cs="Open Sans"/>
        </w:rPr>
        <w:t>in regard to</w:t>
      </w:r>
      <w:proofErr w:type="gramEnd"/>
      <w:r w:rsidR="002E6A84" w:rsidRPr="00E06151">
        <w:rPr>
          <w:rFonts w:ascii="Open Sans" w:hAnsi="Open Sans" w:cs="Open Sans"/>
        </w:rPr>
        <w:t xml:space="preserve"> </w:t>
      </w:r>
      <w:r w:rsidR="0080598B" w:rsidRPr="00E06151">
        <w:rPr>
          <w:rFonts w:ascii="Open Sans" w:hAnsi="Open Sans" w:cs="Open Sans"/>
        </w:rPr>
        <w:t xml:space="preserve">the requirements of IET </w:t>
      </w:r>
      <w:r w:rsidR="00050DA8" w:rsidRPr="00E06151">
        <w:rPr>
          <w:rFonts w:ascii="Open Sans" w:hAnsi="Open Sans" w:cs="Open Sans"/>
        </w:rPr>
        <w:t>reports</w:t>
      </w:r>
      <w:r w:rsidR="0080598B" w:rsidRPr="00E06151">
        <w:rPr>
          <w:rFonts w:ascii="Open Sans" w:hAnsi="Open Sans" w:cs="Open Sans"/>
        </w:rPr>
        <w:t xml:space="preserve">. In such situations it may not be possible </w:t>
      </w:r>
      <w:r w:rsidR="004C6EE6" w:rsidRPr="00E06151">
        <w:rPr>
          <w:rFonts w:ascii="Open Sans" w:hAnsi="Open Sans" w:cs="Open Sans"/>
        </w:rPr>
        <w:t xml:space="preserve">to </w:t>
      </w:r>
      <w:r w:rsidR="00E06256" w:rsidRPr="00E06151">
        <w:rPr>
          <w:rFonts w:ascii="Open Sans" w:hAnsi="Open Sans" w:cs="Open Sans"/>
        </w:rPr>
        <w:t>reference build out timeframes from directly comparable projects</w:t>
      </w:r>
      <w:r w:rsidR="004C6EE6" w:rsidRPr="00E06151">
        <w:rPr>
          <w:rFonts w:ascii="Open Sans" w:hAnsi="Open Sans" w:cs="Open Sans"/>
        </w:rPr>
        <w:t>. It should still however be possible</w:t>
      </w:r>
      <w:r w:rsidR="00474E65" w:rsidRPr="00E06151">
        <w:rPr>
          <w:rFonts w:ascii="Open Sans" w:hAnsi="Open Sans" w:cs="Open Sans"/>
        </w:rPr>
        <w:t xml:space="preserve"> to demonstrate a sensible timeline with </w:t>
      </w:r>
      <w:r w:rsidR="009C7276" w:rsidRPr="00E06151">
        <w:rPr>
          <w:rFonts w:ascii="Open Sans" w:hAnsi="Open Sans" w:cs="Open Sans"/>
        </w:rPr>
        <w:t>key developmnet an</w:t>
      </w:r>
      <w:r w:rsidR="002E6A84" w:rsidRPr="00E06151">
        <w:rPr>
          <w:rFonts w:ascii="Open Sans" w:hAnsi="Open Sans" w:cs="Open Sans"/>
        </w:rPr>
        <w:t>d</w:t>
      </w:r>
      <w:r w:rsidR="009C7276" w:rsidRPr="00E06151">
        <w:rPr>
          <w:rFonts w:ascii="Open Sans" w:hAnsi="Open Sans" w:cs="Open Sans"/>
        </w:rPr>
        <w:t xml:space="preserve"> build milestones. Such milestones will need to be specific to each project, to ensure they remain realistic to the </w:t>
      </w:r>
      <w:r w:rsidR="002E6A84" w:rsidRPr="00E06151">
        <w:rPr>
          <w:rFonts w:ascii="Open Sans" w:hAnsi="Open Sans" w:cs="Open Sans"/>
        </w:rPr>
        <w:t>relevant</w:t>
      </w:r>
      <w:r w:rsidR="009C7276" w:rsidRPr="00E06151">
        <w:rPr>
          <w:rFonts w:ascii="Open Sans" w:hAnsi="Open Sans" w:cs="Open Sans"/>
        </w:rPr>
        <w:t xml:space="preserve"> technology being built out.</w:t>
      </w:r>
    </w:p>
    <w:p w14:paraId="64D9B8B5" w14:textId="77777777" w:rsidR="00444CF9" w:rsidRPr="00E06151" w:rsidRDefault="00444CF9" w:rsidP="00444CF9">
      <w:pPr>
        <w:spacing w:after="0" w:line="240" w:lineRule="auto"/>
        <w:rPr>
          <w:rFonts w:ascii="Open Sans" w:hAnsi="Open Sans" w:cs="Open Sans"/>
        </w:rPr>
      </w:pPr>
    </w:p>
    <w:p w14:paraId="0D18065E" w14:textId="14DDC1AF" w:rsidR="000A3322" w:rsidRPr="00E06151" w:rsidRDefault="000A3322" w:rsidP="00444CF9">
      <w:pPr>
        <w:spacing w:after="0" w:line="240" w:lineRule="auto"/>
        <w:rPr>
          <w:rFonts w:ascii="Open Sans" w:hAnsi="Open Sans" w:cs="Open Sans"/>
          <w:b/>
          <w:bCs/>
        </w:rPr>
      </w:pPr>
      <w:r w:rsidRPr="00E06151">
        <w:rPr>
          <w:rFonts w:ascii="Open Sans" w:hAnsi="Open Sans" w:cs="Open Sans"/>
          <w:b/>
          <w:bCs/>
        </w:rPr>
        <w:t>Question 16: Do you agree with the proposed operational conditions for a Declared</w:t>
      </w:r>
      <w:r w:rsidR="00E06151">
        <w:rPr>
          <w:rFonts w:ascii="Open Sans" w:hAnsi="Open Sans" w:cs="Open Sans"/>
          <w:b/>
          <w:bCs/>
        </w:rPr>
        <w:t xml:space="preserve"> </w:t>
      </w:r>
      <w:r w:rsidRPr="00E06151">
        <w:rPr>
          <w:rFonts w:ascii="Open Sans" w:hAnsi="Open Sans" w:cs="Open Sans"/>
          <w:b/>
          <w:bCs/>
        </w:rPr>
        <w:t>Additional (24-month) Long Stop?</w:t>
      </w:r>
    </w:p>
    <w:p w14:paraId="5C415BAE" w14:textId="77777777" w:rsidR="002E6A84" w:rsidRPr="00E06151" w:rsidRDefault="002E6A84" w:rsidP="00444CF9">
      <w:pPr>
        <w:spacing w:after="0" w:line="240" w:lineRule="auto"/>
        <w:rPr>
          <w:rFonts w:ascii="Open Sans" w:hAnsi="Open Sans" w:cs="Open Sans"/>
        </w:rPr>
      </w:pPr>
    </w:p>
    <w:p w14:paraId="540E4E53" w14:textId="7143F81D" w:rsidR="002E6A84" w:rsidRPr="00E06151" w:rsidRDefault="00C36968" w:rsidP="00444CF9">
      <w:pPr>
        <w:spacing w:after="0" w:line="240" w:lineRule="auto"/>
        <w:rPr>
          <w:rFonts w:ascii="Open Sans" w:hAnsi="Open Sans" w:cs="Open Sans"/>
        </w:rPr>
      </w:pPr>
      <w:r w:rsidRPr="00E06151">
        <w:rPr>
          <w:rFonts w:ascii="Open Sans" w:hAnsi="Open Sans" w:cs="Open Sans"/>
        </w:rPr>
        <w:t xml:space="preserve">We do not agree with the </w:t>
      </w:r>
      <w:r w:rsidR="00295D6A" w:rsidRPr="00E06151">
        <w:rPr>
          <w:rFonts w:ascii="Open Sans" w:hAnsi="Open Sans" w:cs="Open Sans"/>
        </w:rPr>
        <w:t xml:space="preserve">parameter that in </w:t>
      </w:r>
      <w:r w:rsidR="00447882" w:rsidRPr="00E06151">
        <w:rPr>
          <w:rFonts w:ascii="Open Sans" w:hAnsi="Open Sans" w:cs="Open Sans"/>
        </w:rPr>
        <w:t>t</w:t>
      </w:r>
      <w:r w:rsidR="00295D6A" w:rsidRPr="00E06151">
        <w:rPr>
          <w:rFonts w:ascii="Open Sans" w:hAnsi="Open Sans" w:cs="Open Sans"/>
        </w:rPr>
        <w:t>he event of early delivery, the agreement would s</w:t>
      </w:r>
      <w:r w:rsidR="00365B1C" w:rsidRPr="00E06151">
        <w:rPr>
          <w:rFonts w:ascii="Open Sans" w:hAnsi="Open Sans" w:cs="Open Sans"/>
        </w:rPr>
        <w:t>t</w:t>
      </w:r>
      <w:r w:rsidR="00295D6A" w:rsidRPr="00E06151">
        <w:rPr>
          <w:rFonts w:ascii="Open Sans" w:hAnsi="Open Sans" w:cs="Open Sans"/>
        </w:rPr>
        <w:t>ill only take effect at the start of the declared long stop date. Such a requirement removes any incentive for a develop to deliver earlier and</w:t>
      </w:r>
      <w:r w:rsidR="0028599C" w:rsidRPr="00E06151">
        <w:rPr>
          <w:rFonts w:ascii="Open Sans" w:hAnsi="Open Sans" w:cs="Open Sans"/>
        </w:rPr>
        <w:t xml:space="preserve"> gain the chance of making use of the full capacity market contract length. </w:t>
      </w:r>
    </w:p>
    <w:p w14:paraId="76965318" w14:textId="77777777" w:rsidR="002E6A84" w:rsidRPr="00E06151" w:rsidRDefault="002E6A84" w:rsidP="00444CF9">
      <w:pPr>
        <w:spacing w:after="0" w:line="240" w:lineRule="auto"/>
        <w:rPr>
          <w:rFonts w:ascii="Open Sans" w:hAnsi="Open Sans" w:cs="Open Sans"/>
        </w:rPr>
      </w:pPr>
    </w:p>
    <w:p w14:paraId="4BF80CCE" w14:textId="0DEC449C" w:rsidR="000A3322" w:rsidRPr="00E06151" w:rsidRDefault="000A3322" w:rsidP="00444CF9">
      <w:pPr>
        <w:spacing w:after="0" w:line="240" w:lineRule="auto"/>
        <w:rPr>
          <w:rFonts w:ascii="Open Sans" w:hAnsi="Open Sans" w:cs="Open Sans"/>
          <w:b/>
          <w:bCs/>
        </w:rPr>
      </w:pPr>
      <w:r w:rsidRPr="00E06151">
        <w:rPr>
          <w:rFonts w:ascii="Open Sans" w:hAnsi="Open Sans" w:cs="Open Sans"/>
          <w:b/>
          <w:bCs/>
        </w:rPr>
        <w:t>Question 17: Do you have views on the relationship between a CMU utilising the</w:t>
      </w:r>
      <w:r w:rsidR="00365B1C" w:rsidRPr="00E06151">
        <w:rPr>
          <w:rFonts w:ascii="Open Sans" w:hAnsi="Open Sans" w:cs="Open Sans"/>
          <w:b/>
          <w:bCs/>
        </w:rPr>
        <w:t xml:space="preserve"> </w:t>
      </w:r>
      <w:r w:rsidRPr="00E06151">
        <w:rPr>
          <w:rFonts w:ascii="Open Sans" w:hAnsi="Open Sans" w:cs="Open Sans"/>
          <w:b/>
          <w:bCs/>
        </w:rPr>
        <w:t>Declared Additional (24-month) Long-Stop and its role as Price Maker versus Price</w:t>
      </w:r>
      <w:r w:rsidR="00365B1C" w:rsidRPr="00E06151">
        <w:rPr>
          <w:rFonts w:ascii="Open Sans" w:hAnsi="Open Sans" w:cs="Open Sans"/>
          <w:b/>
          <w:bCs/>
        </w:rPr>
        <w:t xml:space="preserve"> </w:t>
      </w:r>
      <w:r w:rsidRPr="00E06151">
        <w:rPr>
          <w:rFonts w:ascii="Open Sans" w:hAnsi="Open Sans" w:cs="Open Sans"/>
          <w:b/>
          <w:bCs/>
        </w:rPr>
        <w:t>Taker in the CM auction(s)?</w:t>
      </w:r>
    </w:p>
    <w:p w14:paraId="153FE9C8" w14:textId="77777777" w:rsidR="001D45BB" w:rsidRPr="00E06151" w:rsidRDefault="001D45BB" w:rsidP="00444CF9">
      <w:pPr>
        <w:spacing w:after="0" w:line="240" w:lineRule="auto"/>
        <w:rPr>
          <w:rFonts w:ascii="Open Sans" w:hAnsi="Open Sans" w:cs="Open Sans"/>
          <w:b/>
          <w:bCs/>
        </w:rPr>
      </w:pPr>
    </w:p>
    <w:p w14:paraId="1F00ADF4" w14:textId="77B20217" w:rsidR="009A3F36" w:rsidRPr="00E06151" w:rsidRDefault="009A3F36" w:rsidP="00444CF9">
      <w:pPr>
        <w:spacing w:after="0" w:line="240" w:lineRule="auto"/>
        <w:rPr>
          <w:rFonts w:ascii="Open Sans" w:hAnsi="Open Sans" w:cs="Open Sans"/>
        </w:rPr>
      </w:pPr>
      <w:r w:rsidRPr="00E06151">
        <w:rPr>
          <w:rFonts w:ascii="Open Sans" w:hAnsi="Open Sans" w:cs="Open Sans"/>
        </w:rPr>
        <w:t xml:space="preserve">REA are not intending a </w:t>
      </w:r>
      <w:proofErr w:type="gramStart"/>
      <w:r w:rsidRPr="00E06151">
        <w:rPr>
          <w:rFonts w:ascii="Open Sans" w:hAnsi="Open Sans" w:cs="Open Sans"/>
        </w:rPr>
        <w:t>response</w:t>
      </w:r>
      <w:proofErr w:type="gramEnd"/>
    </w:p>
    <w:p w14:paraId="064FDFE1" w14:textId="77777777" w:rsidR="001D45BB" w:rsidRPr="00E06151" w:rsidRDefault="001D45BB" w:rsidP="00444CF9">
      <w:pPr>
        <w:spacing w:after="0" w:line="240" w:lineRule="auto"/>
        <w:rPr>
          <w:rFonts w:ascii="Open Sans" w:hAnsi="Open Sans" w:cs="Open Sans"/>
          <w:b/>
          <w:bCs/>
        </w:rPr>
      </w:pPr>
    </w:p>
    <w:p w14:paraId="30387691" w14:textId="0D480716" w:rsidR="000A3322" w:rsidRPr="00E06151" w:rsidRDefault="000A3322" w:rsidP="00444CF9">
      <w:pPr>
        <w:spacing w:after="0" w:line="240" w:lineRule="auto"/>
        <w:rPr>
          <w:rFonts w:ascii="Open Sans" w:hAnsi="Open Sans" w:cs="Open Sans"/>
          <w:b/>
          <w:bCs/>
        </w:rPr>
      </w:pPr>
      <w:r w:rsidRPr="00E06151">
        <w:rPr>
          <w:rFonts w:ascii="Open Sans" w:hAnsi="Open Sans" w:cs="Open Sans"/>
          <w:b/>
          <w:bCs/>
        </w:rPr>
        <w:t>Question 18: Are there any further required changes for the implementation of a</w:t>
      </w:r>
      <w:r w:rsidR="009A3F36" w:rsidRPr="00E06151">
        <w:rPr>
          <w:rFonts w:ascii="Open Sans" w:hAnsi="Open Sans" w:cs="Open Sans"/>
          <w:b/>
          <w:bCs/>
        </w:rPr>
        <w:t xml:space="preserve"> </w:t>
      </w:r>
      <w:r w:rsidRPr="00E06151">
        <w:rPr>
          <w:rFonts w:ascii="Open Sans" w:hAnsi="Open Sans" w:cs="Open Sans"/>
          <w:b/>
          <w:bCs/>
        </w:rPr>
        <w:t>Declared Additional (24 month) Long-Stop which have not been identified?</w:t>
      </w:r>
    </w:p>
    <w:p w14:paraId="0164BB57" w14:textId="77777777" w:rsidR="009A3F36" w:rsidRPr="00E06151" w:rsidRDefault="009A3F36" w:rsidP="00444CF9">
      <w:pPr>
        <w:spacing w:after="0" w:line="240" w:lineRule="auto"/>
        <w:rPr>
          <w:rFonts w:ascii="Open Sans" w:hAnsi="Open Sans" w:cs="Open Sans"/>
        </w:rPr>
      </w:pPr>
    </w:p>
    <w:p w14:paraId="05D9E7E2" w14:textId="77777777" w:rsidR="005E63ED" w:rsidRPr="00E06151" w:rsidRDefault="005E63ED" w:rsidP="005E63ED">
      <w:pPr>
        <w:spacing w:after="0" w:line="240" w:lineRule="auto"/>
        <w:rPr>
          <w:rFonts w:ascii="Open Sans" w:hAnsi="Open Sans" w:cs="Open Sans"/>
        </w:rPr>
      </w:pPr>
      <w:r w:rsidRPr="00E06151">
        <w:rPr>
          <w:rFonts w:ascii="Open Sans" w:hAnsi="Open Sans" w:cs="Open Sans"/>
        </w:rPr>
        <w:t xml:space="preserve">REA are not intending a </w:t>
      </w:r>
      <w:proofErr w:type="gramStart"/>
      <w:r w:rsidRPr="00E06151">
        <w:rPr>
          <w:rFonts w:ascii="Open Sans" w:hAnsi="Open Sans" w:cs="Open Sans"/>
        </w:rPr>
        <w:t>response</w:t>
      </w:r>
      <w:proofErr w:type="gramEnd"/>
    </w:p>
    <w:p w14:paraId="2FB36A42" w14:textId="77777777" w:rsidR="005E63ED" w:rsidRPr="00E06151" w:rsidRDefault="005E63ED" w:rsidP="00444CF9">
      <w:pPr>
        <w:spacing w:after="0" w:line="240" w:lineRule="auto"/>
        <w:rPr>
          <w:rFonts w:ascii="Open Sans" w:hAnsi="Open Sans" w:cs="Open Sans"/>
        </w:rPr>
      </w:pPr>
    </w:p>
    <w:p w14:paraId="2C073B8D" w14:textId="73F09E2A" w:rsidR="000A3322" w:rsidRPr="00E06151" w:rsidRDefault="000A3322" w:rsidP="00444CF9">
      <w:pPr>
        <w:spacing w:after="0" w:line="240" w:lineRule="auto"/>
        <w:rPr>
          <w:rFonts w:ascii="Open Sans" w:hAnsi="Open Sans" w:cs="Open Sans"/>
          <w:b/>
          <w:bCs/>
        </w:rPr>
      </w:pPr>
      <w:r w:rsidRPr="00E06151">
        <w:rPr>
          <w:rFonts w:ascii="Open Sans" w:hAnsi="Open Sans" w:cs="Open Sans"/>
          <w:b/>
          <w:bCs/>
        </w:rPr>
        <w:t>Question 19: Do you agree with the proposal for partial redaction of addresses on the</w:t>
      </w:r>
      <w:r w:rsidR="00E06151">
        <w:rPr>
          <w:rFonts w:ascii="Open Sans" w:hAnsi="Open Sans" w:cs="Open Sans"/>
          <w:b/>
          <w:bCs/>
        </w:rPr>
        <w:t xml:space="preserve"> </w:t>
      </w:r>
      <w:r w:rsidRPr="00E06151">
        <w:rPr>
          <w:rFonts w:ascii="Open Sans" w:hAnsi="Open Sans" w:cs="Open Sans"/>
          <w:b/>
          <w:bCs/>
        </w:rPr>
        <w:t>CM registers for domestic DSR CMU components?</w:t>
      </w:r>
    </w:p>
    <w:p w14:paraId="287E7BBD" w14:textId="77777777" w:rsidR="005E63ED" w:rsidRPr="00E06151" w:rsidRDefault="005E63ED" w:rsidP="00444CF9">
      <w:pPr>
        <w:spacing w:after="0" w:line="240" w:lineRule="auto"/>
        <w:rPr>
          <w:rFonts w:ascii="Open Sans" w:hAnsi="Open Sans" w:cs="Open Sans"/>
          <w:b/>
          <w:bCs/>
        </w:rPr>
      </w:pPr>
    </w:p>
    <w:p w14:paraId="303641A0" w14:textId="11743805" w:rsidR="006567F8" w:rsidRPr="00E06151" w:rsidRDefault="00200A5A" w:rsidP="00444CF9">
      <w:pPr>
        <w:spacing w:after="0" w:line="240" w:lineRule="auto"/>
        <w:rPr>
          <w:rFonts w:ascii="Open Sans" w:hAnsi="Open Sans" w:cs="Open Sans"/>
        </w:rPr>
      </w:pPr>
      <w:r w:rsidRPr="00E06151">
        <w:rPr>
          <w:rFonts w:ascii="Open Sans" w:hAnsi="Open Sans" w:cs="Open Sans"/>
        </w:rPr>
        <w:t>Yes</w:t>
      </w:r>
      <w:r w:rsidR="00930B82" w:rsidRPr="00E06151">
        <w:rPr>
          <w:rFonts w:ascii="Open Sans" w:hAnsi="Open Sans" w:cs="Open Sans"/>
        </w:rPr>
        <w:t>,</w:t>
      </w:r>
      <w:r w:rsidRPr="00E06151">
        <w:rPr>
          <w:rFonts w:ascii="Open Sans" w:hAnsi="Open Sans" w:cs="Open Sans"/>
        </w:rPr>
        <w:t xml:space="preserve"> we believe this to be a sensible </w:t>
      </w:r>
      <w:r w:rsidR="005D5F57" w:rsidRPr="00E06151">
        <w:rPr>
          <w:rFonts w:ascii="Open Sans" w:hAnsi="Open Sans" w:cs="Open Sans"/>
        </w:rPr>
        <w:t>precaution</w:t>
      </w:r>
      <w:r w:rsidRPr="00E06151">
        <w:rPr>
          <w:rFonts w:ascii="Open Sans" w:hAnsi="Open Sans" w:cs="Open Sans"/>
        </w:rPr>
        <w:t xml:space="preserve">. Care however should be taken to ensure that </w:t>
      </w:r>
      <w:r w:rsidR="005D5F57" w:rsidRPr="00E06151">
        <w:rPr>
          <w:rFonts w:ascii="Open Sans" w:hAnsi="Open Sans" w:cs="Open Sans"/>
        </w:rPr>
        <w:t xml:space="preserve">the postcode does </w:t>
      </w:r>
      <w:r w:rsidR="00C35551" w:rsidRPr="00E06151">
        <w:rPr>
          <w:rFonts w:ascii="Open Sans" w:hAnsi="Open Sans" w:cs="Open Sans"/>
        </w:rPr>
        <w:t>therefore become</w:t>
      </w:r>
      <w:r w:rsidR="005D5F57" w:rsidRPr="00E06151">
        <w:rPr>
          <w:rFonts w:ascii="Open Sans" w:hAnsi="Open Sans" w:cs="Open Sans"/>
        </w:rPr>
        <w:t xml:space="preserve"> </w:t>
      </w:r>
      <w:r w:rsidR="008B4120" w:rsidRPr="00E06151">
        <w:rPr>
          <w:rFonts w:ascii="Open Sans" w:hAnsi="Open Sans" w:cs="Open Sans"/>
        </w:rPr>
        <w:t xml:space="preserve">a </w:t>
      </w:r>
      <w:r w:rsidR="005D5F57" w:rsidRPr="00E06151">
        <w:rPr>
          <w:rFonts w:ascii="Open Sans" w:hAnsi="Open Sans" w:cs="Open Sans"/>
        </w:rPr>
        <w:t xml:space="preserve">key identifier for any one </w:t>
      </w:r>
      <w:r w:rsidR="00DF622F" w:rsidRPr="00E06151">
        <w:rPr>
          <w:rFonts w:ascii="Open Sans" w:hAnsi="Open Sans" w:cs="Open Sans"/>
        </w:rPr>
        <w:t>registered DSR CMU</w:t>
      </w:r>
      <w:r w:rsidR="008B4120" w:rsidRPr="00E06151">
        <w:rPr>
          <w:rFonts w:ascii="Open Sans" w:hAnsi="Open Sans" w:cs="Open Sans"/>
        </w:rPr>
        <w:t xml:space="preserve">. </w:t>
      </w:r>
      <w:r w:rsidR="00C35551">
        <w:rPr>
          <w:rFonts w:ascii="Open Sans" w:hAnsi="Open Sans" w:cs="Open Sans"/>
        </w:rPr>
        <w:t>This</w:t>
      </w:r>
      <w:r w:rsidR="008B4120" w:rsidRPr="00E06151">
        <w:rPr>
          <w:rFonts w:ascii="Open Sans" w:hAnsi="Open Sans" w:cs="Open Sans"/>
        </w:rPr>
        <w:t xml:space="preserve"> is to</w:t>
      </w:r>
      <w:r w:rsidR="00DF622F" w:rsidRPr="00E06151">
        <w:rPr>
          <w:rFonts w:ascii="Open Sans" w:hAnsi="Open Sans" w:cs="Open Sans"/>
        </w:rPr>
        <w:t xml:space="preserve"> avoid any issue of there being multiple, but sperate</w:t>
      </w:r>
      <w:r w:rsidR="00930B82" w:rsidRPr="00E06151">
        <w:rPr>
          <w:rFonts w:ascii="Open Sans" w:hAnsi="Open Sans" w:cs="Open Sans"/>
        </w:rPr>
        <w:t>,</w:t>
      </w:r>
      <w:r w:rsidR="00DF622F" w:rsidRPr="00E06151">
        <w:rPr>
          <w:rFonts w:ascii="Open Sans" w:hAnsi="Open Sans" w:cs="Open Sans"/>
        </w:rPr>
        <w:t xml:space="preserve"> DSR </w:t>
      </w:r>
      <w:proofErr w:type="gramStart"/>
      <w:r w:rsidR="00DF622F" w:rsidRPr="00E06151">
        <w:rPr>
          <w:rFonts w:ascii="Open Sans" w:hAnsi="Open Sans" w:cs="Open Sans"/>
        </w:rPr>
        <w:t xml:space="preserve">CMUs  </w:t>
      </w:r>
      <w:r w:rsidR="00930B82" w:rsidRPr="00E06151">
        <w:rPr>
          <w:rFonts w:ascii="Open Sans" w:hAnsi="Open Sans" w:cs="Open Sans"/>
        </w:rPr>
        <w:t>being</w:t>
      </w:r>
      <w:proofErr w:type="gramEnd"/>
      <w:r w:rsidR="00930B82" w:rsidRPr="00E06151">
        <w:rPr>
          <w:rFonts w:ascii="Open Sans" w:hAnsi="Open Sans" w:cs="Open Sans"/>
        </w:rPr>
        <w:t xml:space="preserve"> registered at the same postcode, which could well happen, especially in cities and within flats. </w:t>
      </w:r>
    </w:p>
    <w:p w14:paraId="0029CBF1" w14:textId="77777777" w:rsidR="008B4120" w:rsidRPr="00E06151" w:rsidRDefault="008B4120" w:rsidP="00444CF9">
      <w:pPr>
        <w:spacing w:after="0" w:line="240" w:lineRule="auto"/>
        <w:rPr>
          <w:rFonts w:ascii="Open Sans" w:hAnsi="Open Sans" w:cs="Open Sans"/>
          <w:b/>
          <w:bCs/>
        </w:rPr>
      </w:pPr>
    </w:p>
    <w:p w14:paraId="6E19AE2A" w14:textId="665911AE" w:rsidR="000A3322" w:rsidRPr="00E06151" w:rsidRDefault="000A3322" w:rsidP="00444CF9">
      <w:pPr>
        <w:spacing w:after="0" w:line="240" w:lineRule="auto"/>
        <w:rPr>
          <w:rFonts w:ascii="Open Sans" w:hAnsi="Open Sans" w:cs="Open Sans"/>
          <w:b/>
          <w:bCs/>
        </w:rPr>
      </w:pPr>
      <w:r w:rsidRPr="00E06151">
        <w:rPr>
          <w:rFonts w:ascii="Open Sans" w:hAnsi="Open Sans" w:cs="Open Sans"/>
          <w:b/>
          <w:bCs/>
        </w:rPr>
        <w:t>Question 20: Do you agree with our proposed changes to component reallocation? If so,</w:t>
      </w:r>
      <w:r w:rsidR="00E06151">
        <w:rPr>
          <w:rFonts w:ascii="Open Sans" w:hAnsi="Open Sans" w:cs="Open Sans"/>
          <w:b/>
          <w:bCs/>
        </w:rPr>
        <w:t xml:space="preserve"> </w:t>
      </w:r>
      <w:r w:rsidRPr="00E06151">
        <w:rPr>
          <w:rFonts w:ascii="Open Sans" w:hAnsi="Open Sans" w:cs="Open Sans"/>
          <w:b/>
          <w:bCs/>
        </w:rPr>
        <w:t>what percentage do you propose would be appropriate to set as the new limit?</w:t>
      </w:r>
    </w:p>
    <w:p w14:paraId="2A5FBB27" w14:textId="77777777" w:rsidR="008B4120" w:rsidRPr="00E06151" w:rsidRDefault="008B4120" w:rsidP="00444CF9">
      <w:pPr>
        <w:spacing w:after="0" w:line="240" w:lineRule="auto"/>
        <w:rPr>
          <w:rFonts w:ascii="Open Sans" w:hAnsi="Open Sans" w:cs="Open Sans"/>
          <w:b/>
          <w:bCs/>
        </w:rPr>
      </w:pPr>
    </w:p>
    <w:p w14:paraId="4C6A1AB4" w14:textId="090B01A9" w:rsidR="009705EF" w:rsidRPr="00E06151" w:rsidRDefault="00137E2A" w:rsidP="00444CF9">
      <w:pPr>
        <w:spacing w:after="0" w:line="240" w:lineRule="auto"/>
        <w:rPr>
          <w:rFonts w:ascii="Open Sans" w:hAnsi="Open Sans" w:cs="Open Sans"/>
        </w:rPr>
      </w:pPr>
      <w:r w:rsidRPr="00E06151">
        <w:rPr>
          <w:rFonts w:ascii="Open Sans" w:hAnsi="Open Sans" w:cs="Open Sans"/>
        </w:rPr>
        <w:t xml:space="preserve">The REA agree with proposals to </w:t>
      </w:r>
      <w:r w:rsidR="00A84927" w:rsidRPr="00E06151">
        <w:rPr>
          <w:rFonts w:ascii="Open Sans" w:hAnsi="Open Sans" w:cs="Open Sans"/>
        </w:rPr>
        <w:t xml:space="preserve">consider changes to component </w:t>
      </w:r>
      <w:r w:rsidR="005B1050" w:rsidRPr="00E06151">
        <w:rPr>
          <w:rFonts w:ascii="Open Sans" w:hAnsi="Open Sans" w:cs="Open Sans"/>
        </w:rPr>
        <w:t>re</w:t>
      </w:r>
      <w:r w:rsidR="009705EF" w:rsidRPr="00E06151">
        <w:rPr>
          <w:rFonts w:ascii="Open Sans" w:hAnsi="Open Sans" w:cs="Open Sans"/>
        </w:rPr>
        <w:t>allocation and</w:t>
      </w:r>
      <w:r w:rsidR="00A84927" w:rsidRPr="00E06151">
        <w:rPr>
          <w:rFonts w:ascii="Open Sans" w:hAnsi="Open Sans" w:cs="Open Sans"/>
        </w:rPr>
        <w:t xml:space="preserve"> suggest that it is made as flexible as possible</w:t>
      </w:r>
      <w:r w:rsidR="001616D8" w:rsidRPr="00E06151">
        <w:rPr>
          <w:rFonts w:ascii="Open Sans" w:hAnsi="Open Sans" w:cs="Open Sans"/>
        </w:rPr>
        <w:t>,</w:t>
      </w:r>
      <w:r w:rsidR="00A84927" w:rsidRPr="00E06151">
        <w:rPr>
          <w:rFonts w:ascii="Open Sans" w:hAnsi="Open Sans" w:cs="Open Sans"/>
        </w:rPr>
        <w:t xml:space="preserve"> while recognising the additional</w:t>
      </w:r>
      <w:r w:rsidR="00FA18B8" w:rsidRPr="00E06151">
        <w:rPr>
          <w:rFonts w:ascii="Open Sans" w:hAnsi="Open Sans" w:cs="Open Sans"/>
        </w:rPr>
        <w:t xml:space="preserve"> </w:t>
      </w:r>
      <w:r w:rsidR="00FA18B8" w:rsidRPr="00E06151">
        <w:rPr>
          <w:rFonts w:ascii="Open Sans" w:hAnsi="Open Sans" w:cs="Open Sans"/>
        </w:rPr>
        <w:lastRenderedPageBreak/>
        <w:t>administrative</w:t>
      </w:r>
      <w:r w:rsidR="00A84927" w:rsidRPr="00E06151">
        <w:rPr>
          <w:rFonts w:ascii="Open Sans" w:hAnsi="Open Sans" w:cs="Open Sans"/>
        </w:rPr>
        <w:t xml:space="preserve"> burden </w:t>
      </w:r>
      <w:r w:rsidR="00FA18B8" w:rsidRPr="00E06151">
        <w:rPr>
          <w:rFonts w:ascii="Open Sans" w:hAnsi="Open Sans" w:cs="Open Sans"/>
        </w:rPr>
        <w:t xml:space="preserve">that </w:t>
      </w:r>
      <w:r w:rsidR="005B1050" w:rsidRPr="00E06151">
        <w:rPr>
          <w:rFonts w:ascii="Open Sans" w:hAnsi="Open Sans" w:cs="Open Sans"/>
        </w:rPr>
        <w:t xml:space="preserve">it </w:t>
      </w:r>
      <w:r w:rsidR="00FA18B8" w:rsidRPr="00E06151">
        <w:rPr>
          <w:rFonts w:ascii="Open Sans" w:hAnsi="Open Sans" w:cs="Open Sans"/>
        </w:rPr>
        <w:t>present</w:t>
      </w:r>
      <w:r w:rsidR="001616D8" w:rsidRPr="00E06151">
        <w:rPr>
          <w:rFonts w:ascii="Open Sans" w:hAnsi="Open Sans" w:cs="Open Sans"/>
        </w:rPr>
        <w:t>s</w:t>
      </w:r>
      <w:r w:rsidR="00FA18B8" w:rsidRPr="00E06151">
        <w:rPr>
          <w:rFonts w:ascii="Open Sans" w:hAnsi="Open Sans" w:cs="Open Sans"/>
        </w:rPr>
        <w:t xml:space="preserve">. </w:t>
      </w:r>
      <w:r w:rsidR="009705EF" w:rsidRPr="00E06151">
        <w:rPr>
          <w:rFonts w:ascii="Open Sans" w:hAnsi="Open Sans" w:cs="Open Sans"/>
        </w:rPr>
        <w:t xml:space="preserve"> We do not</w:t>
      </w:r>
      <w:r w:rsidR="005B1050" w:rsidRPr="00E06151">
        <w:rPr>
          <w:rFonts w:ascii="Open Sans" w:hAnsi="Open Sans" w:cs="Open Sans"/>
        </w:rPr>
        <w:t xml:space="preserve">, </w:t>
      </w:r>
      <w:r w:rsidR="009705EF" w:rsidRPr="00E06151">
        <w:rPr>
          <w:rFonts w:ascii="Open Sans" w:hAnsi="Open Sans" w:cs="Open Sans"/>
        </w:rPr>
        <w:t>however</w:t>
      </w:r>
      <w:r w:rsidR="005B1050" w:rsidRPr="00E06151">
        <w:rPr>
          <w:rFonts w:ascii="Open Sans" w:hAnsi="Open Sans" w:cs="Open Sans"/>
        </w:rPr>
        <w:t xml:space="preserve">, </w:t>
      </w:r>
      <w:r w:rsidR="009705EF" w:rsidRPr="00E06151">
        <w:rPr>
          <w:rFonts w:ascii="Open Sans" w:hAnsi="Open Sans" w:cs="Open Sans"/>
        </w:rPr>
        <w:t xml:space="preserve">have data on which to </w:t>
      </w:r>
      <w:r w:rsidR="001616D8" w:rsidRPr="00E06151">
        <w:rPr>
          <w:rFonts w:ascii="Open Sans" w:hAnsi="Open Sans" w:cs="Open Sans"/>
        </w:rPr>
        <w:t xml:space="preserve">suggest </w:t>
      </w:r>
      <w:r w:rsidR="009705EF" w:rsidRPr="00E06151">
        <w:rPr>
          <w:rFonts w:ascii="Open Sans" w:hAnsi="Open Sans" w:cs="Open Sans"/>
        </w:rPr>
        <w:t>a</w:t>
      </w:r>
      <w:r w:rsidR="00C35551">
        <w:rPr>
          <w:rFonts w:ascii="Open Sans" w:hAnsi="Open Sans" w:cs="Open Sans"/>
        </w:rPr>
        <w:t xml:space="preserve"> </w:t>
      </w:r>
      <w:r w:rsidR="009705EF" w:rsidRPr="00E06151">
        <w:rPr>
          <w:rFonts w:ascii="Open Sans" w:hAnsi="Open Sans" w:cs="Open Sans"/>
        </w:rPr>
        <w:t xml:space="preserve">percentage number and further analysis of </w:t>
      </w:r>
      <w:r w:rsidR="001616D8" w:rsidRPr="00E06151">
        <w:rPr>
          <w:rFonts w:ascii="Open Sans" w:hAnsi="Open Sans" w:cs="Open Sans"/>
        </w:rPr>
        <w:t xml:space="preserve">DSR </w:t>
      </w:r>
      <w:r w:rsidR="009705EF" w:rsidRPr="00E06151">
        <w:rPr>
          <w:rFonts w:ascii="Open Sans" w:hAnsi="Open Sans" w:cs="Open Sans"/>
        </w:rPr>
        <w:t>portfolios and operations should be done to ensure</w:t>
      </w:r>
      <w:r w:rsidR="00881C44" w:rsidRPr="00E06151">
        <w:rPr>
          <w:rFonts w:ascii="Open Sans" w:hAnsi="Open Sans" w:cs="Open Sans"/>
        </w:rPr>
        <w:t xml:space="preserve"> an</w:t>
      </w:r>
      <w:r w:rsidR="009705EF" w:rsidRPr="00E06151">
        <w:rPr>
          <w:rFonts w:ascii="Open Sans" w:hAnsi="Open Sans" w:cs="Open Sans"/>
        </w:rPr>
        <w:t xml:space="preserve"> appropriate</w:t>
      </w:r>
      <w:r w:rsidR="00881C44" w:rsidRPr="00E06151">
        <w:rPr>
          <w:rFonts w:ascii="Open Sans" w:hAnsi="Open Sans" w:cs="Open Sans"/>
        </w:rPr>
        <w:t xml:space="preserve"> </w:t>
      </w:r>
      <w:r w:rsidR="007E02EE" w:rsidRPr="00E06151">
        <w:rPr>
          <w:rFonts w:ascii="Open Sans" w:hAnsi="Open Sans" w:cs="Open Sans"/>
        </w:rPr>
        <w:t>figure</w:t>
      </w:r>
      <w:r w:rsidR="001616D8" w:rsidRPr="00E06151">
        <w:rPr>
          <w:rFonts w:ascii="Open Sans" w:hAnsi="Open Sans" w:cs="Open Sans"/>
        </w:rPr>
        <w:t>.</w:t>
      </w:r>
      <w:r w:rsidR="00881C44" w:rsidRPr="00E06151">
        <w:rPr>
          <w:rFonts w:ascii="Open Sans" w:hAnsi="Open Sans" w:cs="Open Sans"/>
        </w:rPr>
        <w:t xml:space="preserve"> </w:t>
      </w:r>
    </w:p>
    <w:p w14:paraId="0CECE94A" w14:textId="77777777" w:rsidR="009705EF" w:rsidRPr="00E06151" w:rsidRDefault="009705EF" w:rsidP="00444CF9">
      <w:pPr>
        <w:spacing w:after="0" w:line="240" w:lineRule="auto"/>
        <w:rPr>
          <w:rFonts w:ascii="Open Sans" w:hAnsi="Open Sans" w:cs="Open Sans"/>
        </w:rPr>
      </w:pPr>
    </w:p>
    <w:p w14:paraId="295816A2" w14:textId="51AE8A67" w:rsidR="008B4120" w:rsidRPr="00E06151" w:rsidRDefault="009705EF" w:rsidP="00444CF9">
      <w:pPr>
        <w:spacing w:after="0" w:line="240" w:lineRule="auto"/>
        <w:rPr>
          <w:rFonts w:ascii="Open Sans" w:hAnsi="Open Sans" w:cs="Open Sans"/>
        </w:rPr>
      </w:pPr>
      <w:r w:rsidRPr="00E06151">
        <w:rPr>
          <w:rFonts w:ascii="Open Sans" w:hAnsi="Open Sans" w:cs="Open Sans"/>
        </w:rPr>
        <w:t xml:space="preserve">We stress the need to </w:t>
      </w:r>
      <w:r w:rsidR="00175A33" w:rsidRPr="00E06151">
        <w:rPr>
          <w:rFonts w:ascii="Open Sans" w:hAnsi="Open Sans" w:cs="Open Sans"/>
        </w:rPr>
        <w:t>manage</w:t>
      </w:r>
      <w:r w:rsidR="008E7B40" w:rsidRPr="00E06151">
        <w:rPr>
          <w:rFonts w:ascii="Open Sans" w:hAnsi="Open Sans" w:cs="Open Sans"/>
        </w:rPr>
        <w:t xml:space="preserve"> the administrative burden </w:t>
      </w:r>
      <w:r w:rsidR="00BD10AC" w:rsidRPr="00E06151">
        <w:rPr>
          <w:rFonts w:ascii="Open Sans" w:hAnsi="Open Sans" w:cs="Open Sans"/>
        </w:rPr>
        <w:t>and</w:t>
      </w:r>
      <w:r w:rsidR="00FA18B8" w:rsidRPr="00E06151">
        <w:rPr>
          <w:rFonts w:ascii="Open Sans" w:hAnsi="Open Sans" w:cs="Open Sans"/>
        </w:rPr>
        <w:t xml:space="preserve"> balance</w:t>
      </w:r>
      <w:r w:rsidR="00BD10AC" w:rsidRPr="00E06151">
        <w:rPr>
          <w:rFonts w:ascii="Open Sans" w:hAnsi="Open Sans" w:cs="Open Sans"/>
        </w:rPr>
        <w:t xml:space="preserve"> it against</w:t>
      </w:r>
      <w:r w:rsidR="00FA18B8" w:rsidRPr="00E06151">
        <w:rPr>
          <w:rFonts w:ascii="Open Sans" w:hAnsi="Open Sans" w:cs="Open Sans"/>
        </w:rPr>
        <w:t xml:space="preserve"> </w:t>
      </w:r>
      <w:r w:rsidR="008E7B40" w:rsidRPr="00E06151">
        <w:rPr>
          <w:rFonts w:ascii="Open Sans" w:hAnsi="Open Sans" w:cs="Open Sans"/>
        </w:rPr>
        <w:t xml:space="preserve">avoiding </w:t>
      </w:r>
      <w:r w:rsidR="00BD10AC" w:rsidRPr="00E06151">
        <w:rPr>
          <w:rFonts w:ascii="Open Sans" w:hAnsi="Open Sans" w:cs="Open Sans"/>
        </w:rPr>
        <w:t xml:space="preserve">a </w:t>
      </w:r>
      <w:proofErr w:type="gramStart"/>
      <w:r w:rsidR="00FA18B8" w:rsidRPr="00E06151">
        <w:rPr>
          <w:rFonts w:ascii="Open Sans" w:hAnsi="Open Sans" w:cs="Open Sans"/>
        </w:rPr>
        <w:t>thresholds</w:t>
      </w:r>
      <w:proofErr w:type="gramEnd"/>
      <w:r w:rsidR="00FA18B8" w:rsidRPr="00E06151">
        <w:rPr>
          <w:rFonts w:ascii="Open Sans" w:hAnsi="Open Sans" w:cs="Open Sans"/>
        </w:rPr>
        <w:t xml:space="preserve"> that could limit innovative </w:t>
      </w:r>
      <w:r w:rsidR="00954412" w:rsidRPr="00E06151">
        <w:rPr>
          <w:rFonts w:ascii="Open Sans" w:hAnsi="Open Sans" w:cs="Open Sans"/>
        </w:rPr>
        <w:t xml:space="preserve">DSR products, which </w:t>
      </w:r>
      <w:r w:rsidR="00881C44" w:rsidRPr="00E06151">
        <w:rPr>
          <w:rFonts w:ascii="Open Sans" w:hAnsi="Open Sans" w:cs="Open Sans"/>
        </w:rPr>
        <w:t>might</w:t>
      </w:r>
      <w:r w:rsidR="00175A33" w:rsidRPr="00E06151">
        <w:rPr>
          <w:rFonts w:ascii="Open Sans" w:hAnsi="Open Sans" w:cs="Open Sans"/>
        </w:rPr>
        <w:t xml:space="preserve"> </w:t>
      </w:r>
      <w:r w:rsidR="008E7B40" w:rsidRPr="00E06151">
        <w:rPr>
          <w:rFonts w:ascii="Open Sans" w:hAnsi="Open Sans" w:cs="Open Sans"/>
        </w:rPr>
        <w:t xml:space="preserve">require </w:t>
      </w:r>
      <w:r w:rsidR="00175A33" w:rsidRPr="00E06151">
        <w:rPr>
          <w:rFonts w:ascii="Open Sans" w:hAnsi="Open Sans" w:cs="Open Sans"/>
        </w:rPr>
        <w:t xml:space="preserve">higher levels </w:t>
      </w:r>
      <w:r w:rsidR="00F6712B">
        <w:rPr>
          <w:rFonts w:ascii="Open Sans" w:hAnsi="Open Sans" w:cs="Open Sans"/>
        </w:rPr>
        <w:t>than</w:t>
      </w:r>
      <w:r w:rsidR="00175A33" w:rsidRPr="00E06151">
        <w:rPr>
          <w:rFonts w:ascii="Open Sans" w:hAnsi="Open Sans" w:cs="Open Sans"/>
        </w:rPr>
        <w:t xml:space="preserve"> </w:t>
      </w:r>
      <w:r w:rsidR="007E02EE" w:rsidRPr="00E06151">
        <w:rPr>
          <w:rFonts w:ascii="Open Sans" w:hAnsi="Open Sans" w:cs="Open Sans"/>
        </w:rPr>
        <w:t xml:space="preserve">10% </w:t>
      </w:r>
      <w:r w:rsidR="00175A33" w:rsidRPr="00E06151">
        <w:rPr>
          <w:rFonts w:ascii="Open Sans" w:hAnsi="Open Sans" w:cs="Open Sans"/>
        </w:rPr>
        <w:t>reallocation in order to enable widespread participation. As such, a</w:t>
      </w:r>
      <w:r w:rsidR="00954412" w:rsidRPr="00E06151">
        <w:rPr>
          <w:rFonts w:ascii="Open Sans" w:hAnsi="Open Sans" w:cs="Open Sans"/>
        </w:rPr>
        <w:t xml:space="preserve">long with the portfolio percentage approach, DESNZ may wish to consider </w:t>
      </w:r>
      <w:r w:rsidR="00E95278" w:rsidRPr="00E06151">
        <w:rPr>
          <w:rFonts w:ascii="Open Sans" w:hAnsi="Open Sans" w:cs="Open Sans"/>
        </w:rPr>
        <w:t>whether there is an option t</w:t>
      </w:r>
      <w:r w:rsidR="00594822" w:rsidRPr="00E06151">
        <w:rPr>
          <w:rFonts w:ascii="Open Sans" w:hAnsi="Open Sans" w:cs="Open Sans"/>
        </w:rPr>
        <w:t>o</w:t>
      </w:r>
      <w:r w:rsidR="00E95278" w:rsidRPr="00E06151">
        <w:rPr>
          <w:rFonts w:ascii="Open Sans" w:hAnsi="Open Sans" w:cs="Open Sans"/>
        </w:rPr>
        <w:t xml:space="preserve"> allow reallocation above th</w:t>
      </w:r>
      <w:r w:rsidR="00095F1B" w:rsidRPr="00E06151">
        <w:rPr>
          <w:rFonts w:ascii="Open Sans" w:hAnsi="Open Sans" w:cs="Open Sans"/>
        </w:rPr>
        <w:t>e percentage limit</w:t>
      </w:r>
      <w:r w:rsidR="00E95278" w:rsidRPr="00E06151">
        <w:rPr>
          <w:rFonts w:ascii="Open Sans" w:hAnsi="Open Sans" w:cs="Open Sans"/>
        </w:rPr>
        <w:t xml:space="preserve"> but at additional cos</w:t>
      </w:r>
      <w:r w:rsidR="00594822" w:rsidRPr="00E06151">
        <w:rPr>
          <w:rFonts w:ascii="Open Sans" w:hAnsi="Open Sans" w:cs="Open Sans"/>
        </w:rPr>
        <w:t>t</w:t>
      </w:r>
      <w:r w:rsidR="00E95278" w:rsidRPr="00E06151">
        <w:rPr>
          <w:rFonts w:ascii="Open Sans" w:hAnsi="Open Sans" w:cs="Open Sans"/>
        </w:rPr>
        <w:t xml:space="preserve"> to compensate for the </w:t>
      </w:r>
      <w:r w:rsidR="00594822" w:rsidRPr="00E06151">
        <w:rPr>
          <w:rFonts w:ascii="Open Sans" w:hAnsi="Open Sans" w:cs="Open Sans"/>
        </w:rPr>
        <w:t>additional</w:t>
      </w:r>
      <w:r w:rsidRPr="00E06151">
        <w:rPr>
          <w:rFonts w:ascii="Open Sans" w:hAnsi="Open Sans" w:cs="Open Sans"/>
        </w:rPr>
        <w:t xml:space="preserve"> </w:t>
      </w:r>
      <w:r w:rsidR="00594822" w:rsidRPr="00E06151">
        <w:rPr>
          <w:rFonts w:ascii="Open Sans" w:hAnsi="Open Sans" w:cs="Open Sans"/>
        </w:rPr>
        <w:t>administrative</w:t>
      </w:r>
      <w:r w:rsidRPr="00E06151">
        <w:rPr>
          <w:rFonts w:ascii="Open Sans" w:hAnsi="Open Sans" w:cs="Open Sans"/>
        </w:rPr>
        <w:t xml:space="preserve"> burden. </w:t>
      </w:r>
    </w:p>
    <w:p w14:paraId="216A5D0D" w14:textId="77777777" w:rsidR="009705EF" w:rsidRPr="00E06151" w:rsidRDefault="009705EF" w:rsidP="00444CF9">
      <w:pPr>
        <w:spacing w:after="0" w:line="240" w:lineRule="auto"/>
        <w:rPr>
          <w:rFonts w:ascii="Open Sans" w:hAnsi="Open Sans" w:cs="Open Sans"/>
        </w:rPr>
      </w:pPr>
    </w:p>
    <w:p w14:paraId="07DE0DC6" w14:textId="74F1EE3B" w:rsidR="000A3322" w:rsidRPr="00E06151" w:rsidRDefault="000A3322" w:rsidP="00444CF9">
      <w:pPr>
        <w:spacing w:after="0" w:line="240" w:lineRule="auto"/>
        <w:rPr>
          <w:rFonts w:ascii="Open Sans" w:hAnsi="Open Sans" w:cs="Open Sans"/>
          <w:b/>
          <w:bCs/>
        </w:rPr>
      </w:pPr>
      <w:r w:rsidRPr="00E06151">
        <w:rPr>
          <w:rFonts w:ascii="Open Sans" w:hAnsi="Open Sans" w:cs="Open Sans"/>
          <w:b/>
          <w:bCs/>
        </w:rPr>
        <w:t>Question 21: Do you agree with the above proposed changes to the Extended Years</w:t>
      </w:r>
      <w:r w:rsidR="00E06151">
        <w:rPr>
          <w:rFonts w:ascii="Open Sans" w:hAnsi="Open Sans" w:cs="Open Sans"/>
          <w:b/>
          <w:bCs/>
        </w:rPr>
        <w:t xml:space="preserve"> </w:t>
      </w:r>
      <w:r w:rsidRPr="00E06151">
        <w:rPr>
          <w:rFonts w:ascii="Open Sans" w:hAnsi="Open Sans" w:cs="Open Sans"/>
          <w:b/>
          <w:bCs/>
        </w:rPr>
        <w:t>Criteria? Are there any unintended consequences of these changes?</w:t>
      </w:r>
    </w:p>
    <w:p w14:paraId="0BD49CF6" w14:textId="77777777" w:rsidR="00B95CB3" w:rsidRPr="00E06151" w:rsidRDefault="00B95CB3" w:rsidP="00444CF9">
      <w:pPr>
        <w:spacing w:after="0" w:line="240" w:lineRule="auto"/>
        <w:rPr>
          <w:rFonts w:ascii="Open Sans" w:hAnsi="Open Sans" w:cs="Open Sans"/>
          <w:b/>
          <w:bCs/>
        </w:rPr>
      </w:pPr>
    </w:p>
    <w:p w14:paraId="63BBBDAE" w14:textId="40AF2633" w:rsidR="00B95CB3" w:rsidRPr="00E06151" w:rsidRDefault="00B95CB3" w:rsidP="00444CF9">
      <w:pPr>
        <w:spacing w:after="0" w:line="240" w:lineRule="auto"/>
        <w:rPr>
          <w:rFonts w:ascii="Open Sans" w:hAnsi="Open Sans" w:cs="Open Sans"/>
        </w:rPr>
      </w:pPr>
      <w:r w:rsidRPr="00E06151">
        <w:rPr>
          <w:rFonts w:ascii="Open Sans" w:hAnsi="Open Sans" w:cs="Open Sans"/>
        </w:rPr>
        <w:t>The REA support the proposed changes to extended life criteria.</w:t>
      </w:r>
    </w:p>
    <w:p w14:paraId="6175837D" w14:textId="77777777" w:rsidR="00B95CB3" w:rsidRPr="00E06151" w:rsidRDefault="00B95CB3" w:rsidP="00444CF9">
      <w:pPr>
        <w:spacing w:after="0" w:line="240" w:lineRule="auto"/>
        <w:rPr>
          <w:rFonts w:ascii="Open Sans" w:hAnsi="Open Sans" w:cs="Open Sans"/>
          <w:b/>
          <w:bCs/>
        </w:rPr>
      </w:pPr>
    </w:p>
    <w:p w14:paraId="14EDAF8D" w14:textId="4622A254" w:rsidR="000A3322" w:rsidRPr="00E06151" w:rsidRDefault="000A3322" w:rsidP="00444CF9">
      <w:pPr>
        <w:spacing w:after="0" w:line="240" w:lineRule="auto"/>
        <w:rPr>
          <w:rFonts w:ascii="Open Sans" w:hAnsi="Open Sans" w:cs="Open Sans"/>
          <w:b/>
          <w:bCs/>
        </w:rPr>
      </w:pPr>
      <w:r w:rsidRPr="00E06151">
        <w:rPr>
          <w:rFonts w:ascii="Open Sans" w:hAnsi="Open Sans" w:cs="Open Sans"/>
          <w:b/>
          <w:bCs/>
        </w:rPr>
        <w:t>Question 22: What are your views on the creation of new GTCs for DSR and which new</w:t>
      </w:r>
      <w:r w:rsidR="00E06151">
        <w:rPr>
          <w:rFonts w:ascii="Open Sans" w:hAnsi="Open Sans" w:cs="Open Sans"/>
          <w:b/>
          <w:bCs/>
        </w:rPr>
        <w:t xml:space="preserve"> </w:t>
      </w:r>
      <w:r w:rsidRPr="00E06151">
        <w:rPr>
          <w:rFonts w:ascii="Open Sans" w:hAnsi="Open Sans" w:cs="Open Sans"/>
          <w:b/>
          <w:bCs/>
        </w:rPr>
        <w:t>classes should be created? Please provide evidence to support your response.</w:t>
      </w:r>
    </w:p>
    <w:p w14:paraId="54DF678E" w14:textId="2575B0D4" w:rsidR="00DE5CAB" w:rsidRPr="00E06151" w:rsidRDefault="00F02702" w:rsidP="00444CF9">
      <w:pPr>
        <w:spacing w:after="0" w:line="240" w:lineRule="auto"/>
        <w:rPr>
          <w:rFonts w:ascii="Open Sans" w:hAnsi="Open Sans" w:cs="Open Sans"/>
        </w:rPr>
      </w:pPr>
      <w:r w:rsidRPr="00E06151">
        <w:rPr>
          <w:rFonts w:ascii="Open Sans" w:hAnsi="Open Sans" w:cs="Open Sans"/>
        </w:rPr>
        <w:t>Further member feedback is welcome.</w:t>
      </w:r>
    </w:p>
    <w:p w14:paraId="31EFB881" w14:textId="77777777" w:rsidR="00F02702" w:rsidRPr="00E06151" w:rsidRDefault="00F02702" w:rsidP="00444CF9">
      <w:pPr>
        <w:spacing w:after="0" w:line="240" w:lineRule="auto"/>
        <w:rPr>
          <w:rFonts w:ascii="Open Sans" w:hAnsi="Open Sans" w:cs="Open Sans"/>
        </w:rPr>
      </w:pPr>
    </w:p>
    <w:p w14:paraId="564A7575" w14:textId="2274D4AC" w:rsidR="006D270D" w:rsidRPr="00E06151" w:rsidRDefault="000A3322" w:rsidP="00444CF9">
      <w:pPr>
        <w:spacing w:after="0" w:line="240" w:lineRule="auto"/>
        <w:rPr>
          <w:rFonts w:ascii="Open Sans" w:hAnsi="Open Sans" w:cs="Open Sans"/>
          <w:b/>
          <w:bCs/>
        </w:rPr>
      </w:pPr>
      <w:r w:rsidRPr="00E06151">
        <w:rPr>
          <w:rFonts w:ascii="Open Sans" w:hAnsi="Open Sans" w:cs="Open Sans"/>
          <w:b/>
          <w:bCs/>
        </w:rPr>
        <w:t>Question 23: Do you have any comments or concerns regarding our proposal to publish</w:t>
      </w:r>
      <w:r w:rsidR="00E06151">
        <w:rPr>
          <w:rFonts w:ascii="Open Sans" w:hAnsi="Open Sans" w:cs="Open Sans"/>
          <w:b/>
          <w:bCs/>
        </w:rPr>
        <w:t xml:space="preserve"> </w:t>
      </w:r>
      <w:r w:rsidRPr="00E06151">
        <w:rPr>
          <w:rFonts w:ascii="Open Sans" w:hAnsi="Open Sans" w:cs="Open Sans"/>
          <w:b/>
          <w:bCs/>
        </w:rPr>
        <w:t>the fossil fuel emissions data (as stated above), disclosed in the Fossil Fuel Emissions</w:t>
      </w:r>
      <w:r w:rsidR="00E06151">
        <w:rPr>
          <w:rFonts w:ascii="Open Sans" w:hAnsi="Open Sans" w:cs="Open Sans"/>
          <w:b/>
          <w:bCs/>
        </w:rPr>
        <w:t xml:space="preserve"> </w:t>
      </w:r>
      <w:r w:rsidRPr="00E06151">
        <w:rPr>
          <w:rFonts w:ascii="Open Sans" w:hAnsi="Open Sans" w:cs="Open Sans"/>
          <w:b/>
          <w:bCs/>
        </w:rPr>
        <w:t>Declaration on the Capacity Market Register?</w:t>
      </w:r>
    </w:p>
    <w:p w14:paraId="7F1EE0A7" w14:textId="77777777" w:rsidR="00BE6530" w:rsidRPr="00E06151" w:rsidRDefault="00BE6530" w:rsidP="00444CF9">
      <w:pPr>
        <w:spacing w:after="0" w:line="240" w:lineRule="auto"/>
        <w:rPr>
          <w:rFonts w:ascii="Open Sans" w:hAnsi="Open Sans" w:cs="Open Sans"/>
        </w:rPr>
      </w:pPr>
    </w:p>
    <w:p w14:paraId="5AE02E64" w14:textId="77777777" w:rsidR="009520BE" w:rsidRDefault="00E368CA" w:rsidP="00444CF9">
      <w:pPr>
        <w:spacing w:after="0" w:line="240" w:lineRule="auto"/>
        <w:rPr>
          <w:rFonts w:ascii="Open Sans" w:hAnsi="Open Sans" w:cs="Open Sans"/>
        </w:rPr>
      </w:pPr>
      <w:r w:rsidRPr="00E06151">
        <w:rPr>
          <w:rFonts w:ascii="Open Sans" w:hAnsi="Open Sans" w:cs="Open Sans"/>
        </w:rPr>
        <w:t xml:space="preserve">The REA are supportive of </w:t>
      </w:r>
      <w:r w:rsidR="004510D3" w:rsidRPr="00E06151">
        <w:rPr>
          <w:rFonts w:ascii="Open Sans" w:hAnsi="Open Sans" w:cs="Open Sans"/>
        </w:rPr>
        <w:t>seeing fossil fuel emissions data, as disc</w:t>
      </w:r>
      <w:r w:rsidR="00681848" w:rsidRPr="00E06151">
        <w:rPr>
          <w:rFonts w:ascii="Open Sans" w:hAnsi="Open Sans" w:cs="Open Sans"/>
        </w:rPr>
        <w:t>losed on the Fossil Fuel Emissions Deceleration on the Capacity Market</w:t>
      </w:r>
      <w:r w:rsidR="00F759FD" w:rsidRPr="00E06151">
        <w:rPr>
          <w:rFonts w:ascii="Open Sans" w:hAnsi="Open Sans" w:cs="Open Sans"/>
        </w:rPr>
        <w:t xml:space="preserve"> Register</w:t>
      </w:r>
      <w:r w:rsidR="00681848" w:rsidRPr="00E06151">
        <w:rPr>
          <w:rFonts w:ascii="Open Sans" w:hAnsi="Open Sans" w:cs="Open Sans"/>
        </w:rPr>
        <w:t xml:space="preserve">. It is essential that </w:t>
      </w:r>
      <w:r w:rsidR="00960BB6" w:rsidRPr="00E06151">
        <w:rPr>
          <w:rFonts w:ascii="Open Sans" w:hAnsi="Open Sans" w:cs="Open Sans"/>
        </w:rPr>
        <w:t xml:space="preserve">approaches to emission calculation and methodology are consistent across government schemes, </w:t>
      </w:r>
      <w:r w:rsidR="00CC20C7" w:rsidRPr="00E06151">
        <w:rPr>
          <w:rFonts w:ascii="Open Sans" w:hAnsi="Open Sans" w:cs="Open Sans"/>
        </w:rPr>
        <w:t>importantly</w:t>
      </w:r>
      <w:r w:rsidR="00960BB6" w:rsidRPr="00E06151">
        <w:rPr>
          <w:rFonts w:ascii="Open Sans" w:hAnsi="Open Sans" w:cs="Open Sans"/>
        </w:rPr>
        <w:t xml:space="preserve"> </w:t>
      </w:r>
      <w:r w:rsidR="00CC20C7" w:rsidRPr="00E06151">
        <w:rPr>
          <w:rFonts w:ascii="Open Sans" w:hAnsi="Open Sans" w:cs="Open Sans"/>
        </w:rPr>
        <w:t>aligning</w:t>
      </w:r>
      <w:r w:rsidR="00960BB6" w:rsidRPr="00E06151">
        <w:rPr>
          <w:rFonts w:ascii="Open Sans" w:hAnsi="Open Sans" w:cs="Open Sans"/>
        </w:rPr>
        <w:t xml:space="preserve"> with the UK ETS. </w:t>
      </w:r>
    </w:p>
    <w:p w14:paraId="6CF0500B" w14:textId="77777777" w:rsidR="009520BE" w:rsidRDefault="009520BE" w:rsidP="00444CF9">
      <w:pPr>
        <w:spacing w:after="0" w:line="240" w:lineRule="auto"/>
        <w:rPr>
          <w:rFonts w:ascii="Open Sans" w:hAnsi="Open Sans" w:cs="Open Sans"/>
        </w:rPr>
      </w:pPr>
    </w:p>
    <w:p w14:paraId="0B5555E3" w14:textId="4F25BFDC" w:rsidR="00BC527B" w:rsidRDefault="00F440D7" w:rsidP="00444CF9">
      <w:pPr>
        <w:spacing w:after="0" w:line="240" w:lineRule="auto"/>
        <w:rPr>
          <w:rFonts w:ascii="Open Sans" w:hAnsi="Open Sans" w:cs="Open Sans"/>
        </w:rPr>
      </w:pPr>
      <w:r w:rsidRPr="00E06151">
        <w:rPr>
          <w:rFonts w:ascii="Open Sans" w:hAnsi="Open Sans" w:cs="Open Sans"/>
        </w:rPr>
        <w:t xml:space="preserve">We would also recommend it is made clear against the emission values where </w:t>
      </w:r>
      <w:r w:rsidR="00CC20C7" w:rsidRPr="00E06151">
        <w:rPr>
          <w:rFonts w:ascii="Open Sans" w:hAnsi="Open Sans" w:cs="Open Sans"/>
        </w:rPr>
        <w:t xml:space="preserve">decarbonisation activities are being pursued by a CMU, with the data updated when emission values are reduced, so that the register is appropraitly reflective through </w:t>
      </w:r>
      <w:r w:rsidR="009520BE">
        <w:rPr>
          <w:rFonts w:ascii="Open Sans" w:hAnsi="Open Sans" w:cs="Open Sans"/>
        </w:rPr>
        <w:t xml:space="preserve">the </w:t>
      </w:r>
      <w:r w:rsidR="00CC20C7" w:rsidRPr="00E06151">
        <w:rPr>
          <w:rFonts w:ascii="Open Sans" w:hAnsi="Open Sans" w:cs="Open Sans"/>
        </w:rPr>
        <w:t xml:space="preserve">operational lifetime of the asset. </w:t>
      </w:r>
    </w:p>
    <w:p w14:paraId="6DADF5D4" w14:textId="77777777" w:rsidR="00DD6969" w:rsidRDefault="00DD6969" w:rsidP="00444CF9">
      <w:pPr>
        <w:spacing w:after="0" w:line="240" w:lineRule="auto"/>
        <w:rPr>
          <w:rFonts w:ascii="Open Sans" w:hAnsi="Open Sans" w:cs="Open Sans"/>
        </w:rPr>
      </w:pPr>
    </w:p>
    <w:p w14:paraId="74EDB105" w14:textId="77777777" w:rsidR="00DD6969" w:rsidRDefault="00DD6969" w:rsidP="00444CF9">
      <w:pPr>
        <w:spacing w:after="0" w:line="240" w:lineRule="auto"/>
        <w:rPr>
          <w:rFonts w:ascii="Open Sans" w:hAnsi="Open Sans" w:cs="Open Sans"/>
        </w:rPr>
      </w:pPr>
    </w:p>
    <w:p w14:paraId="5257F075" w14:textId="77777777" w:rsidR="00DD6969" w:rsidRDefault="00DD6969" w:rsidP="00444CF9">
      <w:pPr>
        <w:spacing w:after="0" w:line="240" w:lineRule="auto"/>
        <w:rPr>
          <w:rFonts w:ascii="Open Sans" w:hAnsi="Open Sans" w:cs="Open Sans"/>
        </w:rPr>
      </w:pPr>
    </w:p>
    <w:p w14:paraId="1BFC1F5B" w14:textId="77777777" w:rsidR="00DD6969" w:rsidRDefault="00DD6969" w:rsidP="00444CF9">
      <w:pPr>
        <w:spacing w:after="0" w:line="240" w:lineRule="auto"/>
        <w:rPr>
          <w:rFonts w:ascii="Open Sans" w:hAnsi="Open Sans" w:cs="Open Sans"/>
        </w:rPr>
      </w:pPr>
    </w:p>
    <w:p w14:paraId="1DCE9A96" w14:textId="77777777" w:rsidR="00DD6969" w:rsidRDefault="00DD6969" w:rsidP="00444CF9">
      <w:pPr>
        <w:spacing w:after="0" w:line="240" w:lineRule="auto"/>
        <w:rPr>
          <w:rFonts w:ascii="Open Sans" w:hAnsi="Open Sans" w:cs="Open Sans"/>
        </w:rPr>
      </w:pPr>
    </w:p>
    <w:p w14:paraId="040EE497" w14:textId="77777777" w:rsidR="00DD6969" w:rsidRDefault="00DD6969" w:rsidP="00444CF9">
      <w:pPr>
        <w:spacing w:after="0" w:line="240" w:lineRule="auto"/>
        <w:rPr>
          <w:rFonts w:ascii="Open Sans" w:hAnsi="Open Sans" w:cs="Open Sans"/>
        </w:rPr>
      </w:pPr>
    </w:p>
    <w:p w14:paraId="7E668251" w14:textId="77777777" w:rsidR="00DD6969" w:rsidRDefault="00DD6969" w:rsidP="00444CF9">
      <w:pPr>
        <w:spacing w:after="0" w:line="240" w:lineRule="auto"/>
        <w:rPr>
          <w:rFonts w:ascii="Open Sans" w:hAnsi="Open Sans" w:cs="Open Sans"/>
        </w:rPr>
      </w:pPr>
    </w:p>
    <w:sectPr w:rsidR="00DD696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4BE59" w14:textId="77777777" w:rsidR="001E7077" w:rsidRDefault="001E7077" w:rsidP="00E06151">
      <w:pPr>
        <w:spacing w:after="0" w:line="240" w:lineRule="auto"/>
      </w:pPr>
      <w:r>
        <w:separator/>
      </w:r>
    </w:p>
  </w:endnote>
  <w:endnote w:type="continuationSeparator" w:id="0">
    <w:p w14:paraId="6A38C66B" w14:textId="77777777" w:rsidR="001E7077" w:rsidRDefault="001E7077" w:rsidP="00E0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CA0FA" w14:textId="77777777" w:rsidR="001E7077" w:rsidRDefault="001E7077" w:rsidP="00E06151">
      <w:pPr>
        <w:spacing w:after="0" w:line="240" w:lineRule="auto"/>
      </w:pPr>
      <w:r>
        <w:separator/>
      </w:r>
    </w:p>
  </w:footnote>
  <w:footnote w:type="continuationSeparator" w:id="0">
    <w:p w14:paraId="795AA78A" w14:textId="77777777" w:rsidR="001E7077" w:rsidRDefault="001E7077" w:rsidP="00E06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99BEA" w14:textId="5C4C8279" w:rsidR="00E06151" w:rsidRDefault="00E06151">
    <w:pPr>
      <w:pStyle w:val="Header"/>
    </w:pPr>
    <w:r>
      <w:rPr>
        <w:noProof/>
      </w:rPr>
      <w:drawing>
        <wp:anchor distT="0" distB="0" distL="114300" distR="114300" simplePos="0" relativeHeight="251659264" behindDoc="0" locked="0" layoutInCell="1" allowOverlap="1" wp14:anchorId="7E364E12" wp14:editId="204E9402">
          <wp:simplePos x="0" y="0"/>
          <wp:positionH relativeFrom="margin">
            <wp:align>right</wp:align>
          </wp:positionH>
          <wp:positionV relativeFrom="paragraph">
            <wp:posOffset>-137795</wp:posOffset>
          </wp:positionV>
          <wp:extent cx="1066800" cy="554355"/>
          <wp:effectExtent l="0" t="0" r="0"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6800" cy="554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31C0"/>
    <w:multiLevelType w:val="hybridMultilevel"/>
    <w:tmpl w:val="88EEA3CE"/>
    <w:lvl w:ilvl="0" w:tplc="FAA4F9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6320D"/>
    <w:multiLevelType w:val="hybridMultilevel"/>
    <w:tmpl w:val="DAEC1F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8D699F"/>
    <w:multiLevelType w:val="hybridMultilevel"/>
    <w:tmpl w:val="D3C83DFA"/>
    <w:lvl w:ilvl="0" w:tplc="FAA4F9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8153E"/>
    <w:multiLevelType w:val="hybridMultilevel"/>
    <w:tmpl w:val="BE869BF8"/>
    <w:lvl w:ilvl="0" w:tplc="00A0670C">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404F9"/>
    <w:multiLevelType w:val="hybridMultilevel"/>
    <w:tmpl w:val="F0C2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924A24"/>
    <w:multiLevelType w:val="hybridMultilevel"/>
    <w:tmpl w:val="79D2E482"/>
    <w:lvl w:ilvl="0" w:tplc="6784A250">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876189">
    <w:abstractNumId w:val="2"/>
  </w:num>
  <w:num w:numId="2" w16cid:durableId="406542065">
    <w:abstractNumId w:val="4"/>
  </w:num>
  <w:num w:numId="3" w16cid:durableId="1785225075">
    <w:abstractNumId w:val="0"/>
  </w:num>
  <w:num w:numId="4" w16cid:durableId="1637029745">
    <w:abstractNumId w:val="1"/>
  </w:num>
  <w:num w:numId="5" w16cid:durableId="145823604">
    <w:abstractNumId w:val="3"/>
  </w:num>
  <w:num w:numId="6" w16cid:durableId="1451626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22"/>
    <w:rsid w:val="000120ED"/>
    <w:rsid w:val="00043487"/>
    <w:rsid w:val="00050DA8"/>
    <w:rsid w:val="0008445F"/>
    <w:rsid w:val="000854B0"/>
    <w:rsid w:val="000904DA"/>
    <w:rsid w:val="00095F1B"/>
    <w:rsid w:val="000A3322"/>
    <w:rsid w:val="000A568A"/>
    <w:rsid w:val="000B7728"/>
    <w:rsid w:val="000C0FEC"/>
    <w:rsid w:val="000C7A36"/>
    <w:rsid w:val="000F62D9"/>
    <w:rsid w:val="00101111"/>
    <w:rsid w:val="001108E8"/>
    <w:rsid w:val="00114B16"/>
    <w:rsid w:val="00137E2A"/>
    <w:rsid w:val="0014062E"/>
    <w:rsid w:val="0014151D"/>
    <w:rsid w:val="001512D0"/>
    <w:rsid w:val="001537DD"/>
    <w:rsid w:val="00154935"/>
    <w:rsid w:val="001616D8"/>
    <w:rsid w:val="00167171"/>
    <w:rsid w:val="00175A33"/>
    <w:rsid w:val="00184C89"/>
    <w:rsid w:val="001A6181"/>
    <w:rsid w:val="001B2C06"/>
    <w:rsid w:val="001B4164"/>
    <w:rsid w:val="001C2FE0"/>
    <w:rsid w:val="001D45BB"/>
    <w:rsid w:val="001E7077"/>
    <w:rsid w:val="001F4000"/>
    <w:rsid w:val="00200A5A"/>
    <w:rsid w:val="00204509"/>
    <w:rsid w:val="0023302D"/>
    <w:rsid w:val="00233BEB"/>
    <w:rsid w:val="002410F0"/>
    <w:rsid w:val="00252CE6"/>
    <w:rsid w:val="00257567"/>
    <w:rsid w:val="00270C81"/>
    <w:rsid w:val="00275EA0"/>
    <w:rsid w:val="00284ADB"/>
    <w:rsid w:val="0028599C"/>
    <w:rsid w:val="00290562"/>
    <w:rsid w:val="00295D6A"/>
    <w:rsid w:val="002A3415"/>
    <w:rsid w:val="002D2527"/>
    <w:rsid w:val="002E3398"/>
    <w:rsid w:val="002E6A84"/>
    <w:rsid w:val="002F6F71"/>
    <w:rsid w:val="00303CDB"/>
    <w:rsid w:val="00304289"/>
    <w:rsid w:val="00305192"/>
    <w:rsid w:val="00311F53"/>
    <w:rsid w:val="00324C6E"/>
    <w:rsid w:val="00326192"/>
    <w:rsid w:val="00331022"/>
    <w:rsid w:val="0035097B"/>
    <w:rsid w:val="00360399"/>
    <w:rsid w:val="00365B1C"/>
    <w:rsid w:val="0037634E"/>
    <w:rsid w:val="003A044C"/>
    <w:rsid w:val="003E0131"/>
    <w:rsid w:val="003E028E"/>
    <w:rsid w:val="003E2E64"/>
    <w:rsid w:val="003E3720"/>
    <w:rsid w:val="003E3AEC"/>
    <w:rsid w:val="003F5D80"/>
    <w:rsid w:val="004005AB"/>
    <w:rsid w:val="0041053C"/>
    <w:rsid w:val="0041373C"/>
    <w:rsid w:val="00413847"/>
    <w:rsid w:val="0041573B"/>
    <w:rsid w:val="00426EC4"/>
    <w:rsid w:val="00444CF9"/>
    <w:rsid w:val="00445809"/>
    <w:rsid w:val="00447882"/>
    <w:rsid w:val="004510D3"/>
    <w:rsid w:val="004656E8"/>
    <w:rsid w:val="00474E65"/>
    <w:rsid w:val="00476B66"/>
    <w:rsid w:val="004806D6"/>
    <w:rsid w:val="004930D2"/>
    <w:rsid w:val="004A12F1"/>
    <w:rsid w:val="004B3F04"/>
    <w:rsid w:val="004C530A"/>
    <w:rsid w:val="004C6EE6"/>
    <w:rsid w:val="004D7306"/>
    <w:rsid w:val="0052255F"/>
    <w:rsid w:val="00525355"/>
    <w:rsid w:val="00531487"/>
    <w:rsid w:val="00555B69"/>
    <w:rsid w:val="00556AD7"/>
    <w:rsid w:val="00556BB6"/>
    <w:rsid w:val="00557320"/>
    <w:rsid w:val="005668A6"/>
    <w:rsid w:val="00575D5C"/>
    <w:rsid w:val="005827A9"/>
    <w:rsid w:val="005845C7"/>
    <w:rsid w:val="00594822"/>
    <w:rsid w:val="005A793E"/>
    <w:rsid w:val="005B1050"/>
    <w:rsid w:val="005B4B17"/>
    <w:rsid w:val="005D5F57"/>
    <w:rsid w:val="005E0373"/>
    <w:rsid w:val="005E39A6"/>
    <w:rsid w:val="005E63ED"/>
    <w:rsid w:val="005E6BA6"/>
    <w:rsid w:val="006013B8"/>
    <w:rsid w:val="006014D8"/>
    <w:rsid w:val="006038B8"/>
    <w:rsid w:val="0060398C"/>
    <w:rsid w:val="00620AB8"/>
    <w:rsid w:val="00632525"/>
    <w:rsid w:val="006360A2"/>
    <w:rsid w:val="00650271"/>
    <w:rsid w:val="00652392"/>
    <w:rsid w:val="006567F8"/>
    <w:rsid w:val="00657E2E"/>
    <w:rsid w:val="006626AE"/>
    <w:rsid w:val="00681848"/>
    <w:rsid w:val="00685D1D"/>
    <w:rsid w:val="00693F1B"/>
    <w:rsid w:val="006A5804"/>
    <w:rsid w:val="006B0D4C"/>
    <w:rsid w:val="006B17CD"/>
    <w:rsid w:val="006D270D"/>
    <w:rsid w:val="00702EE1"/>
    <w:rsid w:val="007034B8"/>
    <w:rsid w:val="00706E75"/>
    <w:rsid w:val="00713BE4"/>
    <w:rsid w:val="00720FE4"/>
    <w:rsid w:val="00734E69"/>
    <w:rsid w:val="00737903"/>
    <w:rsid w:val="00743811"/>
    <w:rsid w:val="0075625D"/>
    <w:rsid w:val="00784EA5"/>
    <w:rsid w:val="00794EE7"/>
    <w:rsid w:val="007A347A"/>
    <w:rsid w:val="007A4DCE"/>
    <w:rsid w:val="007B73DF"/>
    <w:rsid w:val="007D2279"/>
    <w:rsid w:val="007D44F2"/>
    <w:rsid w:val="007E02EE"/>
    <w:rsid w:val="007E4CD9"/>
    <w:rsid w:val="007F207A"/>
    <w:rsid w:val="008022DD"/>
    <w:rsid w:val="00805841"/>
    <w:rsid w:val="0080598B"/>
    <w:rsid w:val="00806421"/>
    <w:rsid w:val="00837A9D"/>
    <w:rsid w:val="00844F00"/>
    <w:rsid w:val="008704B0"/>
    <w:rsid w:val="00873432"/>
    <w:rsid w:val="008748B1"/>
    <w:rsid w:val="00876DBB"/>
    <w:rsid w:val="008813AE"/>
    <w:rsid w:val="00881C44"/>
    <w:rsid w:val="00886D00"/>
    <w:rsid w:val="008A1BF5"/>
    <w:rsid w:val="008B4120"/>
    <w:rsid w:val="008E4CD2"/>
    <w:rsid w:val="008E7B40"/>
    <w:rsid w:val="0090547C"/>
    <w:rsid w:val="00915EDE"/>
    <w:rsid w:val="00920F24"/>
    <w:rsid w:val="009237A3"/>
    <w:rsid w:val="00924AB5"/>
    <w:rsid w:val="00930B82"/>
    <w:rsid w:val="00931C70"/>
    <w:rsid w:val="009520BE"/>
    <w:rsid w:val="00954412"/>
    <w:rsid w:val="00956A55"/>
    <w:rsid w:val="00960BB6"/>
    <w:rsid w:val="009705EF"/>
    <w:rsid w:val="009739FE"/>
    <w:rsid w:val="0097532D"/>
    <w:rsid w:val="0097682C"/>
    <w:rsid w:val="009776CE"/>
    <w:rsid w:val="00980E9A"/>
    <w:rsid w:val="009A106E"/>
    <w:rsid w:val="009A1507"/>
    <w:rsid w:val="009A28CE"/>
    <w:rsid w:val="009A3F36"/>
    <w:rsid w:val="009B69D6"/>
    <w:rsid w:val="009C7276"/>
    <w:rsid w:val="009F2493"/>
    <w:rsid w:val="00A15935"/>
    <w:rsid w:val="00A20532"/>
    <w:rsid w:val="00A21C57"/>
    <w:rsid w:val="00A44432"/>
    <w:rsid w:val="00A44E4B"/>
    <w:rsid w:val="00A46CA2"/>
    <w:rsid w:val="00A526F9"/>
    <w:rsid w:val="00A539F9"/>
    <w:rsid w:val="00A61C4F"/>
    <w:rsid w:val="00A6543F"/>
    <w:rsid w:val="00A83A40"/>
    <w:rsid w:val="00A84927"/>
    <w:rsid w:val="00A875EC"/>
    <w:rsid w:val="00AA0DBC"/>
    <w:rsid w:val="00AA3580"/>
    <w:rsid w:val="00AB4D89"/>
    <w:rsid w:val="00AB7CEE"/>
    <w:rsid w:val="00AC524E"/>
    <w:rsid w:val="00AE0523"/>
    <w:rsid w:val="00AE62F1"/>
    <w:rsid w:val="00AF49D6"/>
    <w:rsid w:val="00AF6D8E"/>
    <w:rsid w:val="00AF7A92"/>
    <w:rsid w:val="00AF7B28"/>
    <w:rsid w:val="00B14C73"/>
    <w:rsid w:val="00B23218"/>
    <w:rsid w:val="00B42DFE"/>
    <w:rsid w:val="00B446E4"/>
    <w:rsid w:val="00B53FC3"/>
    <w:rsid w:val="00B64D3F"/>
    <w:rsid w:val="00B75399"/>
    <w:rsid w:val="00B7595F"/>
    <w:rsid w:val="00B76E77"/>
    <w:rsid w:val="00B86AEB"/>
    <w:rsid w:val="00B95CB3"/>
    <w:rsid w:val="00BA6FE4"/>
    <w:rsid w:val="00BA79BD"/>
    <w:rsid w:val="00BC1205"/>
    <w:rsid w:val="00BC3BD8"/>
    <w:rsid w:val="00BC527B"/>
    <w:rsid w:val="00BC634D"/>
    <w:rsid w:val="00BD10AC"/>
    <w:rsid w:val="00BE6530"/>
    <w:rsid w:val="00C10E05"/>
    <w:rsid w:val="00C2001A"/>
    <w:rsid w:val="00C20621"/>
    <w:rsid w:val="00C251DF"/>
    <w:rsid w:val="00C31779"/>
    <w:rsid w:val="00C35551"/>
    <w:rsid w:val="00C36968"/>
    <w:rsid w:val="00C41C2B"/>
    <w:rsid w:val="00C469C6"/>
    <w:rsid w:val="00C76CCA"/>
    <w:rsid w:val="00CC18BF"/>
    <w:rsid w:val="00CC20C7"/>
    <w:rsid w:val="00CD0652"/>
    <w:rsid w:val="00CD4D25"/>
    <w:rsid w:val="00CE5B72"/>
    <w:rsid w:val="00CE75A3"/>
    <w:rsid w:val="00D01858"/>
    <w:rsid w:val="00D137C8"/>
    <w:rsid w:val="00D21A3B"/>
    <w:rsid w:val="00D23A7A"/>
    <w:rsid w:val="00D44F71"/>
    <w:rsid w:val="00D46F03"/>
    <w:rsid w:val="00D7197C"/>
    <w:rsid w:val="00D72717"/>
    <w:rsid w:val="00D73611"/>
    <w:rsid w:val="00D87C24"/>
    <w:rsid w:val="00DB6418"/>
    <w:rsid w:val="00DB76D5"/>
    <w:rsid w:val="00DC04D0"/>
    <w:rsid w:val="00DC5940"/>
    <w:rsid w:val="00DD0286"/>
    <w:rsid w:val="00DD6969"/>
    <w:rsid w:val="00DE239E"/>
    <w:rsid w:val="00DE5CAB"/>
    <w:rsid w:val="00DE74A1"/>
    <w:rsid w:val="00DF622F"/>
    <w:rsid w:val="00E06151"/>
    <w:rsid w:val="00E06256"/>
    <w:rsid w:val="00E070DE"/>
    <w:rsid w:val="00E14F61"/>
    <w:rsid w:val="00E2494C"/>
    <w:rsid w:val="00E27469"/>
    <w:rsid w:val="00E368CA"/>
    <w:rsid w:val="00E428FA"/>
    <w:rsid w:val="00E462AB"/>
    <w:rsid w:val="00E50DDD"/>
    <w:rsid w:val="00E66453"/>
    <w:rsid w:val="00E72C94"/>
    <w:rsid w:val="00E822EA"/>
    <w:rsid w:val="00E87954"/>
    <w:rsid w:val="00E95278"/>
    <w:rsid w:val="00EA25B5"/>
    <w:rsid w:val="00EB33AA"/>
    <w:rsid w:val="00EB7A3F"/>
    <w:rsid w:val="00EC5AC3"/>
    <w:rsid w:val="00EC5B4B"/>
    <w:rsid w:val="00ED086F"/>
    <w:rsid w:val="00EE5B49"/>
    <w:rsid w:val="00EE6050"/>
    <w:rsid w:val="00EE6536"/>
    <w:rsid w:val="00EE73FF"/>
    <w:rsid w:val="00F02702"/>
    <w:rsid w:val="00F04F3A"/>
    <w:rsid w:val="00F2107C"/>
    <w:rsid w:val="00F440D7"/>
    <w:rsid w:val="00F54362"/>
    <w:rsid w:val="00F62BB1"/>
    <w:rsid w:val="00F6712B"/>
    <w:rsid w:val="00F759FD"/>
    <w:rsid w:val="00F97220"/>
    <w:rsid w:val="00F97B74"/>
    <w:rsid w:val="00FA18B8"/>
    <w:rsid w:val="00FA75DF"/>
    <w:rsid w:val="00FB4D5D"/>
    <w:rsid w:val="00FC4B61"/>
    <w:rsid w:val="00FC631A"/>
    <w:rsid w:val="00FF7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2DAE"/>
  <w15:chartTrackingRefBased/>
  <w15:docId w15:val="{39AB1F5A-662A-433E-9E8D-72BB9ABD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322"/>
    <w:pPr>
      <w:ind w:left="720"/>
      <w:contextualSpacing/>
    </w:pPr>
  </w:style>
  <w:style w:type="paragraph" w:styleId="Header">
    <w:name w:val="header"/>
    <w:basedOn w:val="Normal"/>
    <w:link w:val="HeaderChar"/>
    <w:uiPriority w:val="99"/>
    <w:unhideWhenUsed/>
    <w:rsid w:val="00E06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151"/>
  </w:style>
  <w:style w:type="paragraph" w:styleId="Footer">
    <w:name w:val="footer"/>
    <w:basedOn w:val="Normal"/>
    <w:link w:val="FooterChar"/>
    <w:uiPriority w:val="99"/>
    <w:unhideWhenUsed/>
    <w:rsid w:val="00E06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4" ma:contentTypeDescription="Create a new document." ma:contentTypeScope="" ma:versionID="6b62226f53cfecde278568eb98a1066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b091d3182c59308d06b7c20c97380d9d"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Props1.xml><?xml version="1.0" encoding="utf-8"?>
<ds:datastoreItem xmlns:ds="http://schemas.openxmlformats.org/officeDocument/2006/customXml" ds:itemID="{D283D2A3-4189-4588-95A4-AC78361565BE}">
  <ds:schemaRefs>
    <ds:schemaRef ds:uri="http://schemas.openxmlformats.org/officeDocument/2006/bibliography"/>
  </ds:schemaRefs>
</ds:datastoreItem>
</file>

<file path=customXml/itemProps2.xml><?xml version="1.0" encoding="utf-8"?>
<ds:datastoreItem xmlns:ds="http://schemas.openxmlformats.org/officeDocument/2006/customXml" ds:itemID="{12AC2662-AE34-487A-8DAA-FA13D0A86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B4CBC-82BC-472E-BBBF-BDA97FBEAB20}">
  <ds:schemaRefs>
    <ds:schemaRef ds:uri="http://schemas.microsoft.com/sharepoint/v3/contenttype/forms"/>
  </ds:schemaRefs>
</ds:datastoreItem>
</file>

<file path=customXml/itemProps4.xml><?xml version="1.0" encoding="utf-8"?>
<ds:datastoreItem xmlns:ds="http://schemas.openxmlformats.org/officeDocument/2006/customXml" ds:itemID="{8FFF5870-EB02-45FF-B477-21D71103A598}">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7</Pages>
  <Words>2615</Words>
  <Characters>14909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Mark Sommerfeld</cp:lastModifiedBy>
  <cp:revision>299</cp:revision>
  <dcterms:created xsi:type="dcterms:W3CDTF">2023-11-30T14:16:00Z</dcterms:created>
  <dcterms:modified xsi:type="dcterms:W3CDTF">2023-12-06T10:40:00Z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