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84F8A" w14:textId="3B72DFAA" w:rsidR="006B7CF4" w:rsidRDefault="003058D5" w:rsidP="00BD7B08">
      <w:pPr>
        <w:ind w:left="-142"/>
        <w:rPr>
          <w:b/>
          <w:bCs/>
          <w:color w:val="FF0000"/>
        </w:rPr>
      </w:pPr>
      <w:r w:rsidRPr="003058D5">
        <w:rPr>
          <w:b/>
          <w:bCs/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49736E0E" wp14:editId="2200193B">
            <wp:simplePos x="0" y="0"/>
            <wp:positionH relativeFrom="column">
              <wp:posOffset>3727450</wp:posOffset>
            </wp:positionH>
            <wp:positionV relativeFrom="page">
              <wp:posOffset>260350</wp:posOffset>
            </wp:positionV>
            <wp:extent cx="2719705" cy="464185"/>
            <wp:effectExtent l="0" t="0" r="4445" b="0"/>
            <wp:wrapSquare wrapText="bothSides"/>
            <wp:docPr id="1595172930" name="Picture 1" descr="A green and white sig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172930" name="Picture 1" descr="A green and white sig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70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5AFCC0" w14:textId="37A54F8A" w:rsidR="003058D5" w:rsidRDefault="003058D5" w:rsidP="00BD7B08">
      <w:pPr>
        <w:ind w:left="-142"/>
        <w:rPr>
          <w:b/>
          <w:bCs/>
          <w:color w:val="FF0000"/>
        </w:rPr>
      </w:pPr>
    </w:p>
    <w:p w14:paraId="28050C4D" w14:textId="3EB46B28" w:rsidR="003058D5" w:rsidRPr="002D75BD" w:rsidRDefault="003058D5" w:rsidP="00BD7B08">
      <w:pPr>
        <w:ind w:left="-142"/>
        <w:rPr>
          <w:rFonts w:ascii="Open Sans" w:hAnsi="Open Sans" w:cs="Open Sans"/>
          <w:b/>
          <w:bCs/>
          <w:color w:val="FF0000"/>
        </w:rPr>
      </w:pPr>
    </w:p>
    <w:p w14:paraId="6C51EE2B" w14:textId="30D5DFFE" w:rsidR="003058D5" w:rsidRPr="00335EF3" w:rsidRDefault="00BA3269" w:rsidP="00BD7B08">
      <w:pPr>
        <w:ind w:left="-142"/>
        <w:jc w:val="center"/>
        <w:rPr>
          <w:rFonts w:ascii="Open Sans" w:hAnsi="Open Sans" w:cs="Open Sans"/>
          <w:b/>
          <w:bCs/>
          <w:color w:val="06926B"/>
          <w:sz w:val="24"/>
          <w:szCs w:val="24"/>
        </w:rPr>
      </w:pPr>
      <w:r w:rsidRPr="00335EF3">
        <w:rPr>
          <w:rFonts w:ascii="Open Sans" w:hAnsi="Open Sans" w:cs="Open Sans"/>
          <w:b/>
          <w:bCs/>
          <w:color w:val="06926B"/>
          <w:sz w:val="24"/>
          <w:szCs w:val="24"/>
        </w:rPr>
        <w:t xml:space="preserve">REA </w:t>
      </w:r>
      <w:r w:rsidR="00432AF0" w:rsidRPr="00335EF3">
        <w:rPr>
          <w:rFonts w:ascii="Open Sans" w:hAnsi="Open Sans" w:cs="Open Sans"/>
          <w:b/>
          <w:bCs/>
          <w:color w:val="06926B"/>
          <w:sz w:val="24"/>
          <w:szCs w:val="24"/>
        </w:rPr>
        <w:t xml:space="preserve">Response: </w:t>
      </w:r>
      <w:r w:rsidR="00335EF3" w:rsidRPr="00335EF3">
        <w:rPr>
          <w:rFonts w:ascii="Open Sans" w:hAnsi="Open Sans" w:cs="Open Sans"/>
          <w:b/>
          <w:bCs/>
          <w:color w:val="06926B"/>
          <w:sz w:val="24"/>
          <w:szCs w:val="24"/>
        </w:rPr>
        <w:t>Long Duration Energy Storage Consultation</w:t>
      </w:r>
    </w:p>
    <w:p w14:paraId="6C24BF85" w14:textId="77777777" w:rsidR="00335EF3" w:rsidRDefault="00335EF3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color w:val="FF0000"/>
          <w:sz w:val="20"/>
          <w:szCs w:val="20"/>
        </w:rPr>
      </w:pPr>
    </w:p>
    <w:p w14:paraId="6BB502D0" w14:textId="2A968979" w:rsidR="00AD09AE" w:rsidRDefault="00AD09AE" w:rsidP="00BD7B08">
      <w:pPr>
        <w:pStyle w:val="ListParagraph"/>
        <w:numPr>
          <w:ilvl w:val="0"/>
          <w:numId w:val="1"/>
        </w:numPr>
        <w:ind w:left="-142" w:firstLine="0"/>
        <w:jc w:val="both"/>
        <w:rPr>
          <w:rFonts w:ascii="Open Sans" w:hAnsi="Open Sans" w:cs="Open Sans"/>
          <w:b/>
          <w:bCs/>
          <w:color w:val="2F5496" w:themeColor="accent1" w:themeShade="BF"/>
          <w:sz w:val="20"/>
          <w:szCs w:val="20"/>
        </w:rPr>
      </w:pPr>
      <w:r w:rsidRPr="00335EF3">
        <w:rPr>
          <w:rFonts w:ascii="Open Sans" w:hAnsi="Open Sans" w:cs="Open Sans"/>
          <w:b/>
          <w:bCs/>
          <w:color w:val="2F5496" w:themeColor="accent1" w:themeShade="BF"/>
          <w:sz w:val="20"/>
          <w:szCs w:val="20"/>
        </w:rPr>
        <w:t>Do you agree with the policy objectives that have been identified? Please explain your reasoning.</w:t>
      </w:r>
    </w:p>
    <w:p w14:paraId="7A7DAA3F" w14:textId="77777777" w:rsidR="00E7263D" w:rsidRDefault="00D45826" w:rsidP="00BD7B08">
      <w:pPr>
        <w:ind w:left="-142"/>
        <w:jc w:val="both"/>
        <w:rPr>
          <w:rFonts w:ascii="Open Sans" w:hAnsi="Open Sans" w:cs="Open Sans"/>
          <w:sz w:val="20"/>
          <w:szCs w:val="20"/>
        </w:rPr>
      </w:pPr>
      <w:r w:rsidRPr="00D45826">
        <w:rPr>
          <w:rFonts w:ascii="Open Sans" w:hAnsi="Open Sans" w:cs="Open Sans"/>
          <w:sz w:val="20"/>
          <w:szCs w:val="20"/>
        </w:rPr>
        <w:t xml:space="preserve">Yes, </w:t>
      </w:r>
      <w:r>
        <w:rPr>
          <w:rFonts w:ascii="Open Sans" w:hAnsi="Open Sans" w:cs="Open Sans"/>
          <w:sz w:val="20"/>
          <w:szCs w:val="20"/>
        </w:rPr>
        <w:t xml:space="preserve">the REA </w:t>
      </w:r>
      <w:r w:rsidR="002068B2">
        <w:rPr>
          <w:rFonts w:ascii="Open Sans" w:hAnsi="Open Sans" w:cs="Open Sans"/>
          <w:sz w:val="20"/>
          <w:szCs w:val="20"/>
        </w:rPr>
        <w:t>broadly</w:t>
      </w:r>
      <w:r>
        <w:rPr>
          <w:rFonts w:ascii="Open Sans" w:hAnsi="Open Sans" w:cs="Open Sans"/>
          <w:sz w:val="20"/>
          <w:szCs w:val="20"/>
        </w:rPr>
        <w:t xml:space="preserve"> agree with the stated </w:t>
      </w:r>
      <w:r w:rsidR="00EE4279">
        <w:rPr>
          <w:rFonts w:ascii="Open Sans" w:hAnsi="Open Sans" w:cs="Open Sans"/>
          <w:sz w:val="20"/>
          <w:szCs w:val="20"/>
        </w:rPr>
        <w:t xml:space="preserve">policy objectives in the consultation. </w:t>
      </w:r>
    </w:p>
    <w:p w14:paraId="6EEFBC9E" w14:textId="12B0AE1E" w:rsidR="00D45826" w:rsidRDefault="002068B2" w:rsidP="00BD7B08">
      <w:pPr>
        <w:ind w:left="-142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We</w:t>
      </w:r>
      <w:r w:rsidR="00EE4279">
        <w:rPr>
          <w:rFonts w:ascii="Open Sans" w:hAnsi="Open Sans" w:cs="Open Sans"/>
          <w:sz w:val="20"/>
          <w:szCs w:val="20"/>
        </w:rPr>
        <w:t xml:space="preserve"> </w:t>
      </w:r>
      <w:r w:rsidR="0066159F">
        <w:rPr>
          <w:rFonts w:ascii="Open Sans" w:hAnsi="Open Sans" w:cs="Open Sans"/>
          <w:sz w:val="20"/>
          <w:szCs w:val="20"/>
        </w:rPr>
        <w:t>particularly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EE4279">
        <w:rPr>
          <w:rFonts w:ascii="Open Sans" w:hAnsi="Open Sans" w:cs="Open Sans"/>
          <w:sz w:val="20"/>
          <w:szCs w:val="20"/>
        </w:rPr>
        <w:t xml:space="preserve">highlight the importance of </w:t>
      </w:r>
      <w:r>
        <w:rPr>
          <w:rFonts w:ascii="Open Sans" w:hAnsi="Open Sans" w:cs="Open Sans"/>
          <w:sz w:val="20"/>
          <w:szCs w:val="20"/>
        </w:rPr>
        <w:t>o</w:t>
      </w:r>
      <w:r w:rsidR="00C02DB2">
        <w:rPr>
          <w:rFonts w:ascii="Open Sans" w:hAnsi="Open Sans" w:cs="Open Sans"/>
          <w:sz w:val="20"/>
          <w:szCs w:val="20"/>
        </w:rPr>
        <w:t xml:space="preserve">bjectives for </w:t>
      </w:r>
      <w:r w:rsidR="00EE4279">
        <w:rPr>
          <w:rFonts w:ascii="Open Sans" w:hAnsi="Open Sans" w:cs="Open Sans"/>
          <w:sz w:val="20"/>
          <w:szCs w:val="20"/>
        </w:rPr>
        <w:t xml:space="preserve">enabling investment and </w:t>
      </w:r>
      <w:r w:rsidR="00C02DB2">
        <w:rPr>
          <w:rFonts w:ascii="Open Sans" w:hAnsi="Open Sans" w:cs="Open Sans"/>
          <w:sz w:val="20"/>
          <w:szCs w:val="20"/>
        </w:rPr>
        <w:t xml:space="preserve">ensuring deliverability </w:t>
      </w:r>
      <w:r w:rsidR="00AF55D2">
        <w:rPr>
          <w:rFonts w:ascii="Open Sans" w:hAnsi="Open Sans" w:cs="Open Sans"/>
          <w:sz w:val="20"/>
          <w:szCs w:val="20"/>
        </w:rPr>
        <w:t>with</w:t>
      </w:r>
      <w:r w:rsidR="00C02DB2">
        <w:rPr>
          <w:rFonts w:ascii="Open Sans" w:hAnsi="Open Sans" w:cs="Open Sans"/>
          <w:sz w:val="20"/>
          <w:szCs w:val="20"/>
        </w:rPr>
        <w:t xml:space="preserve">in </w:t>
      </w:r>
      <w:r w:rsidR="00AF55D2">
        <w:rPr>
          <w:rFonts w:ascii="Open Sans" w:hAnsi="Open Sans" w:cs="Open Sans"/>
          <w:sz w:val="20"/>
          <w:szCs w:val="20"/>
        </w:rPr>
        <w:t xml:space="preserve">a </w:t>
      </w:r>
      <w:r w:rsidR="00C02DB2">
        <w:rPr>
          <w:rFonts w:ascii="Open Sans" w:hAnsi="Open Sans" w:cs="Open Sans"/>
          <w:sz w:val="20"/>
          <w:szCs w:val="20"/>
        </w:rPr>
        <w:t>sensible time frame. Without meeting these objectives</w:t>
      </w:r>
      <w:r w:rsidR="001713A2">
        <w:rPr>
          <w:rFonts w:ascii="Open Sans" w:hAnsi="Open Sans" w:cs="Open Sans"/>
          <w:sz w:val="20"/>
          <w:szCs w:val="20"/>
        </w:rPr>
        <w:t>,</w:t>
      </w:r>
      <w:r w:rsidR="00C02DB2">
        <w:rPr>
          <w:rFonts w:ascii="Open Sans" w:hAnsi="Open Sans" w:cs="Open Sans"/>
          <w:sz w:val="20"/>
          <w:szCs w:val="20"/>
        </w:rPr>
        <w:t xml:space="preserve"> the UK will fail to attract the investment require</w:t>
      </w:r>
      <w:r w:rsidR="0066159F">
        <w:rPr>
          <w:rFonts w:ascii="Open Sans" w:hAnsi="Open Sans" w:cs="Open Sans"/>
          <w:sz w:val="20"/>
          <w:szCs w:val="20"/>
        </w:rPr>
        <w:t>d</w:t>
      </w:r>
      <w:r w:rsidR="00C02DB2">
        <w:rPr>
          <w:rFonts w:ascii="Open Sans" w:hAnsi="Open Sans" w:cs="Open Sans"/>
          <w:sz w:val="20"/>
          <w:szCs w:val="20"/>
        </w:rPr>
        <w:t xml:space="preserve"> to see a range of </w:t>
      </w:r>
      <w:r w:rsidR="00FF29EB">
        <w:rPr>
          <w:rFonts w:ascii="Open Sans" w:hAnsi="Open Sans" w:cs="Open Sans"/>
          <w:sz w:val="20"/>
          <w:szCs w:val="20"/>
        </w:rPr>
        <w:t>L</w:t>
      </w:r>
      <w:r w:rsidR="00C02DB2">
        <w:rPr>
          <w:rFonts w:ascii="Open Sans" w:hAnsi="Open Sans" w:cs="Open Sans"/>
          <w:sz w:val="20"/>
          <w:szCs w:val="20"/>
        </w:rPr>
        <w:t xml:space="preserve">ong </w:t>
      </w:r>
      <w:r w:rsidR="00FF29EB">
        <w:rPr>
          <w:rFonts w:ascii="Open Sans" w:hAnsi="Open Sans" w:cs="Open Sans"/>
          <w:sz w:val="20"/>
          <w:szCs w:val="20"/>
        </w:rPr>
        <w:t>D</w:t>
      </w:r>
      <w:r w:rsidR="00C02DB2">
        <w:rPr>
          <w:rFonts w:ascii="Open Sans" w:hAnsi="Open Sans" w:cs="Open Sans"/>
          <w:sz w:val="20"/>
          <w:szCs w:val="20"/>
        </w:rPr>
        <w:t xml:space="preserve">uration </w:t>
      </w:r>
      <w:r w:rsidR="00FF29EB">
        <w:rPr>
          <w:rFonts w:ascii="Open Sans" w:hAnsi="Open Sans" w:cs="Open Sans"/>
          <w:sz w:val="20"/>
          <w:szCs w:val="20"/>
        </w:rPr>
        <w:t>E</w:t>
      </w:r>
      <w:r w:rsidR="00C02DB2">
        <w:rPr>
          <w:rFonts w:ascii="Open Sans" w:hAnsi="Open Sans" w:cs="Open Sans"/>
          <w:sz w:val="20"/>
          <w:szCs w:val="20"/>
        </w:rPr>
        <w:t xml:space="preserve">nergy </w:t>
      </w:r>
      <w:r w:rsidR="00FF29EB">
        <w:rPr>
          <w:rFonts w:ascii="Open Sans" w:hAnsi="Open Sans" w:cs="Open Sans"/>
          <w:sz w:val="20"/>
          <w:szCs w:val="20"/>
        </w:rPr>
        <w:t>S</w:t>
      </w:r>
      <w:r w:rsidR="00C02DB2">
        <w:rPr>
          <w:rFonts w:ascii="Open Sans" w:hAnsi="Open Sans" w:cs="Open Sans"/>
          <w:sz w:val="20"/>
          <w:szCs w:val="20"/>
        </w:rPr>
        <w:t xml:space="preserve">torage (LDES) technologies </w:t>
      </w:r>
      <w:r w:rsidR="004669DC">
        <w:rPr>
          <w:rFonts w:ascii="Open Sans" w:hAnsi="Open Sans" w:cs="Open Sans"/>
          <w:sz w:val="20"/>
          <w:szCs w:val="20"/>
        </w:rPr>
        <w:t>delivered or</w:t>
      </w:r>
      <w:r w:rsidR="0066159F">
        <w:rPr>
          <w:rFonts w:ascii="Open Sans" w:hAnsi="Open Sans" w:cs="Open Sans"/>
          <w:sz w:val="20"/>
          <w:szCs w:val="20"/>
        </w:rPr>
        <w:t xml:space="preserve"> be able to do so in the time needed to meet the </w:t>
      </w:r>
      <w:r w:rsidR="00812FC7">
        <w:rPr>
          <w:rFonts w:ascii="Open Sans" w:hAnsi="Open Sans" w:cs="Open Sans"/>
          <w:sz w:val="20"/>
          <w:szCs w:val="20"/>
        </w:rPr>
        <w:t>G</w:t>
      </w:r>
      <w:r w:rsidR="0066159F">
        <w:rPr>
          <w:rFonts w:ascii="Open Sans" w:hAnsi="Open Sans" w:cs="Open Sans"/>
          <w:sz w:val="20"/>
          <w:szCs w:val="20"/>
        </w:rPr>
        <w:t>overnment</w:t>
      </w:r>
      <w:r w:rsidR="00812FC7">
        <w:rPr>
          <w:rFonts w:ascii="Open Sans" w:hAnsi="Open Sans" w:cs="Open Sans"/>
          <w:sz w:val="20"/>
          <w:szCs w:val="20"/>
        </w:rPr>
        <w:t>’</w:t>
      </w:r>
      <w:r w:rsidR="0066159F">
        <w:rPr>
          <w:rFonts w:ascii="Open Sans" w:hAnsi="Open Sans" w:cs="Open Sans"/>
          <w:sz w:val="20"/>
          <w:szCs w:val="20"/>
        </w:rPr>
        <w:t xml:space="preserve">s ambitions for </w:t>
      </w:r>
      <w:r w:rsidR="00812FC7">
        <w:rPr>
          <w:rFonts w:ascii="Open Sans" w:hAnsi="Open Sans" w:cs="Open Sans"/>
          <w:sz w:val="20"/>
          <w:szCs w:val="20"/>
        </w:rPr>
        <w:t>N</w:t>
      </w:r>
      <w:r w:rsidR="0066159F">
        <w:rPr>
          <w:rFonts w:ascii="Open Sans" w:hAnsi="Open Sans" w:cs="Open Sans"/>
          <w:sz w:val="20"/>
          <w:szCs w:val="20"/>
        </w:rPr>
        <w:t xml:space="preserve">et </w:t>
      </w:r>
      <w:r w:rsidR="00812FC7">
        <w:rPr>
          <w:rFonts w:ascii="Open Sans" w:hAnsi="Open Sans" w:cs="Open Sans"/>
          <w:sz w:val="20"/>
          <w:szCs w:val="20"/>
        </w:rPr>
        <w:t>Z</w:t>
      </w:r>
      <w:r w:rsidR="0066159F">
        <w:rPr>
          <w:rFonts w:ascii="Open Sans" w:hAnsi="Open Sans" w:cs="Open Sans"/>
          <w:sz w:val="20"/>
          <w:szCs w:val="20"/>
        </w:rPr>
        <w:t xml:space="preserve">ero or </w:t>
      </w:r>
      <w:r w:rsidR="00F56664">
        <w:rPr>
          <w:rFonts w:ascii="Open Sans" w:hAnsi="Open Sans" w:cs="Open Sans"/>
          <w:sz w:val="20"/>
          <w:szCs w:val="20"/>
        </w:rPr>
        <w:t xml:space="preserve">their 2035 target for a </w:t>
      </w:r>
      <w:r w:rsidR="00F46660">
        <w:rPr>
          <w:rFonts w:ascii="Open Sans" w:hAnsi="Open Sans" w:cs="Open Sans"/>
          <w:sz w:val="20"/>
          <w:szCs w:val="20"/>
        </w:rPr>
        <w:t>fully decarbonised</w:t>
      </w:r>
      <w:r w:rsidR="00F56664">
        <w:rPr>
          <w:rFonts w:ascii="Open Sans" w:hAnsi="Open Sans" w:cs="Open Sans"/>
          <w:sz w:val="20"/>
          <w:szCs w:val="20"/>
        </w:rPr>
        <w:t xml:space="preserve"> power system</w:t>
      </w:r>
      <w:r w:rsidR="00C02DB2">
        <w:rPr>
          <w:rFonts w:ascii="Open Sans" w:hAnsi="Open Sans" w:cs="Open Sans"/>
          <w:sz w:val="20"/>
          <w:szCs w:val="20"/>
        </w:rPr>
        <w:t xml:space="preserve">. </w:t>
      </w:r>
    </w:p>
    <w:p w14:paraId="74E76CBE" w14:textId="5BF89471" w:rsidR="003463F0" w:rsidRPr="00EA4C4D" w:rsidRDefault="00F56664" w:rsidP="00BD7B08">
      <w:pPr>
        <w:ind w:left="-142"/>
        <w:jc w:val="both"/>
        <w:rPr>
          <w:rFonts w:ascii="Open Sans" w:hAnsi="Open Sans" w:cs="Open Sans"/>
          <w:b/>
          <w:bCs/>
          <w:color w:val="2F5496" w:themeColor="accent1" w:themeShade="BF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We also welcome other </w:t>
      </w:r>
      <w:r w:rsidR="004669DC">
        <w:rPr>
          <w:rFonts w:ascii="Open Sans" w:hAnsi="Open Sans" w:cs="Open Sans"/>
          <w:sz w:val="20"/>
          <w:szCs w:val="20"/>
        </w:rPr>
        <w:t>objectives and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546F10">
        <w:rPr>
          <w:rFonts w:ascii="Open Sans" w:hAnsi="Open Sans" w:cs="Open Sans"/>
          <w:sz w:val="20"/>
          <w:szCs w:val="20"/>
        </w:rPr>
        <w:t>commend that Policy Alignment is recognised within the objectives, given the potential to overlap with</w:t>
      </w:r>
      <w:r w:rsidR="0059115B">
        <w:rPr>
          <w:rFonts w:ascii="Open Sans" w:hAnsi="Open Sans" w:cs="Open Sans"/>
          <w:sz w:val="20"/>
          <w:szCs w:val="20"/>
        </w:rPr>
        <w:t xml:space="preserve"> a</w:t>
      </w:r>
      <w:r w:rsidR="00546F10">
        <w:rPr>
          <w:rFonts w:ascii="Open Sans" w:hAnsi="Open Sans" w:cs="Open Sans"/>
          <w:sz w:val="20"/>
          <w:szCs w:val="20"/>
        </w:rPr>
        <w:t xml:space="preserve"> wide range of government workstreams on grid decarbonisation, not least with the outcomes of REMA, and the ongoing evolutions of the CfD and Capacity Market </w:t>
      </w:r>
      <w:r w:rsidR="00476860">
        <w:rPr>
          <w:rFonts w:ascii="Open Sans" w:hAnsi="Open Sans" w:cs="Open Sans"/>
          <w:sz w:val="20"/>
          <w:szCs w:val="20"/>
        </w:rPr>
        <w:t xml:space="preserve">mechanisms. </w:t>
      </w:r>
    </w:p>
    <w:p w14:paraId="483672B0" w14:textId="77777777" w:rsidR="00121778" w:rsidRDefault="00121778" w:rsidP="00BD7B08">
      <w:pPr>
        <w:ind w:left="-142"/>
        <w:jc w:val="both"/>
        <w:rPr>
          <w:rFonts w:ascii="Open Sans" w:hAnsi="Open Sans" w:cs="Open Sans"/>
          <w:b/>
          <w:bCs/>
          <w:color w:val="FF0000"/>
          <w:sz w:val="20"/>
          <w:szCs w:val="20"/>
        </w:rPr>
      </w:pPr>
    </w:p>
    <w:p w14:paraId="3944AC8E" w14:textId="6E90828C" w:rsidR="00AD09AE" w:rsidRPr="00412338" w:rsidRDefault="00AD09AE" w:rsidP="00BD7B08">
      <w:pPr>
        <w:pStyle w:val="ListParagraph"/>
        <w:numPr>
          <w:ilvl w:val="0"/>
          <w:numId w:val="1"/>
        </w:numPr>
        <w:ind w:left="-142" w:firstLine="0"/>
        <w:jc w:val="both"/>
        <w:rPr>
          <w:rFonts w:ascii="Open Sans" w:hAnsi="Open Sans" w:cs="Open Sans"/>
          <w:b/>
          <w:bCs/>
          <w:color w:val="2F5496" w:themeColor="accent1" w:themeShade="BF"/>
          <w:sz w:val="20"/>
          <w:szCs w:val="20"/>
        </w:rPr>
      </w:pPr>
      <w:r w:rsidRPr="00412338">
        <w:rPr>
          <w:rFonts w:ascii="Open Sans" w:hAnsi="Open Sans" w:cs="Open Sans"/>
          <w:b/>
          <w:bCs/>
          <w:color w:val="2F5496" w:themeColor="accent1" w:themeShade="BF"/>
          <w:sz w:val="20"/>
          <w:szCs w:val="20"/>
        </w:rPr>
        <w:t xml:space="preserve"> Are there other factors we should consider in our policy objectives?</w:t>
      </w:r>
    </w:p>
    <w:p w14:paraId="16FEA29B" w14:textId="4811F317" w:rsidR="00476860" w:rsidRPr="00476860" w:rsidRDefault="00476860" w:rsidP="00BD7B08">
      <w:pPr>
        <w:ind w:left="-142"/>
        <w:jc w:val="both"/>
        <w:rPr>
          <w:rFonts w:ascii="Open Sans" w:hAnsi="Open Sans" w:cs="Open Sans"/>
          <w:sz w:val="20"/>
          <w:szCs w:val="20"/>
        </w:rPr>
      </w:pPr>
      <w:r w:rsidRPr="00476860">
        <w:rPr>
          <w:rFonts w:ascii="Open Sans" w:hAnsi="Open Sans" w:cs="Open Sans"/>
          <w:sz w:val="20"/>
          <w:szCs w:val="20"/>
        </w:rPr>
        <w:t>While potentially capture</w:t>
      </w:r>
      <w:r w:rsidR="005735B8">
        <w:rPr>
          <w:rFonts w:ascii="Open Sans" w:hAnsi="Open Sans" w:cs="Open Sans"/>
          <w:sz w:val="20"/>
          <w:szCs w:val="20"/>
        </w:rPr>
        <w:t xml:space="preserve">d in </w:t>
      </w:r>
      <w:r w:rsidR="00192573">
        <w:rPr>
          <w:rFonts w:ascii="Open Sans" w:hAnsi="Open Sans" w:cs="Open Sans"/>
          <w:sz w:val="20"/>
          <w:szCs w:val="20"/>
        </w:rPr>
        <w:t xml:space="preserve">Objective of </w:t>
      </w:r>
      <w:r w:rsidR="0059115B">
        <w:rPr>
          <w:rFonts w:ascii="Open Sans" w:hAnsi="Open Sans" w:cs="Open Sans"/>
          <w:sz w:val="20"/>
          <w:szCs w:val="20"/>
        </w:rPr>
        <w:t>R</w:t>
      </w:r>
      <w:r w:rsidR="00192573">
        <w:rPr>
          <w:rFonts w:ascii="Open Sans" w:hAnsi="Open Sans" w:cs="Open Sans"/>
          <w:sz w:val="20"/>
          <w:szCs w:val="20"/>
        </w:rPr>
        <w:t xml:space="preserve">educed Systems Costs, there should be some consideration of value for money </w:t>
      </w:r>
      <w:r w:rsidR="00152A14">
        <w:rPr>
          <w:rFonts w:ascii="Open Sans" w:hAnsi="Open Sans" w:cs="Open Sans"/>
          <w:sz w:val="20"/>
          <w:szCs w:val="20"/>
        </w:rPr>
        <w:t xml:space="preserve">within the policy objectives. Appropriately supported LDES technologies will provide a range </w:t>
      </w:r>
      <w:r w:rsidR="00754EFB">
        <w:rPr>
          <w:rFonts w:ascii="Open Sans" w:hAnsi="Open Sans" w:cs="Open Sans"/>
          <w:sz w:val="20"/>
          <w:szCs w:val="20"/>
        </w:rPr>
        <w:t>of services</w:t>
      </w:r>
      <w:r w:rsidR="004A542C">
        <w:rPr>
          <w:rFonts w:ascii="Open Sans" w:hAnsi="Open Sans" w:cs="Open Sans"/>
          <w:sz w:val="20"/>
          <w:szCs w:val="20"/>
        </w:rPr>
        <w:t xml:space="preserve"> to the grid system beyond just the storage of energy.</w:t>
      </w:r>
      <w:r w:rsidR="0086457F">
        <w:rPr>
          <w:rFonts w:ascii="Open Sans" w:hAnsi="Open Sans" w:cs="Open Sans"/>
          <w:sz w:val="20"/>
          <w:szCs w:val="20"/>
        </w:rPr>
        <w:t xml:space="preserve"> In </w:t>
      </w:r>
      <w:r w:rsidR="00754EFB">
        <w:rPr>
          <w:rFonts w:ascii="Open Sans" w:hAnsi="Open Sans" w:cs="Open Sans"/>
          <w:sz w:val="20"/>
          <w:szCs w:val="20"/>
        </w:rPr>
        <w:t>addition,</w:t>
      </w:r>
      <w:r w:rsidR="0086457F">
        <w:rPr>
          <w:rFonts w:ascii="Open Sans" w:hAnsi="Open Sans" w:cs="Open Sans"/>
          <w:sz w:val="20"/>
          <w:szCs w:val="20"/>
        </w:rPr>
        <w:t xml:space="preserve"> this could be considered against the counterfactual, of a lack of storage on the system would require increased deployment levels of </w:t>
      </w:r>
      <w:r w:rsidR="00CD3EA1">
        <w:rPr>
          <w:rFonts w:ascii="Open Sans" w:hAnsi="Open Sans" w:cs="Open Sans"/>
          <w:sz w:val="20"/>
          <w:szCs w:val="20"/>
        </w:rPr>
        <w:t xml:space="preserve">renewable generation and higher costs for grid reinforcement action. Recognising this value for money within the policy objective will ensure </w:t>
      </w:r>
      <w:r w:rsidR="00CA2EA8">
        <w:rPr>
          <w:rFonts w:ascii="Open Sans" w:hAnsi="Open Sans" w:cs="Open Sans"/>
          <w:sz w:val="20"/>
          <w:szCs w:val="20"/>
        </w:rPr>
        <w:t xml:space="preserve">a support mechanism that </w:t>
      </w:r>
      <w:r w:rsidR="00260A84">
        <w:rPr>
          <w:rFonts w:ascii="Open Sans" w:hAnsi="Open Sans" w:cs="Open Sans"/>
          <w:sz w:val="20"/>
          <w:szCs w:val="20"/>
        </w:rPr>
        <w:t>supports</w:t>
      </w:r>
      <w:r w:rsidR="00F727D4">
        <w:rPr>
          <w:rFonts w:ascii="Open Sans" w:hAnsi="Open Sans" w:cs="Open Sans"/>
          <w:sz w:val="20"/>
          <w:szCs w:val="20"/>
        </w:rPr>
        <w:t xml:space="preserve"> projects that deliver a range of services and provides the best possible use of public money. </w:t>
      </w:r>
      <w:r w:rsidR="003A2481">
        <w:rPr>
          <w:rFonts w:ascii="Open Sans" w:hAnsi="Open Sans" w:cs="Open Sans"/>
          <w:sz w:val="20"/>
          <w:szCs w:val="20"/>
        </w:rPr>
        <w:t xml:space="preserve"> We do note that in assessing Value for Money, some consideration will also need </w:t>
      </w:r>
      <w:r w:rsidR="00514CEA">
        <w:rPr>
          <w:rFonts w:ascii="Open Sans" w:hAnsi="Open Sans" w:cs="Open Sans"/>
          <w:sz w:val="20"/>
          <w:szCs w:val="20"/>
        </w:rPr>
        <w:t>t</w:t>
      </w:r>
      <w:r w:rsidR="003A2481">
        <w:rPr>
          <w:rFonts w:ascii="Open Sans" w:hAnsi="Open Sans" w:cs="Open Sans"/>
          <w:sz w:val="20"/>
          <w:szCs w:val="20"/>
        </w:rPr>
        <w:t xml:space="preserve">o be given to how the CAPEX of any technology can be expected to decrease as the sector and supply chains become more established. </w:t>
      </w:r>
    </w:p>
    <w:p w14:paraId="45F5FF29" w14:textId="77777777" w:rsidR="009C10A2" w:rsidRPr="00E46DB5" w:rsidRDefault="009C10A2" w:rsidP="00BD7B08">
      <w:pPr>
        <w:pStyle w:val="ListParagraph"/>
        <w:ind w:left="-142"/>
        <w:jc w:val="both"/>
        <w:rPr>
          <w:rFonts w:ascii="Open Sans" w:hAnsi="Open Sans" w:cs="Open Sans"/>
          <w:color w:val="2F5496" w:themeColor="accent1" w:themeShade="BF"/>
          <w:sz w:val="20"/>
          <w:szCs w:val="20"/>
          <w:u w:val="single"/>
        </w:rPr>
      </w:pPr>
    </w:p>
    <w:p w14:paraId="0DD4C5A0" w14:textId="291CA7EF" w:rsidR="00121778" w:rsidRPr="00E46DB5" w:rsidRDefault="00AD09AE" w:rsidP="00BD7B08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b/>
          <w:bCs/>
          <w:color w:val="2F5496" w:themeColor="accent1" w:themeShade="BF"/>
          <w:sz w:val="20"/>
          <w:szCs w:val="20"/>
        </w:rPr>
      </w:pPr>
      <w:r w:rsidRPr="00E46DB5">
        <w:rPr>
          <w:rFonts w:ascii="Open Sans" w:hAnsi="Open Sans" w:cs="Open Sans"/>
          <w:b/>
          <w:bCs/>
          <w:color w:val="2F5496" w:themeColor="accent1" w:themeShade="BF"/>
          <w:sz w:val="20"/>
          <w:szCs w:val="20"/>
        </w:rPr>
        <w:t>Will these policy objectives help to bring forward LDES projects to help the electricity system reach net zero in the most effective way? If so, why?</w:t>
      </w:r>
    </w:p>
    <w:p w14:paraId="5B99BC43" w14:textId="043E2430" w:rsidR="00EA4C4D" w:rsidRPr="00ED45EF" w:rsidRDefault="00ED45EF" w:rsidP="00BD7B08">
      <w:pPr>
        <w:ind w:left="-142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Yes, as described in question 1, the objectives recognise the need to both make LDES </w:t>
      </w:r>
      <w:r w:rsidR="00E46DB5">
        <w:rPr>
          <w:rFonts w:ascii="Open Sans" w:hAnsi="Open Sans" w:cs="Open Sans"/>
          <w:sz w:val="20"/>
          <w:szCs w:val="20"/>
        </w:rPr>
        <w:t xml:space="preserve">financeable and the importance of delivering new projects with relative speed if the UK is to mee its Net Zero objectives. </w:t>
      </w:r>
    </w:p>
    <w:p w14:paraId="70B582F6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7E6E1971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color w:val="2F5496" w:themeColor="accent1" w:themeShade="BF"/>
          <w:sz w:val="20"/>
          <w:szCs w:val="20"/>
        </w:rPr>
      </w:pPr>
      <w:r w:rsidRPr="00BD7B08">
        <w:rPr>
          <w:rFonts w:ascii="Open Sans" w:hAnsi="Open Sans" w:cs="Open Sans"/>
          <w:b/>
          <w:bCs/>
          <w:color w:val="2F5496" w:themeColor="accent1" w:themeShade="BF"/>
          <w:sz w:val="20"/>
          <w:szCs w:val="20"/>
        </w:rPr>
        <w:t>4. Do you agree with our assessment that a cap and floor is the most appropriate</w:t>
      </w:r>
    </w:p>
    <w:p w14:paraId="60D2F604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color w:val="2F5496" w:themeColor="accent1" w:themeShade="BF"/>
          <w:sz w:val="20"/>
          <w:szCs w:val="20"/>
        </w:rPr>
      </w:pPr>
      <w:r w:rsidRPr="00BD7B08">
        <w:rPr>
          <w:rFonts w:ascii="Open Sans" w:hAnsi="Open Sans" w:cs="Open Sans"/>
          <w:b/>
          <w:bCs/>
          <w:color w:val="2F5496" w:themeColor="accent1" w:themeShade="BF"/>
          <w:sz w:val="20"/>
          <w:szCs w:val="20"/>
        </w:rPr>
        <w:t>policy option to enable investment and bring forward the required LDES? Please</w:t>
      </w:r>
    </w:p>
    <w:p w14:paraId="1834DBEF" w14:textId="77777777" w:rsid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color w:val="2F5496" w:themeColor="accent1" w:themeShade="BF"/>
          <w:sz w:val="20"/>
          <w:szCs w:val="20"/>
        </w:rPr>
      </w:pPr>
      <w:r w:rsidRPr="00BD7B08">
        <w:rPr>
          <w:rFonts w:ascii="Open Sans" w:hAnsi="Open Sans" w:cs="Open Sans"/>
          <w:b/>
          <w:bCs/>
          <w:color w:val="2F5496" w:themeColor="accent1" w:themeShade="BF"/>
          <w:sz w:val="20"/>
          <w:szCs w:val="20"/>
        </w:rPr>
        <w:t>explain your reasoning.</w:t>
      </w:r>
    </w:p>
    <w:p w14:paraId="16FEE080" w14:textId="77777777" w:rsidR="00B93312" w:rsidRDefault="00B93312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color w:val="2F5496" w:themeColor="accent1" w:themeShade="BF"/>
          <w:sz w:val="20"/>
          <w:szCs w:val="20"/>
        </w:rPr>
      </w:pPr>
    </w:p>
    <w:p w14:paraId="520A1C9C" w14:textId="7C176945" w:rsidR="00043A24" w:rsidRDefault="00B93312" w:rsidP="00F2625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B93312">
        <w:rPr>
          <w:rFonts w:ascii="Open Sans" w:hAnsi="Open Sans" w:cs="Open Sans"/>
          <w:sz w:val="20"/>
          <w:szCs w:val="20"/>
        </w:rPr>
        <w:lastRenderedPageBreak/>
        <w:t>Yes.</w:t>
      </w:r>
      <w:r>
        <w:rPr>
          <w:rFonts w:ascii="Open Sans" w:hAnsi="Open Sans" w:cs="Open Sans"/>
          <w:sz w:val="20"/>
          <w:szCs w:val="20"/>
        </w:rPr>
        <w:t xml:space="preserve"> The REA have long supported </w:t>
      </w:r>
      <w:r w:rsidR="00C91027">
        <w:rPr>
          <w:rFonts w:ascii="Open Sans" w:hAnsi="Open Sans" w:cs="Open Sans"/>
          <w:sz w:val="20"/>
          <w:szCs w:val="20"/>
        </w:rPr>
        <w:t xml:space="preserve">the </w:t>
      </w:r>
      <w:r w:rsidR="00913C27">
        <w:rPr>
          <w:rFonts w:ascii="Open Sans" w:hAnsi="Open Sans" w:cs="Open Sans"/>
          <w:sz w:val="20"/>
          <w:szCs w:val="20"/>
        </w:rPr>
        <w:t xml:space="preserve">delivery of a dedicated Cap and Floor mechanism for delivering LDES. This follows analysis </w:t>
      </w:r>
      <w:r w:rsidR="00085D12">
        <w:rPr>
          <w:rFonts w:ascii="Open Sans" w:hAnsi="Open Sans" w:cs="Open Sans"/>
          <w:sz w:val="20"/>
          <w:szCs w:val="20"/>
        </w:rPr>
        <w:t>within our 20</w:t>
      </w:r>
      <w:r w:rsidR="00C32D8C">
        <w:rPr>
          <w:rFonts w:ascii="Open Sans" w:hAnsi="Open Sans" w:cs="Open Sans"/>
          <w:sz w:val="20"/>
          <w:szCs w:val="20"/>
        </w:rPr>
        <w:t>21</w:t>
      </w:r>
      <w:r w:rsidR="00085D12">
        <w:rPr>
          <w:rFonts w:ascii="Open Sans" w:hAnsi="Open Sans" w:cs="Open Sans"/>
          <w:sz w:val="20"/>
          <w:szCs w:val="20"/>
        </w:rPr>
        <w:t xml:space="preserve"> Long Duration Energy Storage Report</w:t>
      </w:r>
      <w:r w:rsidR="00043A24">
        <w:rPr>
          <w:rFonts w:ascii="Open Sans" w:hAnsi="Open Sans" w:cs="Open Sans"/>
          <w:sz w:val="20"/>
          <w:szCs w:val="20"/>
        </w:rPr>
        <w:t xml:space="preserve">, which concluded that a </w:t>
      </w:r>
      <w:r w:rsidR="00867AEE">
        <w:rPr>
          <w:rFonts w:ascii="Open Sans" w:hAnsi="Open Sans" w:cs="Open Sans"/>
          <w:sz w:val="20"/>
          <w:szCs w:val="20"/>
        </w:rPr>
        <w:t>C</w:t>
      </w:r>
      <w:r w:rsidR="00043A24">
        <w:rPr>
          <w:rFonts w:ascii="Open Sans" w:hAnsi="Open Sans" w:cs="Open Sans"/>
          <w:sz w:val="20"/>
          <w:szCs w:val="20"/>
        </w:rPr>
        <w:t xml:space="preserve">ap and </w:t>
      </w:r>
      <w:r w:rsidR="00867AEE">
        <w:rPr>
          <w:rFonts w:ascii="Open Sans" w:hAnsi="Open Sans" w:cs="Open Sans"/>
          <w:sz w:val="20"/>
          <w:szCs w:val="20"/>
        </w:rPr>
        <w:t>F</w:t>
      </w:r>
      <w:r w:rsidR="00043A24">
        <w:rPr>
          <w:rFonts w:ascii="Open Sans" w:hAnsi="Open Sans" w:cs="Open Sans"/>
          <w:sz w:val="20"/>
          <w:szCs w:val="20"/>
        </w:rPr>
        <w:t>loor was the most appropriate support mechanism fo</w:t>
      </w:r>
      <w:r w:rsidR="00F26258">
        <w:rPr>
          <w:rFonts w:ascii="Open Sans" w:hAnsi="Open Sans" w:cs="Open Sans"/>
          <w:sz w:val="20"/>
          <w:szCs w:val="20"/>
        </w:rPr>
        <w:t>r the technolog</w:t>
      </w:r>
      <w:r w:rsidR="00746F02">
        <w:rPr>
          <w:rFonts w:ascii="Open Sans" w:hAnsi="Open Sans" w:cs="Open Sans"/>
          <w:sz w:val="20"/>
          <w:szCs w:val="20"/>
        </w:rPr>
        <w:t>y</w:t>
      </w:r>
      <w:r w:rsidR="00F26258">
        <w:rPr>
          <w:rFonts w:ascii="Open Sans" w:hAnsi="Open Sans" w:cs="Open Sans"/>
          <w:sz w:val="20"/>
          <w:szCs w:val="20"/>
        </w:rPr>
        <w:t xml:space="preserve"> delivery. </w:t>
      </w:r>
      <w:r w:rsidR="00EF0BD0">
        <w:rPr>
          <w:rFonts w:ascii="Open Sans" w:hAnsi="Open Sans" w:cs="Open Sans"/>
          <w:sz w:val="20"/>
          <w:szCs w:val="20"/>
        </w:rPr>
        <w:t>[1]</w:t>
      </w:r>
    </w:p>
    <w:p w14:paraId="0AB9DCDA" w14:textId="77777777" w:rsidR="00F26258" w:rsidRDefault="00F26258" w:rsidP="00F2625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</w:p>
    <w:p w14:paraId="655EE959" w14:textId="5D12D119" w:rsidR="0017431F" w:rsidRDefault="00E427C3" w:rsidP="00A51484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E427C3">
        <w:rPr>
          <w:rFonts w:ascii="Open Sans" w:hAnsi="Open Sans" w:cs="Open Sans"/>
          <w:sz w:val="20"/>
          <w:szCs w:val="20"/>
        </w:rPr>
        <w:t>Under the Income Floor</w:t>
      </w:r>
      <w:r w:rsidR="00F12A6F">
        <w:rPr>
          <w:rFonts w:ascii="Open Sans" w:hAnsi="Open Sans" w:cs="Open Sans"/>
          <w:sz w:val="20"/>
          <w:szCs w:val="20"/>
        </w:rPr>
        <w:t>,</w:t>
      </w:r>
      <w:r w:rsidRPr="00E427C3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 xml:space="preserve">different </w:t>
      </w:r>
      <w:r w:rsidRPr="00E427C3">
        <w:rPr>
          <w:rFonts w:ascii="Open Sans" w:hAnsi="Open Sans" w:cs="Open Sans"/>
          <w:sz w:val="20"/>
          <w:szCs w:val="20"/>
        </w:rPr>
        <w:t xml:space="preserve">revenue </w:t>
      </w:r>
      <w:r>
        <w:rPr>
          <w:rFonts w:ascii="Open Sans" w:hAnsi="Open Sans" w:cs="Open Sans"/>
          <w:sz w:val="20"/>
          <w:szCs w:val="20"/>
        </w:rPr>
        <w:t xml:space="preserve">can be </w:t>
      </w:r>
      <w:r w:rsidR="00867AEE">
        <w:rPr>
          <w:rFonts w:ascii="Open Sans" w:hAnsi="Open Sans" w:cs="Open Sans"/>
          <w:sz w:val="20"/>
          <w:szCs w:val="20"/>
        </w:rPr>
        <w:t>considered</w:t>
      </w:r>
      <w:r w:rsidRPr="00E427C3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to determine</w:t>
      </w:r>
      <w:r w:rsidRPr="00E427C3">
        <w:rPr>
          <w:rFonts w:ascii="Open Sans" w:hAnsi="Open Sans" w:cs="Open Sans"/>
          <w:sz w:val="20"/>
          <w:szCs w:val="20"/>
        </w:rPr>
        <w:t xml:space="preserve"> whether returns (gross margin) are below the </w:t>
      </w:r>
      <w:r w:rsidR="0092123D">
        <w:rPr>
          <w:rFonts w:ascii="Open Sans" w:hAnsi="Open Sans" w:cs="Open Sans"/>
          <w:sz w:val="20"/>
          <w:szCs w:val="20"/>
        </w:rPr>
        <w:t>F</w:t>
      </w:r>
      <w:r w:rsidRPr="00E427C3">
        <w:rPr>
          <w:rFonts w:ascii="Open Sans" w:hAnsi="Open Sans" w:cs="Open Sans"/>
          <w:sz w:val="20"/>
          <w:szCs w:val="20"/>
        </w:rPr>
        <w:t xml:space="preserve">loor. </w:t>
      </w:r>
      <w:r w:rsidR="0017431F">
        <w:rPr>
          <w:rFonts w:ascii="Open Sans" w:hAnsi="Open Sans" w:cs="Open Sans"/>
          <w:sz w:val="20"/>
          <w:szCs w:val="20"/>
        </w:rPr>
        <w:t xml:space="preserve"> Ensuring this </w:t>
      </w:r>
      <w:r w:rsidR="0092123D">
        <w:rPr>
          <w:rFonts w:ascii="Open Sans" w:hAnsi="Open Sans" w:cs="Open Sans"/>
          <w:sz w:val="20"/>
          <w:szCs w:val="20"/>
        </w:rPr>
        <w:t>F</w:t>
      </w:r>
      <w:r w:rsidR="0017431F">
        <w:rPr>
          <w:rFonts w:ascii="Open Sans" w:hAnsi="Open Sans" w:cs="Open Sans"/>
          <w:sz w:val="20"/>
          <w:szCs w:val="20"/>
        </w:rPr>
        <w:t>loor is met</w:t>
      </w:r>
      <w:r w:rsidR="0092123D">
        <w:rPr>
          <w:rFonts w:ascii="Open Sans" w:hAnsi="Open Sans" w:cs="Open Sans"/>
          <w:sz w:val="20"/>
          <w:szCs w:val="20"/>
        </w:rPr>
        <w:t>,</w:t>
      </w:r>
      <w:r w:rsidR="0017431F">
        <w:rPr>
          <w:rFonts w:ascii="Open Sans" w:hAnsi="Open Sans" w:cs="Open Sans"/>
          <w:sz w:val="20"/>
          <w:szCs w:val="20"/>
        </w:rPr>
        <w:t xml:space="preserve"> </w:t>
      </w:r>
      <w:r w:rsidR="00A51484">
        <w:rPr>
          <w:rFonts w:ascii="Open Sans" w:hAnsi="Open Sans" w:cs="Open Sans"/>
          <w:sz w:val="20"/>
          <w:szCs w:val="20"/>
        </w:rPr>
        <w:t xml:space="preserve">therefore provides the </w:t>
      </w:r>
      <w:r w:rsidR="0017431F" w:rsidRPr="0017431F">
        <w:rPr>
          <w:rFonts w:ascii="Open Sans" w:hAnsi="Open Sans" w:cs="Open Sans"/>
          <w:sz w:val="20"/>
          <w:szCs w:val="20"/>
        </w:rPr>
        <w:t xml:space="preserve">simplest mechanism for </w:t>
      </w:r>
      <w:r w:rsidR="001030D2">
        <w:rPr>
          <w:rFonts w:ascii="Open Sans" w:hAnsi="Open Sans" w:cs="Open Sans"/>
          <w:sz w:val="20"/>
          <w:szCs w:val="20"/>
        </w:rPr>
        <w:t>de-risking</w:t>
      </w:r>
      <w:r w:rsidR="0017431F" w:rsidRPr="0017431F">
        <w:rPr>
          <w:rFonts w:ascii="Open Sans" w:hAnsi="Open Sans" w:cs="Open Sans"/>
          <w:sz w:val="20"/>
          <w:szCs w:val="20"/>
        </w:rPr>
        <w:t xml:space="preserve"> investment, ensuring that dispatch models</w:t>
      </w:r>
      <w:r w:rsidR="00A51484">
        <w:rPr>
          <w:rFonts w:ascii="Open Sans" w:hAnsi="Open Sans" w:cs="Open Sans"/>
          <w:sz w:val="20"/>
          <w:szCs w:val="20"/>
        </w:rPr>
        <w:t xml:space="preserve"> </w:t>
      </w:r>
      <w:r w:rsidR="0017431F" w:rsidRPr="0017431F">
        <w:rPr>
          <w:rFonts w:ascii="Open Sans" w:hAnsi="Open Sans" w:cs="Open Sans"/>
          <w:sz w:val="20"/>
          <w:szCs w:val="20"/>
        </w:rPr>
        <w:t>continue to be driven by price signals, and encouraging plant operators to maximise the value of the plant</w:t>
      </w:r>
      <w:r w:rsidR="00A51484">
        <w:rPr>
          <w:rFonts w:ascii="Open Sans" w:hAnsi="Open Sans" w:cs="Open Sans"/>
          <w:sz w:val="20"/>
          <w:szCs w:val="20"/>
        </w:rPr>
        <w:t xml:space="preserve"> </w:t>
      </w:r>
      <w:r w:rsidR="0017431F" w:rsidRPr="00A51484">
        <w:rPr>
          <w:rFonts w:ascii="Open Sans" w:hAnsi="Open Sans" w:cs="Open Sans"/>
          <w:sz w:val="20"/>
          <w:szCs w:val="20"/>
        </w:rPr>
        <w:t>for themselves and for consumers</w:t>
      </w:r>
      <w:r w:rsidR="00A51484">
        <w:rPr>
          <w:rFonts w:ascii="Open Sans" w:hAnsi="Open Sans" w:cs="Open Sans"/>
          <w:sz w:val="20"/>
          <w:szCs w:val="20"/>
        </w:rPr>
        <w:t xml:space="preserve">. The </w:t>
      </w:r>
      <w:r w:rsidR="00897A63">
        <w:rPr>
          <w:rFonts w:ascii="Open Sans" w:hAnsi="Open Sans" w:cs="Open Sans"/>
          <w:sz w:val="20"/>
          <w:szCs w:val="20"/>
        </w:rPr>
        <w:t xml:space="preserve">mechanism can also be applied to a range of </w:t>
      </w:r>
      <w:r w:rsidR="00B36CD5">
        <w:rPr>
          <w:rFonts w:ascii="Open Sans" w:hAnsi="Open Sans" w:cs="Open Sans"/>
          <w:sz w:val="20"/>
          <w:szCs w:val="20"/>
        </w:rPr>
        <w:t>storage</w:t>
      </w:r>
      <w:r w:rsidR="00897A63">
        <w:rPr>
          <w:rFonts w:ascii="Open Sans" w:hAnsi="Open Sans" w:cs="Open Sans"/>
          <w:sz w:val="20"/>
          <w:szCs w:val="20"/>
        </w:rPr>
        <w:t xml:space="preserve"> technologies, while not limiting their ability to benefit from any </w:t>
      </w:r>
      <w:r w:rsidR="00B36CD5">
        <w:rPr>
          <w:rFonts w:ascii="Open Sans" w:hAnsi="Open Sans" w:cs="Open Sans"/>
          <w:sz w:val="20"/>
          <w:szCs w:val="20"/>
        </w:rPr>
        <w:t>additional</w:t>
      </w:r>
      <w:r w:rsidR="00897A63">
        <w:rPr>
          <w:rFonts w:ascii="Open Sans" w:hAnsi="Open Sans" w:cs="Open Sans"/>
          <w:sz w:val="20"/>
          <w:szCs w:val="20"/>
        </w:rPr>
        <w:t xml:space="preserve"> balancing or grid services </w:t>
      </w:r>
      <w:r w:rsidR="005F0464">
        <w:rPr>
          <w:rFonts w:ascii="Open Sans" w:hAnsi="Open Sans" w:cs="Open Sans"/>
          <w:sz w:val="20"/>
          <w:szCs w:val="20"/>
        </w:rPr>
        <w:t xml:space="preserve">that </w:t>
      </w:r>
      <w:r w:rsidR="00897A63">
        <w:rPr>
          <w:rFonts w:ascii="Open Sans" w:hAnsi="Open Sans" w:cs="Open Sans"/>
          <w:sz w:val="20"/>
          <w:szCs w:val="20"/>
        </w:rPr>
        <w:t xml:space="preserve">they are able to </w:t>
      </w:r>
      <w:r w:rsidR="00B36CD5">
        <w:rPr>
          <w:rFonts w:ascii="Open Sans" w:hAnsi="Open Sans" w:cs="Open Sans"/>
          <w:sz w:val="20"/>
          <w:szCs w:val="20"/>
        </w:rPr>
        <w:t xml:space="preserve">provide. </w:t>
      </w:r>
      <w:r w:rsidR="00A51484">
        <w:rPr>
          <w:rFonts w:ascii="Open Sans" w:hAnsi="Open Sans" w:cs="Open Sans"/>
          <w:sz w:val="20"/>
          <w:szCs w:val="20"/>
        </w:rPr>
        <w:t xml:space="preserve"> The Cap then provides a </w:t>
      </w:r>
      <w:r w:rsidR="00B36CD5">
        <w:rPr>
          <w:rFonts w:ascii="Open Sans" w:hAnsi="Open Sans" w:cs="Open Sans"/>
          <w:sz w:val="20"/>
          <w:szCs w:val="20"/>
        </w:rPr>
        <w:t>straightforward</w:t>
      </w:r>
      <w:r w:rsidR="00A51484">
        <w:rPr>
          <w:rFonts w:ascii="Open Sans" w:hAnsi="Open Sans" w:cs="Open Sans"/>
          <w:sz w:val="20"/>
          <w:szCs w:val="20"/>
        </w:rPr>
        <w:t xml:space="preserve"> mechanism f</w:t>
      </w:r>
      <w:r w:rsidR="00B36CD5">
        <w:rPr>
          <w:rFonts w:ascii="Open Sans" w:hAnsi="Open Sans" w:cs="Open Sans"/>
          <w:sz w:val="20"/>
          <w:szCs w:val="20"/>
        </w:rPr>
        <w:t xml:space="preserve">or </w:t>
      </w:r>
      <w:r w:rsidR="00E33E00">
        <w:rPr>
          <w:rFonts w:ascii="Open Sans" w:hAnsi="Open Sans" w:cs="Open Sans"/>
          <w:sz w:val="20"/>
          <w:szCs w:val="20"/>
        </w:rPr>
        <w:t xml:space="preserve">controlling </w:t>
      </w:r>
      <w:r w:rsidR="00175AB7">
        <w:rPr>
          <w:rFonts w:ascii="Open Sans" w:hAnsi="Open Sans" w:cs="Open Sans"/>
          <w:sz w:val="20"/>
          <w:szCs w:val="20"/>
        </w:rPr>
        <w:t>government</w:t>
      </w:r>
      <w:r w:rsidR="00E33E00">
        <w:rPr>
          <w:rFonts w:ascii="Open Sans" w:hAnsi="Open Sans" w:cs="Open Sans"/>
          <w:sz w:val="20"/>
          <w:szCs w:val="20"/>
        </w:rPr>
        <w:t xml:space="preserve"> </w:t>
      </w:r>
      <w:r w:rsidR="00175AB7">
        <w:rPr>
          <w:rFonts w:ascii="Open Sans" w:hAnsi="Open Sans" w:cs="Open Sans"/>
          <w:sz w:val="20"/>
          <w:szCs w:val="20"/>
        </w:rPr>
        <w:t>spending</w:t>
      </w:r>
      <w:r w:rsidR="00E33E00">
        <w:rPr>
          <w:rFonts w:ascii="Open Sans" w:hAnsi="Open Sans" w:cs="Open Sans"/>
          <w:sz w:val="20"/>
          <w:szCs w:val="20"/>
        </w:rPr>
        <w:t xml:space="preserve"> and the amount </w:t>
      </w:r>
      <w:r w:rsidR="00175AB7">
        <w:rPr>
          <w:rFonts w:ascii="Open Sans" w:hAnsi="Open Sans" w:cs="Open Sans"/>
          <w:sz w:val="20"/>
          <w:szCs w:val="20"/>
        </w:rPr>
        <w:t>being funded</w:t>
      </w:r>
      <w:r w:rsidR="00E33E00">
        <w:rPr>
          <w:rFonts w:ascii="Open Sans" w:hAnsi="Open Sans" w:cs="Open Sans"/>
          <w:sz w:val="20"/>
          <w:szCs w:val="20"/>
        </w:rPr>
        <w:t xml:space="preserve"> b</w:t>
      </w:r>
      <w:r w:rsidR="00175AB7">
        <w:rPr>
          <w:rFonts w:ascii="Open Sans" w:hAnsi="Open Sans" w:cs="Open Sans"/>
          <w:sz w:val="20"/>
          <w:szCs w:val="20"/>
        </w:rPr>
        <w:t>y</w:t>
      </w:r>
      <w:r w:rsidR="00E33E00">
        <w:rPr>
          <w:rFonts w:ascii="Open Sans" w:hAnsi="Open Sans" w:cs="Open Sans"/>
          <w:sz w:val="20"/>
          <w:szCs w:val="20"/>
        </w:rPr>
        <w:t xml:space="preserve"> the consumer. </w:t>
      </w:r>
    </w:p>
    <w:p w14:paraId="184F62E4" w14:textId="77777777" w:rsidR="00E33E00" w:rsidRDefault="00E33E00" w:rsidP="00A51484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</w:p>
    <w:p w14:paraId="43AD91B6" w14:textId="4F223CB6" w:rsidR="00E33E00" w:rsidRDefault="00E33E00" w:rsidP="00A51484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In our report, we agreed with the </w:t>
      </w:r>
      <w:r w:rsidR="009A57EC">
        <w:rPr>
          <w:rFonts w:ascii="Open Sans" w:hAnsi="Open Sans" w:cs="Open Sans"/>
          <w:sz w:val="20"/>
          <w:szCs w:val="20"/>
        </w:rPr>
        <w:t>Government</w:t>
      </w:r>
      <w:r w:rsidR="00C4509D">
        <w:rPr>
          <w:rFonts w:ascii="Open Sans" w:hAnsi="Open Sans" w:cs="Open Sans"/>
          <w:sz w:val="20"/>
          <w:szCs w:val="20"/>
        </w:rPr>
        <w:t>’</w:t>
      </w:r>
      <w:r w:rsidR="009A57EC">
        <w:rPr>
          <w:rFonts w:ascii="Open Sans" w:hAnsi="Open Sans" w:cs="Open Sans"/>
          <w:sz w:val="20"/>
          <w:szCs w:val="20"/>
        </w:rPr>
        <w:t>s</w:t>
      </w:r>
      <w:r>
        <w:rPr>
          <w:rFonts w:ascii="Open Sans" w:hAnsi="Open Sans" w:cs="Open Sans"/>
          <w:sz w:val="20"/>
          <w:szCs w:val="20"/>
        </w:rPr>
        <w:t xml:space="preserve"> ana</w:t>
      </w:r>
      <w:r w:rsidR="00175AB7">
        <w:rPr>
          <w:rFonts w:ascii="Open Sans" w:hAnsi="Open Sans" w:cs="Open Sans"/>
          <w:sz w:val="20"/>
          <w:szCs w:val="20"/>
        </w:rPr>
        <w:t xml:space="preserve">lysis </w:t>
      </w:r>
      <w:r w:rsidR="00C4509D">
        <w:rPr>
          <w:rFonts w:ascii="Open Sans" w:hAnsi="Open Sans" w:cs="Open Sans"/>
          <w:sz w:val="20"/>
          <w:szCs w:val="20"/>
        </w:rPr>
        <w:t>t</w:t>
      </w:r>
      <w:r w:rsidR="00175AB7">
        <w:rPr>
          <w:rFonts w:ascii="Open Sans" w:hAnsi="Open Sans" w:cs="Open Sans"/>
          <w:sz w:val="20"/>
          <w:szCs w:val="20"/>
        </w:rPr>
        <w:t xml:space="preserve">hat the Capacity Market was not </w:t>
      </w:r>
      <w:r w:rsidR="00024D76">
        <w:rPr>
          <w:rFonts w:ascii="Open Sans" w:hAnsi="Open Sans" w:cs="Open Sans"/>
          <w:sz w:val="20"/>
          <w:szCs w:val="20"/>
        </w:rPr>
        <w:t xml:space="preserve">a </w:t>
      </w:r>
      <w:r w:rsidR="00175AB7">
        <w:rPr>
          <w:rFonts w:ascii="Open Sans" w:hAnsi="Open Sans" w:cs="Open Sans"/>
          <w:sz w:val="20"/>
          <w:szCs w:val="20"/>
        </w:rPr>
        <w:t>suitable</w:t>
      </w:r>
      <w:r w:rsidR="00024D76">
        <w:rPr>
          <w:rFonts w:ascii="Open Sans" w:hAnsi="Open Sans" w:cs="Open Sans"/>
          <w:sz w:val="20"/>
          <w:szCs w:val="20"/>
        </w:rPr>
        <w:t xml:space="preserve"> mechanism for delivering new investment in LDES and </w:t>
      </w:r>
      <w:r w:rsidR="0023131C">
        <w:rPr>
          <w:rFonts w:ascii="Open Sans" w:hAnsi="Open Sans" w:cs="Open Sans"/>
          <w:sz w:val="20"/>
          <w:szCs w:val="20"/>
        </w:rPr>
        <w:t xml:space="preserve">does not meet the stated policy objectives in the consultation. </w:t>
      </w:r>
      <w:r w:rsidR="00E83351">
        <w:rPr>
          <w:rFonts w:ascii="Open Sans" w:hAnsi="Open Sans" w:cs="Open Sans"/>
          <w:sz w:val="20"/>
          <w:szCs w:val="20"/>
        </w:rPr>
        <w:t>T</w:t>
      </w:r>
      <w:r w:rsidR="0023131C">
        <w:rPr>
          <w:rFonts w:ascii="Open Sans" w:hAnsi="Open Sans" w:cs="Open Sans"/>
          <w:sz w:val="20"/>
          <w:szCs w:val="20"/>
        </w:rPr>
        <w:t xml:space="preserve">he CM is designed to ensure system adequacy at lowest cost, which is valuable, but </w:t>
      </w:r>
      <w:r w:rsidR="00C347B3">
        <w:rPr>
          <w:rFonts w:ascii="Open Sans" w:hAnsi="Open Sans" w:cs="Open Sans"/>
          <w:sz w:val="20"/>
          <w:szCs w:val="20"/>
        </w:rPr>
        <w:t xml:space="preserve">does not </w:t>
      </w:r>
      <w:r w:rsidR="009A57EC">
        <w:rPr>
          <w:rFonts w:ascii="Open Sans" w:hAnsi="Open Sans" w:cs="Open Sans"/>
          <w:sz w:val="20"/>
          <w:szCs w:val="20"/>
        </w:rPr>
        <w:t>appropriately</w:t>
      </w:r>
      <w:r w:rsidR="00C347B3">
        <w:rPr>
          <w:rFonts w:ascii="Open Sans" w:hAnsi="Open Sans" w:cs="Open Sans"/>
          <w:sz w:val="20"/>
          <w:szCs w:val="20"/>
        </w:rPr>
        <w:t xml:space="preserve"> reward system flexibility, </w:t>
      </w:r>
      <w:proofErr w:type="gramStart"/>
      <w:r w:rsidR="00C347B3">
        <w:rPr>
          <w:rFonts w:ascii="Open Sans" w:hAnsi="Open Sans" w:cs="Open Sans"/>
          <w:sz w:val="20"/>
          <w:szCs w:val="20"/>
        </w:rPr>
        <w:t>stability</w:t>
      </w:r>
      <w:proofErr w:type="gramEnd"/>
      <w:r w:rsidR="00C347B3">
        <w:rPr>
          <w:rFonts w:ascii="Open Sans" w:hAnsi="Open Sans" w:cs="Open Sans"/>
          <w:sz w:val="20"/>
          <w:szCs w:val="20"/>
        </w:rPr>
        <w:t xml:space="preserve"> and resilience needs.</w:t>
      </w:r>
      <w:r w:rsidR="009B17D9">
        <w:rPr>
          <w:rFonts w:ascii="Open Sans" w:hAnsi="Open Sans" w:cs="Open Sans"/>
          <w:sz w:val="20"/>
          <w:szCs w:val="20"/>
        </w:rPr>
        <w:t xml:space="preserve"> Current contract lengths within the CM would also fail </w:t>
      </w:r>
      <w:r w:rsidR="0001120C">
        <w:rPr>
          <w:rFonts w:ascii="Open Sans" w:hAnsi="Open Sans" w:cs="Open Sans"/>
          <w:sz w:val="20"/>
          <w:szCs w:val="20"/>
        </w:rPr>
        <w:t xml:space="preserve">to create a bankable business model for LDES. </w:t>
      </w:r>
      <w:r w:rsidR="00C347B3">
        <w:rPr>
          <w:rFonts w:ascii="Open Sans" w:hAnsi="Open Sans" w:cs="Open Sans"/>
          <w:sz w:val="20"/>
          <w:szCs w:val="20"/>
        </w:rPr>
        <w:t xml:space="preserve"> We recognise that separate </w:t>
      </w:r>
      <w:r w:rsidR="009A57EC">
        <w:rPr>
          <w:rFonts w:ascii="Open Sans" w:hAnsi="Open Sans" w:cs="Open Sans"/>
          <w:sz w:val="20"/>
          <w:szCs w:val="20"/>
        </w:rPr>
        <w:t>government</w:t>
      </w:r>
      <w:r w:rsidR="00C347B3">
        <w:rPr>
          <w:rFonts w:ascii="Open Sans" w:hAnsi="Open Sans" w:cs="Open Sans"/>
          <w:sz w:val="20"/>
          <w:szCs w:val="20"/>
        </w:rPr>
        <w:t xml:space="preserve"> workstreams are underway in relation to </w:t>
      </w:r>
      <w:r w:rsidR="009B17D9">
        <w:rPr>
          <w:rFonts w:ascii="Open Sans" w:hAnsi="Open Sans" w:cs="Open Sans"/>
          <w:sz w:val="20"/>
          <w:szCs w:val="20"/>
        </w:rPr>
        <w:t xml:space="preserve">reforming the Capacity Market to make it better aligned to </w:t>
      </w:r>
      <w:r w:rsidR="00867AEE">
        <w:rPr>
          <w:rFonts w:ascii="Open Sans" w:hAnsi="Open Sans" w:cs="Open Sans"/>
          <w:sz w:val="20"/>
          <w:szCs w:val="20"/>
        </w:rPr>
        <w:t>N</w:t>
      </w:r>
      <w:r w:rsidR="009B17D9">
        <w:rPr>
          <w:rFonts w:ascii="Open Sans" w:hAnsi="Open Sans" w:cs="Open Sans"/>
          <w:sz w:val="20"/>
          <w:szCs w:val="20"/>
        </w:rPr>
        <w:t xml:space="preserve">et </w:t>
      </w:r>
      <w:r w:rsidR="00867AEE">
        <w:rPr>
          <w:rFonts w:ascii="Open Sans" w:hAnsi="Open Sans" w:cs="Open Sans"/>
          <w:sz w:val="20"/>
          <w:szCs w:val="20"/>
        </w:rPr>
        <w:t>Z</w:t>
      </w:r>
      <w:r w:rsidR="009B17D9">
        <w:rPr>
          <w:rFonts w:ascii="Open Sans" w:hAnsi="Open Sans" w:cs="Open Sans"/>
          <w:sz w:val="20"/>
          <w:szCs w:val="20"/>
        </w:rPr>
        <w:t>ero targets</w:t>
      </w:r>
      <w:r w:rsidR="00D062D2">
        <w:rPr>
          <w:rFonts w:ascii="Open Sans" w:hAnsi="Open Sans" w:cs="Open Sans"/>
          <w:sz w:val="20"/>
          <w:szCs w:val="20"/>
        </w:rPr>
        <w:t>.</w:t>
      </w:r>
      <w:r w:rsidR="0001120C">
        <w:rPr>
          <w:rFonts w:ascii="Open Sans" w:hAnsi="Open Sans" w:cs="Open Sans"/>
          <w:sz w:val="20"/>
          <w:szCs w:val="20"/>
        </w:rPr>
        <w:t xml:space="preserve"> </w:t>
      </w:r>
      <w:r w:rsidR="00D062D2">
        <w:rPr>
          <w:rFonts w:ascii="Open Sans" w:hAnsi="Open Sans" w:cs="Open Sans"/>
          <w:sz w:val="20"/>
          <w:szCs w:val="20"/>
        </w:rPr>
        <w:t>We</w:t>
      </w:r>
      <w:r w:rsidR="0001120C">
        <w:rPr>
          <w:rFonts w:ascii="Open Sans" w:hAnsi="Open Sans" w:cs="Open Sans"/>
          <w:sz w:val="20"/>
          <w:szCs w:val="20"/>
        </w:rPr>
        <w:t xml:space="preserve"> are supportive of these reforms and </w:t>
      </w:r>
      <w:r w:rsidR="00BB27A3">
        <w:rPr>
          <w:rFonts w:ascii="Open Sans" w:hAnsi="Open Sans" w:cs="Open Sans"/>
          <w:sz w:val="20"/>
          <w:szCs w:val="20"/>
        </w:rPr>
        <w:t xml:space="preserve">support work to ensure a Cap and Floor and reformed CM are appropraitly aligned. It is possible that in the future there could well be value for </w:t>
      </w:r>
      <w:r w:rsidR="001456DC">
        <w:rPr>
          <w:rFonts w:ascii="Open Sans" w:hAnsi="Open Sans" w:cs="Open Sans"/>
          <w:sz w:val="20"/>
          <w:szCs w:val="20"/>
        </w:rPr>
        <w:t xml:space="preserve">an established LDES sector </w:t>
      </w:r>
      <w:r w:rsidR="00D062D2">
        <w:rPr>
          <w:rFonts w:ascii="Open Sans" w:hAnsi="Open Sans" w:cs="Open Sans"/>
          <w:sz w:val="20"/>
          <w:szCs w:val="20"/>
        </w:rPr>
        <w:t>t</w:t>
      </w:r>
      <w:r w:rsidR="001456DC">
        <w:rPr>
          <w:rFonts w:ascii="Open Sans" w:hAnsi="Open Sans" w:cs="Open Sans"/>
          <w:sz w:val="20"/>
          <w:szCs w:val="20"/>
        </w:rPr>
        <w:t xml:space="preserve">o also support the Capacity Market. </w:t>
      </w:r>
    </w:p>
    <w:p w14:paraId="71E1B153" w14:textId="77777777" w:rsidR="001456DC" w:rsidRDefault="001456DC" w:rsidP="00A51484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</w:p>
    <w:p w14:paraId="5285C1A1" w14:textId="72F40C33" w:rsidR="001456DC" w:rsidRPr="00A51484" w:rsidRDefault="001456DC" w:rsidP="00A51484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Finally, we also highlight that the choice to develop a </w:t>
      </w:r>
      <w:r w:rsidR="006F500B">
        <w:rPr>
          <w:rFonts w:ascii="Open Sans" w:hAnsi="Open Sans" w:cs="Open Sans"/>
          <w:sz w:val="20"/>
          <w:szCs w:val="20"/>
        </w:rPr>
        <w:t>C</w:t>
      </w:r>
      <w:r>
        <w:rPr>
          <w:rFonts w:ascii="Open Sans" w:hAnsi="Open Sans" w:cs="Open Sans"/>
          <w:sz w:val="20"/>
          <w:szCs w:val="20"/>
        </w:rPr>
        <w:t xml:space="preserve">ap and </w:t>
      </w:r>
      <w:r w:rsidR="006F500B">
        <w:rPr>
          <w:rFonts w:ascii="Open Sans" w:hAnsi="Open Sans" w:cs="Open Sans"/>
          <w:sz w:val="20"/>
          <w:szCs w:val="20"/>
        </w:rPr>
        <w:t>F</w:t>
      </w:r>
      <w:r>
        <w:rPr>
          <w:rFonts w:ascii="Open Sans" w:hAnsi="Open Sans" w:cs="Open Sans"/>
          <w:sz w:val="20"/>
          <w:szCs w:val="20"/>
        </w:rPr>
        <w:t>loor</w:t>
      </w:r>
      <w:r w:rsidR="006F500B">
        <w:rPr>
          <w:rFonts w:ascii="Open Sans" w:hAnsi="Open Sans" w:cs="Open Sans"/>
          <w:sz w:val="20"/>
          <w:szCs w:val="20"/>
        </w:rPr>
        <w:t xml:space="preserve"> mechanism</w:t>
      </w:r>
      <w:r>
        <w:rPr>
          <w:rFonts w:ascii="Open Sans" w:hAnsi="Open Sans" w:cs="Open Sans"/>
          <w:sz w:val="20"/>
          <w:szCs w:val="20"/>
        </w:rPr>
        <w:t xml:space="preserve"> also accords with </w:t>
      </w:r>
      <w:r w:rsidR="006F500B">
        <w:rPr>
          <w:rFonts w:ascii="Open Sans" w:hAnsi="Open Sans" w:cs="Open Sans"/>
          <w:sz w:val="20"/>
          <w:szCs w:val="20"/>
        </w:rPr>
        <w:t xml:space="preserve">other </w:t>
      </w:r>
      <w:r w:rsidR="00F37C31">
        <w:rPr>
          <w:rFonts w:ascii="Open Sans" w:hAnsi="Open Sans" w:cs="Open Sans"/>
          <w:sz w:val="20"/>
          <w:szCs w:val="20"/>
        </w:rPr>
        <w:t>mechanism</w:t>
      </w:r>
      <w:r w:rsidR="006F500B">
        <w:rPr>
          <w:rFonts w:ascii="Open Sans" w:hAnsi="Open Sans" w:cs="Open Sans"/>
          <w:sz w:val="20"/>
          <w:szCs w:val="20"/>
        </w:rPr>
        <w:t>s</w:t>
      </w:r>
      <w:r>
        <w:rPr>
          <w:rFonts w:ascii="Open Sans" w:hAnsi="Open Sans" w:cs="Open Sans"/>
          <w:sz w:val="20"/>
          <w:szCs w:val="20"/>
        </w:rPr>
        <w:t xml:space="preserve"> we are seeing </w:t>
      </w:r>
      <w:r w:rsidR="00326F1B">
        <w:rPr>
          <w:rFonts w:ascii="Open Sans" w:hAnsi="Open Sans" w:cs="Open Sans"/>
          <w:sz w:val="20"/>
          <w:szCs w:val="20"/>
        </w:rPr>
        <w:t xml:space="preserve">developed </w:t>
      </w:r>
      <w:r w:rsidR="00AF1B35">
        <w:rPr>
          <w:rFonts w:ascii="Open Sans" w:hAnsi="Open Sans" w:cs="Open Sans"/>
          <w:sz w:val="20"/>
          <w:szCs w:val="20"/>
        </w:rPr>
        <w:t>elsewhere</w:t>
      </w:r>
      <w:r>
        <w:rPr>
          <w:rFonts w:ascii="Open Sans" w:hAnsi="Open Sans" w:cs="Open Sans"/>
          <w:sz w:val="20"/>
          <w:szCs w:val="20"/>
        </w:rPr>
        <w:t xml:space="preserve"> in the world</w:t>
      </w:r>
      <w:r w:rsidR="00276273">
        <w:rPr>
          <w:rFonts w:ascii="Open Sans" w:hAnsi="Open Sans" w:cs="Open Sans"/>
          <w:sz w:val="20"/>
          <w:szCs w:val="20"/>
        </w:rPr>
        <w:t xml:space="preserve">, suggesting a shared </w:t>
      </w:r>
      <w:r w:rsidR="00326F1B">
        <w:rPr>
          <w:rFonts w:ascii="Open Sans" w:hAnsi="Open Sans" w:cs="Open Sans"/>
          <w:sz w:val="20"/>
          <w:szCs w:val="20"/>
        </w:rPr>
        <w:t>conclusion in delivering this critical technology</w:t>
      </w:r>
      <w:r w:rsidR="00EF0BD0">
        <w:rPr>
          <w:rFonts w:ascii="Open Sans" w:hAnsi="Open Sans" w:cs="Open Sans"/>
          <w:sz w:val="20"/>
          <w:szCs w:val="20"/>
        </w:rPr>
        <w:t xml:space="preserve"> and precedent for success</w:t>
      </w:r>
      <w:r w:rsidR="00326F1B">
        <w:rPr>
          <w:rFonts w:ascii="Open Sans" w:hAnsi="Open Sans" w:cs="Open Sans"/>
          <w:sz w:val="20"/>
          <w:szCs w:val="20"/>
        </w:rPr>
        <w:t xml:space="preserve">. </w:t>
      </w:r>
      <w:r w:rsidR="00276273">
        <w:rPr>
          <w:rFonts w:ascii="Open Sans" w:hAnsi="Open Sans" w:cs="Open Sans"/>
          <w:sz w:val="20"/>
          <w:szCs w:val="20"/>
        </w:rPr>
        <w:t xml:space="preserve"> </w:t>
      </w:r>
      <w:r w:rsidR="001F0D8B">
        <w:rPr>
          <w:rFonts w:ascii="Open Sans" w:hAnsi="Open Sans" w:cs="Open Sans"/>
          <w:sz w:val="20"/>
          <w:szCs w:val="20"/>
        </w:rPr>
        <w:t xml:space="preserve">For example, </w:t>
      </w:r>
      <w:r w:rsidR="006106FA">
        <w:rPr>
          <w:rFonts w:ascii="Open Sans" w:hAnsi="Open Sans" w:cs="Open Sans"/>
          <w:sz w:val="20"/>
          <w:szCs w:val="20"/>
        </w:rPr>
        <w:t>Australia</w:t>
      </w:r>
      <w:r w:rsidR="001F0D8B">
        <w:rPr>
          <w:rFonts w:ascii="Open Sans" w:hAnsi="Open Sans" w:cs="Open Sans"/>
          <w:sz w:val="20"/>
          <w:szCs w:val="20"/>
        </w:rPr>
        <w:t xml:space="preserve"> </w:t>
      </w:r>
      <w:proofErr w:type="gramStart"/>
      <w:r w:rsidR="00264C35">
        <w:rPr>
          <w:rFonts w:ascii="Open Sans" w:hAnsi="Open Sans" w:cs="Open Sans"/>
          <w:sz w:val="20"/>
          <w:szCs w:val="20"/>
        </w:rPr>
        <w:t xml:space="preserve">has </w:t>
      </w:r>
      <w:r w:rsidR="001072A3">
        <w:rPr>
          <w:rFonts w:ascii="Open Sans" w:hAnsi="Open Sans" w:cs="Open Sans"/>
          <w:sz w:val="20"/>
          <w:szCs w:val="20"/>
        </w:rPr>
        <w:t xml:space="preserve"> already</w:t>
      </w:r>
      <w:proofErr w:type="gramEnd"/>
      <w:r w:rsidR="001072A3">
        <w:rPr>
          <w:rFonts w:ascii="Open Sans" w:hAnsi="Open Sans" w:cs="Open Sans"/>
          <w:sz w:val="20"/>
          <w:szCs w:val="20"/>
        </w:rPr>
        <w:t xml:space="preserve"> </w:t>
      </w:r>
      <w:r w:rsidR="007437AF">
        <w:rPr>
          <w:rFonts w:ascii="Open Sans" w:hAnsi="Open Sans" w:cs="Open Sans"/>
          <w:sz w:val="20"/>
          <w:szCs w:val="20"/>
        </w:rPr>
        <w:t xml:space="preserve">delivered </w:t>
      </w:r>
      <w:r w:rsidR="001F0D8B">
        <w:rPr>
          <w:rFonts w:ascii="Open Sans" w:hAnsi="Open Sans" w:cs="Open Sans"/>
          <w:sz w:val="20"/>
          <w:szCs w:val="20"/>
        </w:rPr>
        <w:t xml:space="preserve">their Long-Term Energy Service Agreement, that offers </w:t>
      </w:r>
      <w:r w:rsidR="00AF1B35">
        <w:rPr>
          <w:rFonts w:ascii="Open Sans" w:hAnsi="Open Sans" w:cs="Open Sans"/>
          <w:sz w:val="20"/>
          <w:szCs w:val="20"/>
        </w:rPr>
        <w:t xml:space="preserve">up to </w:t>
      </w:r>
      <w:r w:rsidR="00F37C31">
        <w:rPr>
          <w:rFonts w:ascii="Open Sans" w:hAnsi="Open Sans" w:cs="Open Sans"/>
          <w:sz w:val="20"/>
          <w:szCs w:val="20"/>
        </w:rPr>
        <w:t>40-year</w:t>
      </w:r>
      <w:r w:rsidR="00AF1B35">
        <w:rPr>
          <w:rFonts w:ascii="Open Sans" w:hAnsi="Open Sans" w:cs="Open Sans"/>
          <w:sz w:val="20"/>
          <w:szCs w:val="20"/>
        </w:rPr>
        <w:t xml:space="preserve"> contract </w:t>
      </w:r>
      <w:r w:rsidR="00E836BF">
        <w:rPr>
          <w:rFonts w:ascii="Open Sans" w:hAnsi="Open Sans" w:cs="Open Sans"/>
          <w:sz w:val="20"/>
          <w:szCs w:val="20"/>
        </w:rPr>
        <w:t xml:space="preserve">Cap and Floor-based </w:t>
      </w:r>
      <w:r w:rsidR="00AF1B35">
        <w:rPr>
          <w:rFonts w:ascii="Open Sans" w:hAnsi="Open Sans" w:cs="Open Sans"/>
          <w:sz w:val="20"/>
          <w:szCs w:val="20"/>
        </w:rPr>
        <w:t>CfD model</w:t>
      </w:r>
      <w:r w:rsidR="00DC221C">
        <w:rPr>
          <w:rFonts w:ascii="Open Sans" w:hAnsi="Open Sans" w:cs="Open Sans"/>
          <w:sz w:val="20"/>
          <w:szCs w:val="20"/>
        </w:rPr>
        <w:t xml:space="preserve">. Last year over 4GWh of LDES </w:t>
      </w:r>
      <w:r w:rsidR="003D4A2F">
        <w:rPr>
          <w:rFonts w:ascii="Open Sans" w:hAnsi="Open Sans" w:cs="Open Sans"/>
          <w:sz w:val="20"/>
          <w:szCs w:val="20"/>
        </w:rPr>
        <w:t>was successfully selected through the New South Wales Tender Process</w:t>
      </w:r>
      <w:r w:rsidR="004C12B5">
        <w:rPr>
          <w:rFonts w:ascii="Open Sans" w:hAnsi="Open Sans" w:cs="Open Sans"/>
          <w:sz w:val="20"/>
          <w:szCs w:val="20"/>
        </w:rPr>
        <w:t>, demonstrating that the mechanism is attractive to investors</w:t>
      </w:r>
      <w:r w:rsidR="007437AF">
        <w:rPr>
          <w:rFonts w:ascii="Open Sans" w:hAnsi="Open Sans" w:cs="Open Sans"/>
          <w:sz w:val="20"/>
          <w:szCs w:val="20"/>
        </w:rPr>
        <w:t xml:space="preserve">. </w:t>
      </w:r>
      <w:r w:rsidR="004C12B5">
        <w:rPr>
          <w:rFonts w:ascii="Open Sans" w:hAnsi="Open Sans" w:cs="Open Sans"/>
          <w:sz w:val="20"/>
          <w:szCs w:val="20"/>
        </w:rPr>
        <w:t>[2]</w:t>
      </w:r>
    </w:p>
    <w:p w14:paraId="5C3D113C" w14:textId="77777777" w:rsidR="0017431F" w:rsidRDefault="0017431F" w:rsidP="00E427C3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</w:p>
    <w:p w14:paraId="71461826" w14:textId="76146807" w:rsidR="00C32D8C" w:rsidRDefault="00C32D8C" w:rsidP="00E427C3">
      <w:pPr>
        <w:pStyle w:val="ListParagraph"/>
        <w:ind w:left="-142"/>
        <w:jc w:val="both"/>
        <w:rPr>
          <w:rStyle w:val="Strong"/>
        </w:rPr>
      </w:pPr>
      <w:r>
        <w:rPr>
          <w:rFonts w:ascii="Open Sans" w:hAnsi="Open Sans" w:cs="Open Sans"/>
          <w:sz w:val="20"/>
          <w:szCs w:val="20"/>
        </w:rPr>
        <w:t xml:space="preserve">[1] </w:t>
      </w:r>
      <w:r>
        <w:t>REA (2021), ‘Longer-Duration Energy Storage: The missing piece to a Net Zero, reliable and low-cost energy future</w:t>
      </w:r>
      <w:r>
        <w:rPr>
          <w:rStyle w:val="Strong"/>
        </w:rPr>
        <w:t xml:space="preserve">‘ </w:t>
      </w:r>
      <w:hyperlink r:id="rId12" w:history="1">
        <w:r w:rsidRPr="009575A9">
          <w:rPr>
            <w:rStyle w:val="Hyperlink"/>
          </w:rPr>
          <w:t>https://www.r-e-a.net/resources/rea-longer-duration-energy-storage-report/</w:t>
        </w:r>
      </w:hyperlink>
      <w:r>
        <w:rPr>
          <w:rStyle w:val="Strong"/>
        </w:rPr>
        <w:t xml:space="preserve"> </w:t>
      </w:r>
    </w:p>
    <w:p w14:paraId="31400B61" w14:textId="44DA98F1" w:rsidR="00BD314E" w:rsidRDefault="00BD314E" w:rsidP="00E427C3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>
        <w:rPr>
          <w:rStyle w:val="Strong"/>
        </w:rPr>
        <w:t>[2</w:t>
      </w:r>
      <w:r w:rsidRPr="0009653F">
        <w:rPr>
          <w:rStyle w:val="Strong"/>
          <w:b w:val="0"/>
          <w:bCs w:val="0"/>
        </w:rPr>
        <w:t xml:space="preserve">] </w:t>
      </w:r>
      <w:r w:rsidR="0009653F" w:rsidRPr="0009653F">
        <w:rPr>
          <w:rStyle w:val="Strong"/>
          <w:b w:val="0"/>
          <w:bCs w:val="0"/>
        </w:rPr>
        <w:t xml:space="preserve">Energy Storage (2023) Over 4GWh of long-duration energy storage selected through tender in New South Wales, Australia </w:t>
      </w:r>
      <w:hyperlink r:id="rId13" w:history="1">
        <w:r w:rsidR="0009653F" w:rsidRPr="009575A9">
          <w:rPr>
            <w:rStyle w:val="Hyperlink"/>
          </w:rPr>
          <w:t>https://www.energy-storage.news/over-4gwh-of-long-duration-energy-storage-selected-through-tender-in-new-south-wales-australia/</w:t>
        </w:r>
      </w:hyperlink>
      <w:r w:rsidR="0009653F">
        <w:rPr>
          <w:rStyle w:val="Strong"/>
        </w:rPr>
        <w:t xml:space="preserve"> </w:t>
      </w:r>
    </w:p>
    <w:p w14:paraId="6A3780FE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color w:val="2F5496" w:themeColor="accent1" w:themeShade="BF"/>
          <w:sz w:val="20"/>
          <w:szCs w:val="20"/>
        </w:rPr>
      </w:pPr>
    </w:p>
    <w:p w14:paraId="54E1EF28" w14:textId="36E3F1D6" w:rsidR="0009653F" w:rsidRPr="00D8317D" w:rsidRDefault="00BD7B08" w:rsidP="00D8317D">
      <w:pPr>
        <w:pStyle w:val="ListParagraph"/>
        <w:numPr>
          <w:ilvl w:val="0"/>
          <w:numId w:val="18"/>
        </w:num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D8317D">
        <w:rPr>
          <w:rFonts w:ascii="Open Sans" w:hAnsi="Open Sans" w:cs="Open Sans"/>
          <w:b/>
          <w:bCs/>
          <w:sz w:val="20"/>
          <w:szCs w:val="20"/>
        </w:rPr>
        <w:t>Do you agree with our approach to not set an overall scheme capacity?</w:t>
      </w:r>
    </w:p>
    <w:p w14:paraId="06305D9A" w14:textId="514787C8" w:rsidR="00CD07EE" w:rsidRPr="00D8317D" w:rsidRDefault="00CD07EE" w:rsidP="00CD07EE">
      <w:pPr>
        <w:ind w:left="-142"/>
        <w:jc w:val="both"/>
        <w:rPr>
          <w:rFonts w:ascii="Open Sans" w:hAnsi="Open Sans" w:cs="Open Sans"/>
          <w:sz w:val="20"/>
          <w:szCs w:val="20"/>
        </w:rPr>
      </w:pPr>
      <w:r w:rsidRPr="00D8317D">
        <w:rPr>
          <w:rFonts w:ascii="Open Sans" w:hAnsi="Open Sans" w:cs="Open Sans"/>
          <w:sz w:val="20"/>
          <w:szCs w:val="20"/>
        </w:rPr>
        <w:t>Yes, we agree wi</w:t>
      </w:r>
      <w:r w:rsidR="00BA07C0" w:rsidRPr="00D8317D">
        <w:rPr>
          <w:rFonts w:ascii="Open Sans" w:hAnsi="Open Sans" w:cs="Open Sans"/>
          <w:sz w:val="20"/>
          <w:szCs w:val="20"/>
        </w:rPr>
        <w:t xml:space="preserve">th the proposals not to set an overall scheme capacity. Given the </w:t>
      </w:r>
      <w:r w:rsidR="00691C1B" w:rsidRPr="00D8317D">
        <w:rPr>
          <w:rFonts w:ascii="Open Sans" w:hAnsi="Open Sans" w:cs="Open Sans"/>
          <w:sz w:val="20"/>
          <w:szCs w:val="20"/>
        </w:rPr>
        <w:t>status</w:t>
      </w:r>
      <w:r w:rsidR="00BA07C0" w:rsidRPr="00D8317D">
        <w:rPr>
          <w:rFonts w:ascii="Open Sans" w:hAnsi="Open Sans" w:cs="Open Sans"/>
          <w:sz w:val="20"/>
          <w:szCs w:val="20"/>
        </w:rPr>
        <w:t xml:space="preserve"> of the industry to date, it is likely that any government figure will be, as identified in </w:t>
      </w:r>
      <w:r w:rsidR="006F500B">
        <w:rPr>
          <w:rFonts w:ascii="Open Sans" w:hAnsi="Open Sans" w:cs="Open Sans"/>
          <w:sz w:val="20"/>
          <w:szCs w:val="20"/>
        </w:rPr>
        <w:t>t</w:t>
      </w:r>
      <w:r w:rsidR="00BA07C0" w:rsidRPr="00D8317D">
        <w:rPr>
          <w:rFonts w:ascii="Open Sans" w:hAnsi="Open Sans" w:cs="Open Sans"/>
          <w:sz w:val="20"/>
          <w:szCs w:val="20"/>
        </w:rPr>
        <w:t xml:space="preserve">he </w:t>
      </w:r>
      <w:r w:rsidR="00691C1B" w:rsidRPr="00D8317D">
        <w:rPr>
          <w:rFonts w:ascii="Open Sans" w:hAnsi="Open Sans" w:cs="Open Sans"/>
          <w:sz w:val="20"/>
          <w:szCs w:val="20"/>
        </w:rPr>
        <w:t>consultation</w:t>
      </w:r>
      <w:r w:rsidR="00BA07C0" w:rsidRPr="00D8317D">
        <w:rPr>
          <w:rFonts w:ascii="Open Sans" w:hAnsi="Open Sans" w:cs="Open Sans"/>
          <w:sz w:val="20"/>
          <w:szCs w:val="20"/>
        </w:rPr>
        <w:t xml:space="preserve">, lower </w:t>
      </w:r>
      <w:r w:rsidR="00691C1B" w:rsidRPr="00D8317D">
        <w:rPr>
          <w:rFonts w:ascii="Open Sans" w:hAnsi="Open Sans" w:cs="Open Sans"/>
          <w:sz w:val="20"/>
          <w:szCs w:val="20"/>
        </w:rPr>
        <w:t>than</w:t>
      </w:r>
      <w:r w:rsidR="00BA07C0" w:rsidRPr="00D8317D">
        <w:rPr>
          <w:rFonts w:ascii="Open Sans" w:hAnsi="Open Sans" w:cs="Open Sans"/>
          <w:sz w:val="20"/>
          <w:szCs w:val="20"/>
        </w:rPr>
        <w:t xml:space="preserve"> </w:t>
      </w:r>
      <w:r w:rsidR="00E2256D" w:rsidRPr="00D8317D">
        <w:rPr>
          <w:rFonts w:ascii="Open Sans" w:hAnsi="Open Sans" w:cs="Open Sans"/>
          <w:sz w:val="20"/>
          <w:szCs w:val="20"/>
        </w:rPr>
        <w:t>t</w:t>
      </w:r>
      <w:r w:rsidR="00BA07C0" w:rsidRPr="00D8317D">
        <w:rPr>
          <w:rFonts w:ascii="Open Sans" w:hAnsi="Open Sans" w:cs="Open Sans"/>
          <w:sz w:val="20"/>
          <w:szCs w:val="20"/>
        </w:rPr>
        <w:t>he</w:t>
      </w:r>
      <w:r w:rsidR="00E2256D" w:rsidRPr="00D8317D">
        <w:rPr>
          <w:rFonts w:ascii="Open Sans" w:hAnsi="Open Sans" w:cs="Open Sans"/>
          <w:sz w:val="20"/>
          <w:szCs w:val="20"/>
        </w:rPr>
        <w:t xml:space="preserve"> current potential pipeline of </w:t>
      </w:r>
      <w:r w:rsidR="00691C1B" w:rsidRPr="00D8317D">
        <w:rPr>
          <w:rFonts w:ascii="Open Sans" w:hAnsi="Open Sans" w:cs="Open Sans"/>
          <w:sz w:val="20"/>
          <w:szCs w:val="20"/>
        </w:rPr>
        <w:t>projects</w:t>
      </w:r>
      <w:r w:rsidR="00E2256D" w:rsidRPr="00D8317D">
        <w:rPr>
          <w:rFonts w:ascii="Open Sans" w:hAnsi="Open Sans" w:cs="Open Sans"/>
          <w:sz w:val="20"/>
          <w:szCs w:val="20"/>
        </w:rPr>
        <w:t xml:space="preserve">.  Seeing a </w:t>
      </w:r>
      <w:r w:rsidR="00691C1B" w:rsidRPr="00D8317D">
        <w:rPr>
          <w:rFonts w:ascii="Open Sans" w:hAnsi="Open Sans" w:cs="Open Sans"/>
          <w:sz w:val="20"/>
          <w:szCs w:val="20"/>
        </w:rPr>
        <w:t>low-capacity figure</w:t>
      </w:r>
      <w:r w:rsidR="00E2256D" w:rsidRPr="00D8317D">
        <w:rPr>
          <w:rFonts w:ascii="Open Sans" w:hAnsi="Open Sans" w:cs="Open Sans"/>
          <w:sz w:val="20"/>
          <w:szCs w:val="20"/>
        </w:rPr>
        <w:t xml:space="preserve"> could send a signal to </w:t>
      </w:r>
      <w:r w:rsidR="00691C1B" w:rsidRPr="00D8317D">
        <w:rPr>
          <w:rFonts w:ascii="Open Sans" w:hAnsi="Open Sans" w:cs="Open Sans"/>
          <w:sz w:val="20"/>
          <w:szCs w:val="20"/>
        </w:rPr>
        <w:t>the</w:t>
      </w:r>
      <w:r w:rsidR="00E2256D" w:rsidRPr="00D8317D">
        <w:rPr>
          <w:rFonts w:ascii="Open Sans" w:hAnsi="Open Sans" w:cs="Open Sans"/>
          <w:sz w:val="20"/>
          <w:szCs w:val="20"/>
        </w:rPr>
        <w:t xml:space="preserve"> </w:t>
      </w:r>
      <w:r w:rsidR="00691C1B" w:rsidRPr="00D8317D">
        <w:rPr>
          <w:rFonts w:ascii="Open Sans" w:hAnsi="Open Sans" w:cs="Open Sans"/>
          <w:sz w:val="20"/>
          <w:szCs w:val="20"/>
        </w:rPr>
        <w:t>market</w:t>
      </w:r>
      <w:r w:rsidR="00E2256D" w:rsidRPr="00D8317D">
        <w:rPr>
          <w:rFonts w:ascii="Open Sans" w:hAnsi="Open Sans" w:cs="Open Sans"/>
          <w:sz w:val="20"/>
          <w:szCs w:val="20"/>
        </w:rPr>
        <w:t xml:space="preserve"> that </w:t>
      </w:r>
      <w:r w:rsidR="00691C1B" w:rsidRPr="00D8317D">
        <w:rPr>
          <w:rFonts w:ascii="Open Sans" w:hAnsi="Open Sans" w:cs="Open Sans"/>
          <w:sz w:val="20"/>
          <w:szCs w:val="20"/>
        </w:rPr>
        <w:t>Government</w:t>
      </w:r>
      <w:r w:rsidR="00E2256D" w:rsidRPr="00D8317D">
        <w:rPr>
          <w:rFonts w:ascii="Open Sans" w:hAnsi="Open Sans" w:cs="Open Sans"/>
          <w:sz w:val="20"/>
          <w:szCs w:val="20"/>
        </w:rPr>
        <w:t xml:space="preserve"> are not </w:t>
      </w:r>
      <w:r w:rsidR="00691C1B" w:rsidRPr="00D8317D">
        <w:rPr>
          <w:rFonts w:ascii="Open Sans" w:hAnsi="Open Sans" w:cs="Open Sans"/>
          <w:sz w:val="20"/>
          <w:szCs w:val="20"/>
        </w:rPr>
        <w:t>ambitious</w:t>
      </w:r>
      <w:r w:rsidR="00E2256D" w:rsidRPr="00D8317D">
        <w:rPr>
          <w:rFonts w:ascii="Open Sans" w:hAnsi="Open Sans" w:cs="Open Sans"/>
          <w:sz w:val="20"/>
          <w:szCs w:val="20"/>
        </w:rPr>
        <w:t xml:space="preserve"> enough and </w:t>
      </w:r>
      <w:r w:rsidR="00FA2163" w:rsidRPr="00D8317D">
        <w:rPr>
          <w:rFonts w:ascii="Open Sans" w:hAnsi="Open Sans" w:cs="Open Sans"/>
          <w:sz w:val="20"/>
          <w:szCs w:val="20"/>
        </w:rPr>
        <w:t xml:space="preserve">could undermine investor confidence in </w:t>
      </w:r>
      <w:r w:rsidR="001C45F2">
        <w:rPr>
          <w:rFonts w:ascii="Open Sans" w:hAnsi="Open Sans" w:cs="Open Sans"/>
          <w:sz w:val="20"/>
          <w:szCs w:val="20"/>
        </w:rPr>
        <w:t>t</w:t>
      </w:r>
      <w:r w:rsidR="00FA2163" w:rsidRPr="00D8317D">
        <w:rPr>
          <w:rFonts w:ascii="Open Sans" w:hAnsi="Open Sans" w:cs="Open Sans"/>
          <w:sz w:val="20"/>
          <w:szCs w:val="20"/>
        </w:rPr>
        <w:t xml:space="preserve">he </w:t>
      </w:r>
      <w:r w:rsidR="00D8317D" w:rsidRPr="00D8317D">
        <w:rPr>
          <w:rFonts w:ascii="Open Sans" w:hAnsi="Open Sans" w:cs="Open Sans"/>
          <w:sz w:val="20"/>
          <w:szCs w:val="20"/>
        </w:rPr>
        <w:t>schemes</w:t>
      </w:r>
      <w:r w:rsidR="00FA2163" w:rsidRPr="00D8317D">
        <w:rPr>
          <w:rFonts w:ascii="Open Sans" w:hAnsi="Open Sans" w:cs="Open Sans"/>
          <w:sz w:val="20"/>
          <w:szCs w:val="20"/>
        </w:rPr>
        <w:t xml:space="preserve">. </w:t>
      </w:r>
      <w:r w:rsidR="00D8317D" w:rsidRPr="00D8317D">
        <w:rPr>
          <w:rFonts w:ascii="Open Sans" w:hAnsi="Open Sans" w:cs="Open Sans"/>
          <w:sz w:val="20"/>
          <w:szCs w:val="20"/>
        </w:rPr>
        <w:t>We recognise that o</w:t>
      </w:r>
      <w:r w:rsidR="00FA2163" w:rsidRPr="00D8317D">
        <w:rPr>
          <w:rFonts w:ascii="Open Sans" w:hAnsi="Open Sans" w:cs="Open Sans"/>
          <w:sz w:val="20"/>
          <w:szCs w:val="20"/>
        </w:rPr>
        <w:t xml:space="preserve">nce the scheme is more established, and </w:t>
      </w:r>
      <w:r w:rsidR="00D703B4" w:rsidRPr="00D8317D">
        <w:rPr>
          <w:rFonts w:ascii="Open Sans" w:hAnsi="Open Sans" w:cs="Open Sans"/>
          <w:sz w:val="20"/>
          <w:szCs w:val="20"/>
        </w:rPr>
        <w:t xml:space="preserve">following anlysis of the </w:t>
      </w:r>
      <w:r w:rsidR="00D8317D" w:rsidRPr="00D8317D">
        <w:rPr>
          <w:rFonts w:ascii="Open Sans" w:hAnsi="Open Sans" w:cs="Open Sans"/>
          <w:sz w:val="20"/>
          <w:szCs w:val="20"/>
        </w:rPr>
        <w:t>how the wider power system is evolving</w:t>
      </w:r>
      <w:r w:rsidR="00691C1B" w:rsidRPr="00D8317D">
        <w:rPr>
          <w:rFonts w:ascii="Open Sans" w:hAnsi="Open Sans" w:cs="Open Sans"/>
          <w:sz w:val="20"/>
          <w:szCs w:val="20"/>
        </w:rPr>
        <w:t xml:space="preserve">, </w:t>
      </w:r>
      <w:r w:rsidR="00D703B4" w:rsidRPr="00D8317D">
        <w:rPr>
          <w:rFonts w:ascii="Open Sans" w:hAnsi="Open Sans" w:cs="Open Sans"/>
          <w:sz w:val="20"/>
          <w:szCs w:val="20"/>
        </w:rPr>
        <w:t xml:space="preserve">Government may choose to consider a capacity figure </w:t>
      </w:r>
      <w:r w:rsidR="00D8317D" w:rsidRPr="00D8317D">
        <w:rPr>
          <w:rFonts w:ascii="Open Sans" w:hAnsi="Open Sans" w:cs="Open Sans"/>
          <w:sz w:val="20"/>
          <w:szCs w:val="20"/>
        </w:rPr>
        <w:t xml:space="preserve">again. </w:t>
      </w:r>
    </w:p>
    <w:p w14:paraId="645F4AF7" w14:textId="77777777" w:rsidR="0009653F" w:rsidRDefault="0009653F" w:rsidP="0009653F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41DFF172" w14:textId="77777777" w:rsidR="0009653F" w:rsidRPr="0009653F" w:rsidRDefault="0009653F" w:rsidP="0009653F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1ED4FC3D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6. Have we sufficiently identified wider risks and do you agree with the proposed</w:t>
      </w:r>
    </w:p>
    <w:p w14:paraId="6BDD66DB" w14:textId="77777777" w:rsid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mitigations? Please provide your reasoning.</w:t>
      </w:r>
    </w:p>
    <w:p w14:paraId="0B903211" w14:textId="77777777" w:rsidR="00D8317D" w:rsidRDefault="00D8317D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09FCFF6A" w14:textId="356EA36F" w:rsidR="00D8317D" w:rsidRPr="001B4A0B" w:rsidRDefault="00C33CDA" w:rsidP="001B4A0B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C33CDA">
        <w:rPr>
          <w:rFonts w:ascii="Open Sans" w:hAnsi="Open Sans" w:cs="Open Sans"/>
          <w:sz w:val="20"/>
          <w:szCs w:val="20"/>
        </w:rPr>
        <w:t>Overall</w:t>
      </w:r>
      <w:r w:rsidR="004F141A">
        <w:rPr>
          <w:rFonts w:ascii="Open Sans" w:hAnsi="Open Sans" w:cs="Open Sans"/>
          <w:sz w:val="20"/>
          <w:szCs w:val="20"/>
        </w:rPr>
        <w:t xml:space="preserve">, </w:t>
      </w:r>
      <w:r w:rsidR="00095FB5" w:rsidRPr="00C33CDA">
        <w:rPr>
          <w:rFonts w:ascii="Open Sans" w:hAnsi="Open Sans" w:cs="Open Sans"/>
          <w:sz w:val="20"/>
          <w:szCs w:val="20"/>
        </w:rPr>
        <w:t xml:space="preserve">we agree with the </w:t>
      </w:r>
      <w:r w:rsidRPr="00C33CDA">
        <w:rPr>
          <w:rFonts w:ascii="Open Sans" w:hAnsi="Open Sans" w:cs="Open Sans"/>
          <w:sz w:val="20"/>
          <w:szCs w:val="20"/>
        </w:rPr>
        <w:t xml:space="preserve">identification and </w:t>
      </w:r>
      <w:r w:rsidR="003F6D36" w:rsidRPr="00C33CDA">
        <w:rPr>
          <w:rFonts w:ascii="Open Sans" w:hAnsi="Open Sans" w:cs="Open Sans"/>
          <w:sz w:val="20"/>
          <w:szCs w:val="20"/>
        </w:rPr>
        <w:t>an</w:t>
      </w:r>
      <w:r w:rsidR="006F4EEF">
        <w:rPr>
          <w:rFonts w:ascii="Open Sans" w:hAnsi="Open Sans" w:cs="Open Sans"/>
          <w:sz w:val="20"/>
          <w:szCs w:val="20"/>
        </w:rPr>
        <w:t>a</w:t>
      </w:r>
      <w:r w:rsidR="003F6D36" w:rsidRPr="00C33CDA">
        <w:rPr>
          <w:rFonts w:ascii="Open Sans" w:hAnsi="Open Sans" w:cs="Open Sans"/>
          <w:sz w:val="20"/>
          <w:szCs w:val="20"/>
        </w:rPr>
        <w:t>lysis of</w:t>
      </w:r>
      <w:r w:rsidRPr="00C33CDA">
        <w:rPr>
          <w:rFonts w:ascii="Open Sans" w:hAnsi="Open Sans" w:cs="Open Sans"/>
          <w:sz w:val="20"/>
          <w:szCs w:val="20"/>
        </w:rPr>
        <w:t xml:space="preserve"> wider risk</w:t>
      </w:r>
      <w:r>
        <w:rPr>
          <w:rFonts w:ascii="Open Sans" w:hAnsi="Open Sans" w:cs="Open Sans"/>
          <w:sz w:val="20"/>
          <w:szCs w:val="20"/>
        </w:rPr>
        <w:t xml:space="preserve">s and proposed mitigations. We particularly </w:t>
      </w:r>
      <w:r w:rsidR="00331BF1">
        <w:rPr>
          <w:rFonts w:ascii="Open Sans" w:hAnsi="Open Sans" w:cs="Open Sans"/>
          <w:sz w:val="20"/>
          <w:szCs w:val="20"/>
        </w:rPr>
        <w:t>agree with the an</w:t>
      </w:r>
      <w:r w:rsidR="00586896">
        <w:rPr>
          <w:rFonts w:ascii="Open Sans" w:hAnsi="Open Sans" w:cs="Open Sans"/>
          <w:sz w:val="20"/>
          <w:szCs w:val="20"/>
        </w:rPr>
        <w:t>a</w:t>
      </w:r>
      <w:r w:rsidR="00331BF1">
        <w:rPr>
          <w:rFonts w:ascii="Open Sans" w:hAnsi="Open Sans" w:cs="Open Sans"/>
          <w:sz w:val="20"/>
          <w:szCs w:val="20"/>
        </w:rPr>
        <w:t xml:space="preserve">lysis of the wider </w:t>
      </w:r>
      <w:r w:rsidR="003F6D36">
        <w:rPr>
          <w:rFonts w:ascii="Open Sans" w:hAnsi="Open Sans" w:cs="Open Sans"/>
          <w:sz w:val="20"/>
          <w:szCs w:val="20"/>
        </w:rPr>
        <w:t>pipeline</w:t>
      </w:r>
      <w:r w:rsidR="00331BF1">
        <w:rPr>
          <w:rFonts w:ascii="Open Sans" w:hAnsi="Open Sans" w:cs="Open Sans"/>
          <w:sz w:val="20"/>
          <w:szCs w:val="20"/>
        </w:rPr>
        <w:t xml:space="preserve"> and its interaction </w:t>
      </w:r>
      <w:r w:rsidR="003F6D36">
        <w:rPr>
          <w:rFonts w:ascii="Open Sans" w:hAnsi="Open Sans" w:cs="Open Sans"/>
          <w:sz w:val="20"/>
          <w:szCs w:val="20"/>
        </w:rPr>
        <w:t>with</w:t>
      </w:r>
      <w:r w:rsidR="00331BF1">
        <w:rPr>
          <w:rFonts w:ascii="Open Sans" w:hAnsi="Open Sans" w:cs="Open Sans"/>
          <w:sz w:val="20"/>
          <w:szCs w:val="20"/>
        </w:rPr>
        <w:t xml:space="preserve"> other </w:t>
      </w:r>
      <w:r w:rsidR="003F6D36">
        <w:rPr>
          <w:rFonts w:ascii="Open Sans" w:hAnsi="Open Sans" w:cs="Open Sans"/>
          <w:sz w:val="20"/>
          <w:szCs w:val="20"/>
        </w:rPr>
        <w:t>generation and storage technologies. LDES provide</w:t>
      </w:r>
      <w:r w:rsidR="00586896">
        <w:rPr>
          <w:rFonts w:ascii="Open Sans" w:hAnsi="Open Sans" w:cs="Open Sans"/>
          <w:sz w:val="20"/>
          <w:szCs w:val="20"/>
        </w:rPr>
        <w:t xml:space="preserve">s options for multiple scenarios to </w:t>
      </w:r>
      <w:r w:rsidR="00BC1072">
        <w:rPr>
          <w:rFonts w:ascii="Open Sans" w:hAnsi="Open Sans" w:cs="Open Sans"/>
          <w:sz w:val="20"/>
          <w:szCs w:val="20"/>
        </w:rPr>
        <w:t>decarbonisation,</w:t>
      </w:r>
      <w:r w:rsidR="001C45A1">
        <w:rPr>
          <w:rFonts w:ascii="Open Sans" w:hAnsi="Open Sans" w:cs="Open Sans"/>
          <w:sz w:val="20"/>
          <w:szCs w:val="20"/>
        </w:rPr>
        <w:t xml:space="preserve"> and </w:t>
      </w:r>
      <w:r w:rsidR="00B00C96">
        <w:rPr>
          <w:rFonts w:ascii="Open Sans" w:hAnsi="Open Sans" w:cs="Open Sans"/>
          <w:sz w:val="20"/>
          <w:szCs w:val="20"/>
        </w:rPr>
        <w:t xml:space="preserve">it </w:t>
      </w:r>
      <w:r w:rsidR="001C45A1">
        <w:rPr>
          <w:rFonts w:ascii="Open Sans" w:hAnsi="Open Sans" w:cs="Open Sans"/>
          <w:sz w:val="20"/>
          <w:szCs w:val="20"/>
        </w:rPr>
        <w:t xml:space="preserve">is </w:t>
      </w:r>
      <w:r w:rsidR="006B52A8">
        <w:rPr>
          <w:rFonts w:ascii="Open Sans" w:hAnsi="Open Sans" w:cs="Open Sans"/>
          <w:sz w:val="20"/>
          <w:szCs w:val="20"/>
        </w:rPr>
        <w:t>important</w:t>
      </w:r>
      <w:r w:rsidR="001C45A1">
        <w:rPr>
          <w:rFonts w:ascii="Open Sans" w:hAnsi="Open Sans" w:cs="Open Sans"/>
          <w:sz w:val="20"/>
          <w:szCs w:val="20"/>
        </w:rPr>
        <w:t xml:space="preserve"> tha</w:t>
      </w:r>
      <w:r w:rsidR="006B52A8">
        <w:rPr>
          <w:rFonts w:ascii="Open Sans" w:hAnsi="Open Sans" w:cs="Open Sans"/>
          <w:sz w:val="20"/>
          <w:szCs w:val="20"/>
        </w:rPr>
        <w:t>t</w:t>
      </w:r>
      <w:r w:rsidR="001C45A1">
        <w:rPr>
          <w:rFonts w:ascii="Open Sans" w:hAnsi="Open Sans" w:cs="Open Sans"/>
          <w:sz w:val="20"/>
          <w:szCs w:val="20"/>
        </w:rPr>
        <w:t xml:space="preserve"> </w:t>
      </w:r>
      <w:r w:rsidR="00477B13">
        <w:rPr>
          <w:rFonts w:ascii="Open Sans" w:hAnsi="Open Sans" w:cs="Open Sans"/>
          <w:sz w:val="20"/>
          <w:szCs w:val="20"/>
        </w:rPr>
        <w:t>G</w:t>
      </w:r>
      <w:r w:rsidR="006B52A8">
        <w:rPr>
          <w:rFonts w:ascii="Open Sans" w:hAnsi="Open Sans" w:cs="Open Sans"/>
          <w:sz w:val="20"/>
          <w:szCs w:val="20"/>
        </w:rPr>
        <w:t>overnment</w:t>
      </w:r>
      <w:r w:rsidR="001C45A1">
        <w:rPr>
          <w:rFonts w:ascii="Open Sans" w:hAnsi="Open Sans" w:cs="Open Sans"/>
          <w:sz w:val="20"/>
          <w:szCs w:val="20"/>
        </w:rPr>
        <w:t xml:space="preserve"> are looking to deploy a range of</w:t>
      </w:r>
      <w:r w:rsidR="001B4A0B">
        <w:rPr>
          <w:rFonts w:ascii="Open Sans" w:hAnsi="Open Sans" w:cs="Open Sans"/>
          <w:sz w:val="20"/>
          <w:szCs w:val="20"/>
        </w:rPr>
        <w:t xml:space="preserve"> renewable</w:t>
      </w:r>
      <w:r w:rsidR="001C45A1">
        <w:rPr>
          <w:rFonts w:ascii="Open Sans" w:hAnsi="Open Sans" w:cs="Open Sans"/>
          <w:sz w:val="20"/>
          <w:szCs w:val="20"/>
        </w:rPr>
        <w:t xml:space="preserve"> </w:t>
      </w:r>
      <w:r w:rsidR="006B52A8">
        <w:rPr>
          <w:rFonts w:ascii="Open Sans" w:hAnsi="Open Sans" w:cs="Open Sans"/>
          <w:sz w:val="20"/>
          <w:szCs w:val="20"/>
        </w:rPr>
        <w:t>technologies</w:t>
      </w:r>
      <w:r w:rsidR="001C45A1">
        <w:rPr>
          <w:rFonts w:ascii="Open Sans" w:hAnsi="Open Sans" w:cs="Open Sans"/>
          <w:sz w:val="20"/>
          <w:szCs w:val="20"/>
        </w:rPr>
        <w:t xml:space="preserve"> in </w:t>
      </w:r>
      <w:r w:rsidR="006B52A8">
        <w:rPr>
          <w:rFonts w:ascii="Open Sans" w:hAnsi="Open Sans" w:cs="Open Sans"/>
          <w:sz w:val="20"/>
          <w:szCs w:val="20"/>
        </w:rPr>
        <w:t>parallel</w:t>
      </w:r>
      <w:r w:rsidR="001C45A1">
        <w:rPr>
          <w:rFonts w:ascii="Open Sans" w:hAnsi="Open Sans" w:cs="Open Sans"/>
          <w:sz w:val="20"/>
          <w:szCs w:val="20"/>
        </w:rPr>
        <w:t xml:space="preserve">, such as the </w:t>
      </w:r>
      <w:r w:rsidR="00C56086">
        <w:rPr>
          <w:rFonts w:ascii="Open Sans" w:hAnsi="Open Sans" w:cs="Open Sans"/>
          <w:sz w:val="20"/>
          <w:szCs w:val="20"/>
        </w:rPr>
        <w:t>H</w:t>
      </w:r>
      <w:r w:rsidR="001C45A1">
        <w:rPr>
          <w:rFonts w:ascii="Open Sans" w:hAnsi="Open Sans" w:cs="Open Sans"/>
          <w:sz w:val="20"/>
          <w:szCs w:val="20"/>
        </w:rPr>
        <w:t>ydrogen</w:t>
      </w:r>
      <w:r w:rsidR="00B00C96">
        <w:rPr>
          <w:rFonts w:ascii="Open Sans" w:hAnsi="Open Sans" w:cs="Open Sans"/>
          <w:sz w:val="20"/>
          <w:szCs w:val="20"/>
        </w:rPr>
        <w:t xml:space="preserve"> to </w:t>
      </w:r>
      <w:r w:rsidR="00C56086">
        <w:rPr>
          <w:rFonts w:ascii="Open Sans" w:hAnsi="Open Sans" w:cs="Open Sans"/>
          <w:sz w:val="20"/>
          <w:szCs w:val="20"/>
        </w:rPr>
        <w:t>P</w:t>
      </w:r>
      <w:r w:rsidR="00B00C96">
        <w:rPr>
          <w:rFonts w:ascii="Open Sans" w:hAnsi="Open Sans" w:cs="Open Sans"/>
          <w:sz w:val="20"/>
          <w:szCs w:val="20"/>
        </w:rPr>
        <w:t>ower deployment, providing the</w:t>
      </w:r>
      <w:r w:rsidR="00F5137F">
        <w:rPr>
          <w:rFonts w:ascii="Open Sans" w:hAnsi="Open Sans" w:cs="Open Sans"/>
          <w:sz w:val="20"/>
          <w:szCs w:val="20"/>
        </w:rPr>
        <w:t xml:space="preserve"> best</w:t>
      </w:r>
      <w:r w:rsidR="00B00C96">
        <w:rPr>
          <w:rFonts w:ascii="Open Sans" w:hAnsi="Open Sans" w:cs="Open Sans"/>
          <w:sz w:val="20"/>
          <w:szCs w:val="20"/>
        </w:rPr>
        <w:t xml:space="preserve"> chance for the UK to meet its </w:t>
      </w:r>
      <w:r w:rsidR="006D1355">
        <w:rPr>
          <w:rFonts w:ascii="Open Sans" w:hAnsi="Open Sans" w:cs="Open Sans"/>
          <w:sz w:val="20"/>
          <w:szCs w:val="20"/>
        </w:rPr>
        <w:t>N</w:t>
      </w:r>
      <w:r w:rsidR="00F5137F">
        <w:rPr>
          <w:rFonts w:ascii="Open Sans" w:hAnsi="Open Sans" w:cs="Open Sans"/>
          <w:sz w:val="20"/>
          <w:szCs w:val="20"/>
        </w:rPr>
        <w:t>e</w:t>
      </w:r>
      <w:r w:rsidR="001B4A0B">
        <w:rPr>
          <w:rFonts w:ascii="Open Sans" w:hAnsi="Open Sans" w:cs="Open Sans"/>
          <w:sz w:val="20"/>
          <w:szCs w:val="20"/>
        </w:rPr>
        <w:t>t</w:t>
      </w:r>
      <w:r w:rsidR="00F5137F">
        <w:rPr>
          <w:rFonts w:ascii="Open Sans" w:hAnsi="Open Sans" w:cs="Open Sans"/>
          <w:sz w:val="20"/>
          <w:szCs w:val="20"/>
        </w:rPr>
        <w:t xml:space="preserve"> </w:t>
      </w:r>
      <w:r w:rsidR="006D1355">
        <w:rPr>
          <w:rFonts w:ascii="Open Sans" w:hAnsi="Open Sans" w:cs="Open Sans"/>
          <w:sz w:val="20"/>
          <w:szCs w:val="20"/>
        </w:rPr>
        <w:t>Z</w:t>
      </w:r>
      <w:r w:rsidR="00F5137F">
        <w:rPr>
          <w:rFonts w:ascii="Open Sans" w:hAnsi="Open Sans" w:cs="Open Sans"/>
          <w:sz w:val="20"/>
          <w:szCs w:val="20"/>
        </w:rPr>
        <w:t xml:space="preserve">ero targets. </w:t>
      </w:r>
    </w:p>
    <w:p w14:paraId="11EAC09F" w14:textId="77777777" w:rsidR="00D8317D" w:rsidRPr="00BD7B08" w:rsidRDefault="00D8317D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27BFD054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7. Do you agree that only those technologies that meet the electricity storage</w:t>
      </w:r>
    </w:p>
    <w:p w14:paraId="04A7E83B" w14:textId="77777777" w:rsid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definition should be eligible for an LDES scheme?</w:t>
      </w:r>
    </w:p>
    <w:p w14:paraId="47D116FC" w14:textId="77777777" w:rsidR="001B4A0B" w:rsidRDefault="001B4A0B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2C6E1D08" w14:textId="0957384E" w:rsidR="001B4A0B" w:rsidRPr="0022228C" w:rsidRDefault="001B4A0B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22228C">
        <w:rPr>
          <w:rFonts w:ascii="Open Sans" w:hAnsi="Open Sans" w:cs="Open Sans"/>
          <w:sz w:val="20"/>
          <w:szCs w:val="20"/>
        </w:rPr>
        <w:t xml:space="preserve">No. </w:t>
      </w:r>
    </w:p>
    <w:p w14:paraId="146D2226" w14:textId="77777777" w:rsidR="001B4A0B" w:rsidRPr="0022228C" w:rsidRDefault="001B4A0B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</w:p>
    <w:p w14:paraId="2325DE54" w14:textId="070C8248" w:rsidR="00502F2E" w:rsidRPr="0022228C" w:rsidRDefault="006A269D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22228C">
        <w:rPr>
          <w:rFonts w:ascii="Open Sans" w:hAnsi="Open Sans" w:cs="Open Sans"/>
          <w:sz w:val="20"/>
          <w:szCs w:val="20"/>
        </w:rPr>
        <w:t xml:space="preserve">The </w:t>
      </w:r>
      <w:r w:rsidR="00932938" w:rsidRPr="0022228C">
        <w:rPr>
          <w:rFonts w:ascii="Open Sans" w:hAnsi="Open Sans" w:cs="Open Sans"/>
          <w:sz w:val="20"/>
          <w:szCs w:val="20"/>
        </w:rPr>
        <w:t>consultation</w:t>
      </w:r>
      <w:r w:rsidRPr="0022228C">
        <w:rPr>
          <w:rFonts w:ascii="Open Sans" w:hAnsi="Open Sans" w:cs="Open Sans"/>
          <w:sz w:val="20"/>
          <w:szCs w:val="20"/>
        </w:rPr>
        <w:t xml:space="preserve"> provides no good reason for the exclusion of </w:t>
      </w:r>
      <w:r w:rsidR="003067CE">
        <w:rPr>
          <w:rFonts w:ascii="Open Sans" w:hAnsi="Open Sans" w:cs="Open Sans"/>
          <w:sz w:val="20"/>
          <w:szCs w:val="20"/>
        </w:rPr>
        <w:t>T</w:t>
      </w:r>
      <w:r w:rsidRPr="0022228C">
        <w:rPr>
          <w:rFonts w:ascii="Open Sans" w:hAnsi="Open Sans" w:cs="Open Sans"/>
          <w:sz w:val="20"/>
          <w:szCs w:val="20"/>
        </w:rPr>
        <w:t xml:space="preserve">hermal </w:t>
      </w:r>
      <w:r w:rsidR="003067CE">
        <w:rPr>
          <w:rFonts w:ascii="Open Sans" w:hAnsi="Open Sans" w:cs="Open Sans"/>
          <w:sz w:val="20"/>
          <w:szCs w:val="20"/>
        </w:rPr>
        <w:t>S</w:t>
      </w:r>
      <w:r w:rsidRPr="0022228C">
        <w:rPr>
          <w:rFonts w:ascii="Open Sans" w:hAnsi="Open Sans" w:cs="Open Sans"/>
          <w:sz w:val="20"/>
          <w:szCs w:val="20"/>
        </w:rPr>
        <w:t xml:space="preserve">torage </w:t>
      </w:r>
      <w:r w:rsidR="00932938" w:rsidRPr="0022228C">
        <w:rPr>
          <w:rFonts w:ascii="Open Sans" w:hAnsi="Open Sans" w:cs="Open Sans"/>
          <w:sz w:val="20"/>
          <w:szCs w:val="20"/>
        </w:rPr>
        <w:t>from</w:t>
      </w:r>
      <w:r w:rsidRPr="0022228C">
        <w:rPr>
          <w:rFonts w:ascii="Open Sans" w:hAnsi="Open Sans" w:cs="Open Sans"/>
          <w:sz w:val="20"/>
          <w:szCs w:val="20"/>
        </w:rPr>
        <w:t xml:space="preserve"> </w:t>
      </w:r>
      <w:r w:rsidR="00E530C7" w:rsidRPr="0022228C">
        <w:rPr>
          <w:rFonts w:ascii="Open Sans" w:hAnsi="Open Sans" w:cs="Open Sans"/>
          <w:sz w:val="20"/>
          <w:szCs w:val="20"/>
        </w:rPr>
        <w:t>the</w:t>
      </w:r>
      <w:r w:rsidRPr="0022228C">
        <w:rPr>
          <w:rFonts w:ascii="Open Sans" w:hAnsi="Open Sans" w:cs="Open Sans"/>
          <w:sz w:val="20"/>
          <w:szCs w:val="20"/>
        </w:rPr>
        <w:t xml:space="preserve"> scheme</w:t>
      </w:r>
      <w:r w:rsidR="003067CE">
        <w:rPr>
          <w:rFonts w:ascii="Open Sans" w:hAnsi="Open Sans" w:cs="Open Sans"/>
          <w:sz w:val="20"/>
          <w:szCs w:val="20"/>
        </w:rPr>
        <w:t xml:space="preserve">, </w:t>
      </w:r>
      <w:r w:rsidR="00932938" w:rsidRPr="0022228C">
        <w:rPr>
          <w:rFonts w:ascii="Open Sans" w:hAnsi="Open Sans" w:cs="Open Sans"/>
          <w:sz w:val="20"/>
          <w:szCs w:val="20"/>
        </w:rPr>
        <w:t>b</w:t>
      </w:r>
      <w:r w:rsidRPr="0022228C">
        <w:rPr>
          <w:rFonts w:ascii="Open Sans" w:hAnsi="Open Sans" w:cs="Open Sans"/>
          <w:sz w:val="20"/>
          <w:szCs w:val="20"/>
        </w:rPr>
        <w:t xml:space="preserve">eyond </w:t>
      </w:r>
      <w:r w:rsidR="00932938" w:rsidRPr="0022228C">
        <w:rPr>
          <w:rFonts w:ascii="Open Sans" w:hAnsi="Open Sans" w:cs="Open Sans"/>
          <w:sz w:val="20"/>
          <w:szCs w:val="20"/>
        </w:rPr>
        <w:t>it unfairly</w:t>
      </w:r>
      <w:r w:rsidRPr="0022228C">
        <w:rPr>
          <w:rFonts w:ascii="Open Sans" w:hAnsi="Open Sans" w:cs="Open Sans"/>
          <w:sz w:val="20"/>
          <w:szCs w:val="20"/>
        </w:rPr>
        <w:t xml:space="preserve"> falling outside of a legislated definition, which we have previously highlighted to </w:t>
      </w:r>
      <w:r w:rsidR="00CB4100">
        <w:rPr>
          <w:rFonts w:ascii="Open Sans" w:hAnsi="Open Sans" w:cs="Open Sans"/>
          <w:sz w:val="20"/>
          <w:szCs w:val="20"/>
        </w:rPr>
        <w:t xml:space="preserve">Government as </w:t>
      </w:r>
      <w:r w:rsidRPr="0022228C">
        <w:rPr>
          <w:rFonts w:ascii="Open Sans" w:hAnsi="Open Sans" w:cs="Open Sans"/>
          <w:sz w:val="20"/>
          <w:szCs w:val="20"/>
        </w:rPr>
        <w:t xml:space="preserve">insufficient. </w:t>
      </w:r>
      <w:r w:rsidR="00580462" w:rsidRPr="0022228C">
        <w:rPr>
          <w:rFonts w:ascii="Open Sans" w:hAnsi="Open Sans" w:cs="Open Sans"/>
          <w:sz w:val="20"/>
          <w:szCs w:val="20"/>
        </w:rPr>
        <w:t>Th</w:t>
      </w:r>
      <w:r w:rsidR="000374C2" w:rsidRPr="0022228C">
        <w:rPr>
          <w:rFonts w:ascii="Open Sans" w:hAnsi="Open Sans" w:cs="Open Sans"/>
          <w:sz w:val="20"/>
          <w:szCs w:val="20"/>
        </w:rPr>
        <w:t xml:space="preserve">ermal </w:t>
      </w:r>
      <w:r w:rsidR="00992D39" w:rsidRPr="0022228C">
        <w:rPr>
          <w:rFonts w:ascii="Open Sans" w:hAnsi="Open Sans" w:cs="Open Sans"/>
          <w:sz w:val="20"/>
          <w:szCs w:val="20"/>
        </w:rPr>
        <w:t>Storage</w:t>
      </w:r>
      <w:r w:rsidR="000374C2" w:rsidRPr="0022228C">
        <w:rPr>
          <w:rFonts w:ascii="Open Sans" w:hAnsi="Open Sans" w:cs="Open Sans"/>
          <w:sz w:val="20"/>
          <w:szCs w:val="20"/>
        </w:rPr>
        <w:t xml:space="preserve"> could be </w:t>
      </w:r>
      <w:r w:rsidR="00992D39" w:rsidRPr="0022228C">
        <w:rPr>
          <w:rFonts w:ascii="Open Sans" w:hAnsi="Open Sans" w:cs="Open Sans"/>
          <w:sz w:val="20"/>
          <w:szCs w:val="20"/>
        </w:rPr>
        <w:t>particularly</w:t>
      </w:r>
      <w:r w:rsidR="000374C2" w:rsidRPr="0022228C">
        <w:rPr>
          <w:rFonts w:ascii="Open Sans" w:hAnsi="Open Sans" w:cs="Open Sans"/>
          <w:sz w:val="20"/>
          <w:szCs w:val="20"/>
        </w:rPr>
        <w:t xml:space="preserve"> useful in meeting process heat demands, </w:t>
      </w:r>
      <w:r w:rsidR="004B136F">
        <w:rPr>
          <w:rFonts w:ascii="Open Sans" w:hAnsi="Open Sans" w:cs="Open Sans"/>
          <w:sz w:val="20"/>
          <w:szCs w:val="20"/>
        </w:rPr>
        <w:t>consequently</w:t>
      </w:r>
      <w:r w:rsidR="0092548F">
        <w:rPr>
          <w:rFonts w:ascii="Open Sans" w:hAnsi="Open Sans" w:cs="Open Sans"/>
          <w:sz w:val="20"/>
          <w:szCs w:val="20"/>
        </w:rPr>
        <w:t xml:space="preserve"> </w:t>
      </w:r>
      <w:r w:rsidR="000374C2" w:rsidRPr="0022228C">
        <w:rPr>
          <w:rFonts w:ascii="Open Sans" w:hAnsi="Open Sans" w:cs="Open Sans"/>
          <w:sz w:val="20"/>
          <w:szCs w:val="20"/>
        </w:rPr>
        <w:t xml:space="preserve">removing electrical demand from the grid. </w:t>
      </w:r>
      <w:r w:rsidR="002242C3" w:rsidRPr="0022228C">
        <w:rPr>
          <w:rFonts w:ascii="Open Sans" w:hAnsi="Open Sans" w:cs="Open Sans"/>
          <w:sz w:val="20"/>
          <w:szCs w:val="20"/>
        </w:rPr>
        <w:t xml:space="preserve">This </w:t>
      </w:r>
      <w:r w:rsidR="00992D39" w:rsidRPr="0022228C">
        <w:rPr>
          <w:rFonts w:ascii="Open Sans" w:hAnsi="Open Sans" w:cs="Open Sans"/>
          <w:sz w:val="20"/>
          <w:szCs w:val="20"/>
        </w:rPr>
        <w:t>includes</w:t>
      </w:r>
      <w:r w:rsidR="002242C3" w:rsidRPr="0022228C">
        <w:rPr>
          <w:rFonts w:ascii="Open Sans" w:hAnsi="Open Sans" w:cs="Open Sans"/>
          <w:sz w:val="20"/>
          <w:szCs w:val="20"/>
        </w:rPr>
        <w:t xml:space="preserve"> power to s</w:t>
      </w:r>
      <w:r w:rsidR="003610D0" w:rsidRPr="0022228C">
        <w:rPr>
          <w:rFonts w:ascii="Open Sans" w:hAnsi="Open Sans" w:cs="Open Sans"/>
          <w:sz w:val="20"/>
          <w:szCs w:val="20"/>
        </w:rPr>
        <w:t>t</w:t>
      </w:r>
      <w:r w:rsidR="002242C3" w:rsidRPr="0022228C">
        <w:rPr>
          <w:rFonts w:ascii="Open Sans" w:hAnsi="Open Sans" w:cs="Open Sans"/>
          <w:sz w:val="20"/>
          <w:szCs w:val="20"/>
        </w:rPr>
        <w:t xml:space="preserve">eam </w:t>
      </w:r>
      <w:r w:rsidR="003610D0" w:rsidRPr="0022228C">
        <w:rPr>
          <w:rFonts w:ascii="Open Sans" w:hAnsi="Open Sans" w:cs="Open Sans"/>
          <w:sz w:val="20"/>
          <w:szCs w:val="20"/>
        </w:rPr>
        <w:t>systems</w:t>
      </w:r>
      <w:r w:rsidR="00CA2410" w:rsidRPr="0022228C">
        <w:rPr>
          <w:rFonts w:ascii="Open Sans" w:hAnsi="Open Sans" w:cs="Open Sans"/>
          <w:sz w:val="20"/>
          <w:szCs w:val="20"/>
        </w:rPr>
        <w:t xml:space="preserve"> that</w:t>
      </w:r>
      <w:r w:rsidR="00D4588F" w:rsidRPr="0022228C">
        <w:rPr>
          <w:rFonts w:ascii="Open Sans" w:hAnsi="Open Sans" w:cs="Open Sans"/>
          <w:sz w:val="20"/>
          <w:szCs w:val="20"/>
        </w:rPr>
        <w:t xml:space="preserve"> could make use of </w:t>
      </w:r>
      <w:r w:rsidR="003610D0" w:rsidRPr="0022228C">
        <w:rPr>
          <w:rFonts w:ascii="Open Sans" w:hAnsi="Open Sans" w:cs="Open Sans"/>
          <w:sz w:val="20"/>
          <w:szCs w:val="20"/>
        </w:rPr>
        <w:t>excess</w:t>
      </w:r>
      <w:r w:rsidR="00D4588F" w:rsidRPr="0022228C">
        <w:rPr>
          <w:rFonts w:ascii="Open Sans" w:hAnsi="Open Sans" w:cs="Open Sans"/>
          <w:sz w:val="20"/>
          <w:szCs w:val="20"/>
        </w:rPr>
        <w:t xml:space="preserve"> power generation, store </w:t>
      </w:r>
      <w:r w:rsidR="00AF0BF8">
        <w:rPr>
          <w:rFonts w:ascii="Open Sans" w:hAnsi="Open Sans" w:cs="Open Sans"/>
          <w:sz w:val="20"/>
          <w:szCs w:val="20"/>
        </w:rPr>
        <w:t xml:space="preserve">the </w:t>
      </w:r>
      <w:proofErr w:type="gramStart"/>
      <w:r w:rsidR="00AF0BF8">
        <w:rPr>
          <w:rFonts w:ascii="Open Sans" w:hAnsi="Open Sans" w:cs="Open Sans"/>
          <w:sz w:val="20"/>
          <w:szCs w:val="20"/>
        </w:rPr>
        <w:t xml:space="preserve">energy </w:t>
      </w:r>
      <w:r w:rsidR="00D4588F" w:rsidRPr="0022228C">
        <w:rPr>
          <w:rFonts w:ascii="Open Sans" w:hAnsi="Open Sans" w:cs="Open Sans"/>
          <w:sz w:val="20"/>
          <w:szCs w:val="20"/>
        </w:rPr>
        <w:t xml:space="preserve"> as</w:t>
      </w:r>
      <w:proofErr w:type="gramEnd"/>
      <w:r w:rsidR="00D4588F" w:rsidRPr="0022228C">
        <w:rPr>
          <w:rFonts w:ascii="Open Sans" w:hAnsi="Open Sans" w:cs="Open Sans"/>
          <w:sz w:val="20"/>
          <w:szCs w:val="20"/>
        </w:rPr>
        <w:t xml:space="preserve"> heat </w:t>
      </w:r>
      <w:r w:rsidR="00CA2410" w:rsidRPr="0022228C">
        <w:rPr>
          <w:rFonts w:ascii="Open Sans" w:hAnsi="Open Sans" w:cs="Open Sans"/>
          <w:sz w:val="20"/>
          <w:szCs w:val="20"/>
        </w:rPr>
        <w:t xml:space="preserve">and </w:t>
      </w:r>
      <w:r w:rsidR="00D4588F" w:rsidRPr="0022228C">
        <w:rPr>
          <w:rFonts w:ascii="Open Sans" w:hAnsi="Open Sans" w:cs="Open Sans"/>
          <w:sz w:val="20"/>
          <w:szCs w:val="20"/>
        </w:rPr>
        <w:t xml:space="preserve">then </w:t>
      </w:r>
      <w:r w:rsidR="001B1EB9" w:rsidRPr="0022228C">
        <w:rPr>
          <w:rFonts w:ascii="Open Sans" w:hAnsi="Open Sans" w:cs="Open Sans"/>
          <w:sz w:val="20"/>
          <w:szCs w:val="20"/>
        </w:rPr>
        <w:t>dispatch it</w:t>
      </w:r>
      <w:r w:rsidR="00FD7005" w:rsidRPr="0022228C">
        <w:rPr>
          <w:rFonts w:ascii="Open Sans" w:hAnsi="Open Sans" w:cs="Open Sans"/>
          <w:sz w:val="20"/>
          <w:szCs w:val="20"/>
        </w:rPr>
        <w:t xml:space="preserve"> </w:t>
      </w:r>
      <w:r w:rsidR="00174470" w:rsidRPr="0022228C">
        <w:rPr>
          <w:rFonts w:ascii="Open Sans" w:hAnsi="Open Sans" w:cs="Open Sans"/>
          <w:sz w:val="20"/>
          <w:szCs w:val="20"/>
        </w:rPr>
        <w:t xml:space="preserve">to </w:t>
      </w:r>
      <w:r w:rsidR="00FD7005" w:rsidRPr="0022228C">
        <w:rPr>
          <w:rFonts w:ascii="Open Sans" w:hAnsi="Open Sans" w:cs="Open Sans"/>
          <w:sz w:val="20"/>
          <w:szCs w:val="20"/>
        </w:rPr>
        <w:t xml:space="preserve">meet </w:t>
      </w:r>
      <w:r w:rsidR="001B1EB9" w:rsidRPr="0022228C">
        <w:rPr>
          <w:rFonts w:ascii="Open Sans" w:hAnsi="Open Sans" w:cs="Open Sans"/>
          <w:sz w:val="20"/>
          <w:szCs w:val="20"/>
        </w:rPr>
        <w:t>demand</w:t>
      </w:r>
      <w:r w:rsidR="00FD7005" w:rsidRPr="0022228C">
        <w:rPr>
          <w:rFonts w:ascii="Open Sans" w:hAnsi="Open Sans" w:cs="Open Sans"/>
          <w:sz w:val="20"/>
          <w:szCs w:val="20"/>
        </w:rPr>
        <w:t>.</w:t>
      </w:r>
      <w:r w:rsidR="001B1EB9" w:rsidRPr="0022228C">
        <w:rPr>
          <w:rFonts w:ascii="Open Sans" w:hAnsi="Open Sans" w:cs="Open Sans"/>
          <w:sz w:val="20"/>
          <w:szCs w:val="20"/>
        </w:rPr>
        <w:t xml:space="preserve"> With </w:t>
      </w:r>
      <w:r w:rsidR="00CA2410" w:rsidRPr="0022228C">
        <w:rPr>
          <w:rFonts w:ascii="Open Sans" w:hAnsi="Open Sans" w:cs="Open Sans"/>
          <w:sz w:val="20"/>
          <w:szCs w:val="20"/>
        </w:rPr>
        <w:t>workstream</w:t>
      </w:r>
      <w:r w:rsidR="00FD7005" w:rsidRPr="0022228C">
        <w:rPr>
          <w:rFonts w:ascii="Open Sans" w:hAnsi="Open Sans" w:cs="Open Sans"/>
          <w:sz w:val="20"/>
          <w:szCs w:val="20"/>
        </w:rPr>
        <w:t>s</w:t>
      </w:r>
      <w:r w:rsidR="001B1EB9" w:rsidRPr="0022228C">
        <w:rPr>
          <w:rFonts w:ascii="Open Sans" w:hAnsi="Open Sans" w:cs="Open Sans"/>
          <w:sz w:val="20"/>
          <w:szCs w:val="20"/>
        </w:rPr>
        <w:t xml:space="preserve"> in Government also looking a</w:t>
      </w:r>
      <w:r w:rsidR="00174470" w:rsidRPr="0022228C">
        <w:rPr>
          <w:rFonts w:ascii="Open Sans" w:hAnsi="Open Sans" w:cs="Open Sans"/>
          <w:sz w:val="20"/>
          <w:szCs w:val="20"/>
        </w:rPr>
        <w:t>t</w:t>
      </w:r>
      <w:r w:rsidR="001B1EB9" w:rsidRPr="0022228C">
        <w:rPr>
          <w:rFonts w:ascii="Open Sans" w:hAnsi="Open Sans" w:cs="Open Sans"/>
          <w:sz w:val="20"/>
          <w:szCs w:val="20"/>
        </w:rPr>
        <w:t xml:space="preserve"> </w:t>
      </w:r>
      <w:r w:rsidR="00CA2410" w:rsidRPr="0022228C">
        <w:rPr>
          <w:rFonts w:ascii="Open Sans" w:hAnsi="Open Sans" w:cs="Open Sans"/>
          <w:sz w:val="20"/>
          <w:szCs w:val="20"/>
        </w:rPr>
        <w:t>industrial</w:t>
      </w:r>
      <w:r w:rsidR="00992D39" w:rsidRPr="0022228C">
        <w:rPr>
          <w:rFonts w:ascii="Open Sans" w:hAnsi="Open Sans" w:cs="Open Sans"/>
          <w:sz w:val="20"/>
          <w:szCs w:val="20"/>
        </w:rPr>
        <w:t xml:space="preserve"> </w:t>
      </w:r>
      <w:r w:rsidR="00CA2410" w:rsidRPr="0022228C">
        <w:rPr>
          <w:rFonts w:ascii="Open Sans" w:hAnsi="Open Sans" w:cs="Open Sans"/>
          <w:sz w:val="20"/>
          <w:szCs w:val="20"/>
        </w:rPr>
        <w:t>decarbonisation</w:t>
      </w:r>
      <w:r w:rsidR="00992D39" w:rsidRPr="0022228C">
        <w:rPr>
          <w:rFonts w:ascii="Open Sans" w:hAnsi="Open Sans" w:cs="Open Sans"/>
          <w:sz w:val="20"/>
          <w:szCs w:val="20"/>
        </w:rPr>
        <w:t xml:space="preserve"> and the development of </w:t>
      </w:r>
      <w:r w:rsidR="00CA2410" w:rsidRPr="0022228C">
        <w:rPr>
          <w:rFonts w:ascii="Open Sans" w:hAnsi="Open Sans" w:cs="Open Sans"/>
          <w:sz w:val="20"/>
          <w:szCs w:val="20"/>
        </w:rPr>
        <w:t>heat</w:t>
      </w:r>
      <w:r w:rsidR="00992D39" w:rsidRPr="0022228C">
        <w:rPr>
          <w:rFonts w:ascii="Open Sans" w:hAnsi="Open Sans" w:cs="Open Sans"/>
          <w:sz w:val="20"/>
          <w:szCs w:val="20"/>
        </w:rPr>
        <w:t xml:space="preserve"> ne</w:t>
      </w:r>
      <w:r w:rsidR="00CA2410" w:rsidRPr="0022228C">
        <w:rPr>
          <w:rFonts w:ascii="Open Sans" w:hAnsi="Open Sans" w:cs="Open Sans"/>
          <w:sz w:val="20"/>
          <w:szCs w:val="20"/>
        </w:rPr>
        <w:t>tworks</w:t>
      </w:r>
      <w:r w:rsidR="00992D39" w:rsidRPr="0022228C">
        <w:rPr>
          <w:rFonts w:ascii="Open Sans" w:hAnsi="Open Sans" w:cs="Open Sans"/>
          <w:sz w:val="20"/>
          <w:szCs w:val="20"/>
        </w:rPr>
        <w:t xml:space="preserve">, we believe the exclusion of </w:t>
      </w:r>
      <w:r w:rsidR="009F72A1">
        <w:rPr>
          <w:rFonts w:ascii="Open Sans" w:hAnsi="Open Sans" w:cs="Open Sans"/>
          <w:sz w:val="20"/>
          <w:szCs w:val="20"/>
        </w:rPr>
        <w:t>T</w:t>
      </w:r>
      <w:r w:rsidR="00CA2410" w:rsidRPr="0022228C">
        <w:rPr>
          <w:rFonts w:ascii="Open Sans" w:hAnsi="Open Sans" w:cs="Open Sans"/>
          <w:sz w:val="20"/>
          <w:szCs w:val="20"/>
        </w:rPr>
        <w:t xml:space="preserve">hermal </w:t>
      </w:r>
      <w:r w:rsidR="009F72A1">
        <w:rPr>
          <w:rFonts w:ascii="Open Sans" w:hAnsi="Open Sans" w:cs="Open Sans"/>
          <w:sz w:val="20"/>
          <w:szCs w:val="20"/>
        </w:rPr>
        <w:t>S</w:t>
      </w:r>
      <w:r w:rsidR="00CA2410" w:rsidRPr="0022228C">
        <w:rPr>
          <w:rFonts w:ascii="Open Sans" w:hAnsi="Open Sans" w:cs="Open Sans"/>
          <w:sz w:val="20"/>
          <w:szCs w:val="20"/>
        </w:rPr>
        <w:t xml:space="preserve">torage to be counter the </w:t>
      </w:r>
      <w:r w:rsidR="004D66E4" w:rsidRPr="0022228C">
        <w:rPr>
          <w:rFonts w:ascii="Open Sans" w:hAnsi="Open Sans" w:cs="Open Sans"/>
          <w:sz w:val="20"/>
          <w:szCs w:val="20"/>
        </w:rPr>
        <w:t>stated</w:t>
      </w:r>
      <w:r w:rsidR="00CA2410" w:rsidRPr="0022228C">
        <w:rPr>
          <w:rFonts w:ascii="Open Sans" w:hAnsi="Open Sans" w:cs="Open Sans"/>
          <w:sz w:val="20"/>
          <w:szCs w:val="20"/>
        </w:rPr>
        <w:t xml:space="preserve"> policy objectives of ensuring </w:t>
      </w:r>
      <w:r w:rsidR="004D66E4" w:rsidRPr="0022228C">
        <w:rPr>
          <w:rFonts w:ascii="Open Sans" w:hAnsi="Open Sans" w:cs="Open Sans"/>
          <w:sz w:val="20"/>
          <w:szCs w:val="20"/>
        </w:rPr>
        <w:t>the LDES scheme is</w:t>
      </w:r>
      <w:r w:rsidR="00502F2E" w:rsidRPr="0022228C">
        <w:rPr>
          <w:rFonts w:ascii="Open Sans" w:hAnsi="Open Sans" w:cs="Open Sans"/>
          <w:sz w:val="20"/>
          <w:szCs w:val="20"/>
        </w:rPr>
        <w:t xml:space="preserve"> policy aligned</w:t>
      </w:r>
      <w:r w:rsidR="003A550C" w:rsidRPr="0022228C">
        <w:rPr>
          <w:rFonts w:ascii="Open Sans" w:hAnsi="Open Sans" w:cs="Open Sans"/>
          <w:sz w:val="20"/>
          <w:szCs w:val="20"/>
        </w:rPr>
        <w:t xml:space="preserve"> with other Government </w:t>
      </w:r>
      <w:r w:rsidR="00F955D0" w:rsidRPr="0022228C">
        <w:rPr>
          <w:rFonts w:ascii="Open Sans" w:hAnsi="Open Sans" w:cs="Open Sans"/>
          <w:sz w:val="20"/>
          <w:szCs w:val="20"/>
        </w:rPr>
        <w:t>aims.</w:t>
      </w:r>
      <w:r w:rsidR="003A550C" w:rsidRPr="0022228C">
        <w:rPr>
          <w:rFonts w:ascii="Open Sans" w:hAnsi="Open Sans" w:cs="Open Sans"/>
          <w:sz w:val="20"/>
          <w:szCs w:val="20"/>
        </w:rPr>
        <w:t xml:space="preserve"> </w:t>
      </w:r>
    </w:p>
    <w:p w14:paraId="646F2E38" w14:textId="77777777" w:rsidR="00502F2E" w:rsidRPr="0022228C" w:rsidRDefault="00502F2E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</w:p>
    <w:p w14:paraId="290ED67B" w14:textId="59D56BB2" w:rsidR="001B4A0B" w:rsidRPr="0022228C" w:rsidRDefault="00502F2E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22228C">
        <w:rPr>
          <w:rFonts w:ascii="Open Sans" w:hAnsi="Open Sans" w:cs="Open Sans"/>
          <w:sz w:val="20"/>
          <w:szCs w:val="20"/>
        </w:rPr>
        <w:t xml:space="preserve">We note that the REA did raise </w:t>
      </w:r>
      <w:r w:rsidR="0056514F" w:rsidRPr="0022228C">
        <w:rPr>
          <w:rFonts w:ascii="Open Sans" w:hAnsi="Open Sans" w:cs="Open Sans"/>
          <w:sz w:val="20"/>
          <w:szCs w:val="20"/>
        </w:rPr>
        <w:t>the</w:t>
      </w:r>
      <w:r w:rsidRPr="0022228C">
        <w:rPr>
          <w:rFonts w:ascii="Open Sans" w:hAnsi="Open Sans" w:cs="Open Sans"/>
          <w:sz w:val="20"/>
          <w:szCs w:val="20"/>
        </w:rPr>
        <w:t xml:space="preserve"> issue of the </w:t>
      </w:r>
      <w:r w:rsidR="00F955D0" w:rsidRPr="0022228C">
        <w:rPr>
          <w:rFonts w:ascii="Open Sans" w:hAnsi="Open Sans" w:cs="Open Sans"/>
          <w:sz w:val="20"/>
          <w:szCs w:val="20"/>
        </w:rPr>
        <w:t xml:space="preserve">Energy Act 2023 energy </w:t>
      </w:r>
      <w:r w:rsidRPr="0022228C">
        <w:rPr>
          <w:rFonts w:ascii="Open Sans" w:hAnsi="Open Sans" w:cs="Open Sans"/>
          <w:sz w:val="20"/>
          <w:szCs w:val="20"/>
        </w:rPr>
        <w:t>storage definition a</w:t>
      </w:r>
      <w:r w:rsidR="0056514F" w:rsidRPr="0022228C">
        <w:rPr>
          <w:rFonts w:ascii="Open Sans" w:hAnsi="Open Sans" w:cs="Open Sans"/>
          <w:sz w:val="20"/>
          <w:szCs w:val="20"/>
        </w:rPr>
        <w:t>t</w:t>
      </w:r>
      <w:r w:rsidRPr="0022228C">
        <w:rPr>
          <w:rFonts w:ascii="Open Sans" w:hAnsi="Open Sans" w:cs="Open Sans"/>
          <w:sz w:val="20"/>
          <w:szCs w:val="20"/>
        </w:rPr>
        <w:t xml:space="preserve"> </w:t>
      </w:r>
      <w:r w:rsidR="003A550C" w:rsidRPr="0022228C">
        <w:rPr>
          <w:rFonts w:ascii="Open Sans" w:hAnsi="Open Sans" w:cs="Open Sans"/>
          <w:sz w:val="20"/>
          <w:szCs w:val="20"/>
        </w:rPr>
        <w:t>the</w:t>
      </w:r>
      <w:r w:rsidRPr="0022228C">
        <w:rPr>
          <w:rFonts w:ascii="Open Sans" w:hAnsi="Open Sans" w:cs="Open Sans"/>
          <w:sz w:val="20"/>
          <w:szCs w:val="20"/>
        </w:rPr>
        <w:t xml:space="preserve"> time </w:t>
      </w:r>
      <w:r w:rsidR="00F541C9">
        <w:rPr>
          <w:rFonts w:ascii="Open Sans" w:hAnsi="Open Sans" w:cs="Open Sans"/>
          <w:sz w:val="20"/>
          <w:szCs w:val="20"/>
        </w:rPr>
        <w:t>the bill was laid</w:t>
      </w:r>
      <w:r w:rsidR="00810FE7" w:rsidRPr="0022228C">
        <w:rPr>
          <w:rFonts w:ascii="Open Sans" w:hAnsi="Open Sans" w:cs="Open Sans"/>
          <w:sz w:val="20"/>
          <w:szCs w:val="20"/>
        </w:rPr>
        <w:t xml:space="preserve">. We raised concerns </w:t>
      </w:r>
      <w:r w:rsidR="00F541C9">
        <w:rPr>
          <w:rFonts w:ascii="Open Sans" w:hAnsi="Open Sans" w:cs="Open Sans"/>
          <w:sz w:val="20"/>
          <w:szCs w:val="20"/>
        </w:rPr>
        <w:t>that</w:t>
      </w:r>
      <w:r w:rsidR="00810FE7" w:rsidRPr="0022228C">
        <w:rPr>
          <w:rFonts w:ascii="Open Sans" w:hAnsi="Open Sans" w:cs="Open Sans"/>
          <w:sz w:val="20"/>
          <w:szCs w:val="20"/>
        </w:rPr>
        <w:t xml:space="preserve"> this would </w:t>
      </w:r>
      <w:r w:rsidR="0056514F" w:rsidRPr="0022228C">
        <w:rPr>
          <w:rFonts w:ascii="Open Sans" w:hAnsi="Open Sans" w:cs="Open Sans"/>
          <w:sz w:val="20"/>
          <w:szCs w:val="20"/>
        </w:rPr>
        <w:t xml:space="preserve">mean certain technologies are unnecessarily excluded from storage policy development. If </w:t>
      </w:r>
      <w:r w:rsidR="00D64CE3">
        <w:rPr>
          <w:rFonts w:ascii="Open Sans" w:hAnsi="Open Sans" w:cs="Open Sans"/>
          <w:sz w:val="20"/>
          <w:szCs w:val="20"/>
        </w:rPr>
        <w:t>G</w:t>
      </w:r>
      <w:r w:rsidR="0056514F" w:rsidRPr="0022228C">
        <w:rPr>
          <w:rFonts w:ascii="Open Sans" w:hAnsi="Open Sans" w:cs="Open Sans"/>
          <w:sz w:val="20"/>
          <w:szCs w:val="20"/>
        </w:rPr>
        <w:t xml:space="preserve">overnment choose to continue to </w:t>
      </w:r>
      <w:r w:rsidR="00933345" w:rsidRPr="0022228C">
        <w:rPr>
          <w:rFonts w:ascii="Open Sans" w:hAnsi="Open Sans" w:cs="Open Sans"/>
          <w:sz w:val="20"/>
          <w:szCs w:val="20"/>
        </w:rPr>
        <w:t xml:space="preserve">exclude </w:t>
      </w:r>
      <w:r w:rsidR="00D64CE3">
        <w:rPr>
          <w:rFonts w:ascii="Open Sans" w:hAnsi="Open Sans" w:cs="Open Sans"/>
          <w:sz w:val="20"/>
          <w:szCs w:val="20"/>
        </w:rPr>
        <w:t>T</w:t>
      </w:r>
      <w:r w:rsidR="00933345" w:rsidRPr="0022228C">
        <w:rPr>
          <w:rFonts w:ascii="Open Sans" w:hAnsi="Open Sans" w:cs="Open Sans"/>
          <w:sz w:val="20"/>
          <w:szCs w:val="20"/>
        </w:rPr>
        <w:t xml:space="preserve">hermal </w:t>
      </w:r>
      <w:r w:rsidR="00D64CE3">
        <w:rPr>
          <w:rFonts w:ascii="Open Sans" w:hAnsi="Open Sans" w:cs="Open Sans"/>
          <w:sz w:val="20"/>
          <w:szCs w:val="20"/>
        </w:rPr>
        <w:t>S</w:t>
      </w:r>
      <w:r w:rsidR="00933345" w:rsidRPr="0022228C">
        <w:rPr>
          <w:rFonts w:ascii="Open Sans" w:hAnsi="Open Sans" w:cs="Open Sans"/>
          <w:sz w:val="20"/>
          <w:szCs w:val="20"/>
        </w:rPr>
        <w:t>torage</w:t>
      </w:r>
      <w:r w:rsidR="00E530C7" w:rsidRPr="0022228C">
        <w:rPr>
          <w:rFonts w:ascii="Open Sans" w:hAnsi="Open Sans" w:cs="Open Sans"/>
          <w:sz w:val="20"/>
          <w:szCs w:val="20"/>
        </w:rPr>
        <w:t>,</w:t>
      </w:r>
      <w:r w:rsidR="003A550C" w:rsidRPr="0022228C">
        <w:rPr>
          <w:rFonts w:ascii="Open Sans" w:hAnsi="Open Sans" w:cs="Open Sans"/>
          <w:sz w:val="20"/>
          <w:szCs w:val="20"/>
        </w:rPr>
        <w:t xml:space="preserve"> then</w:t>
      </w:r>
      <w:r w:rsidR="00933345" w:rsidRPr="0022228C">
        <w:rPr>
          <w:rFonts w:ascii="Open Sans" w:hAnsi="Open Sans" w:cs="Open Sans"/>
          <w:sz w:val="20"/>
          <w:szCs w:val="20"/>
        </w:rPr>
        <w:t xml:space="preserve"> they must urgently signal to the market how they plan to </w:t>
      </w:r>
      <w:r w:rsidR="006A269D" w:rsidRPr="0022228C">
        <w:rPr>
          <w:rFonts w:ascii="Open Sans" w:hAnsi="Open Sans" w:cs="Open Sans"/>
          <w:sz w:val="20"/>
          <w:szCs w:val="20"/>
        </w:rPr>
        <w:t xml:space="preserve">deliver a route to market </w:t>
      </w:r>
      <w:r w:rsidR="003A550C" w:rsidRPr="0022228C">
        <w:rPr>
          <w:rFonts w:ascii="Open Sans" w:hAnsi="Open Sans" w:cs="Open Sans"/>
          <w:sz w:val="20"/>
          <w:szCs w:val="20"/>
        </w:rPr>
        <w:t xml:space="preserve">for </w:t>
      </w:r>
      <w:r w:rsidR="00D64CE3">
        <w:rPr>
          <w:rFonts w:ascii="Open Sans" w:hAnsi="Open Sans" w:cs="Open Sans"/>
          <w:sz w:val="20"/>
          <w:szCs w:val="20"/>
        </w:rPr>
        <w:t>T</w:t>
      </w:r>
      <w:r w:rsidR="003A550C" w:rsidRPr="0022228C">
        <w:rPr>
          <w:rFonts w:ascii="Open Sans" w:hAnsi="Open Sans" w:cs="Open Sans"/>
          <w:sz w:val="20"/>
          <w:szCs w:val="20"/>
        </w:rPr>
        <w:t xml:space="preserve">hermal </w:t>
      </w:r>
      <w:r w:rsidR="00D64CE3">
        <w:rPr>
          <w:rFonts w:ascii="Open Sans" w:hAnsi="Open Sans" w:cs="Open Sans"/>
          <w:sz w:val="20"/>
          <w:szCs w:val="20"/>
        </w:rPr>
        <w:t>S</w:t>
      </w:r>
      <w:r w:rsidR="00A86D2B" w:rsidRPr="0022228C">
        <w:rPr>
          <w:rFonts w:ascii="Open Sans" w:hAnsi="Open Sans" w:cs="Open Sans"/>
          <w:sz w:val="20"/>
          <w:szCs w:val="20"/>
        </w:rPr>
        <w:t>torage</w:t>
      </w:r>
      <w:r w:rsidR="003A550C" w:rsidRPr="0022228C">
        <w:rPr>
          <w:rFonts w:ascii="Open Sans" w:hAnsi="Open Sans" w:cs="Open Sans"/>
          <w:sz w:val="20"/>
          <w:szCs w:val="20"/>
        </w:rPr>
        <w:t xml:space="preserve"> technologies </w:t>
      </w:r>
      <w:r w:rsidR="003A5B69" w:rsidRPr="0022228C">
        <w:rPr>
          <w:rFonts w:ascii="Open Sans" w:hAnsi="Open Sans" w:cs="Open Sans"/>
          <w:sz w:val="20"/>
          <w:szCs w:val="20"/>
        </w:rPr>
        <w:t xml:space="preserve">as </w:t>
      </w:r>
      <w:r w:rsidR="00FC0360">
        <w:rPr>
          <w:rFonts w:ascii="Open Sans" w:hAnsi="Open Sans" w:cs="Open Sans"/>
          <w:sz w:val="20"/>
          <w:szCs w:val="20"/>
        </w:rPr>
        <w:t>it</w:t>
      </w:r>
      <w:r w:rsidR="003A5B69" w:rsidRPr="0022228C">
        <w:rPr>
          <w:rFonts w:ascii="Open Sans" w:hAnsi="Open Sans" w:cs="Open Sans"/>
          <w:sz w:val="20"/>
          <w:szCs w:val="20"/>
        </w:rPr>
        <w:t xml:space="preserve"> will</w:t>
      </w:r>
      <w:r w:rsidR="003A550C" w:rsidRPr="0022228C">
        <w:rPr>
          <w:rFonts w:ascii="Open Sans" w:hAnsi="Open Sans" w:cs="Open Sans"/>
          <w:sz w:val="20"/>
          <w:szCs w:val="20"/>
        </w:rPr>
        <w:t xml:space="preserve"> be needed to </w:t>
      </w:r>
      <w:r w:rsidR="00A86D2B" w:rsidRPr="0022228C">
        <w:rPr>
          <w:rFonts w:ascii="Open Sans" w:hAnsi="Open Sans" w:cs="Open Sans"/>
          <w:sz w:val="20"/>
          <w:szCs w:val="20"/>
        </w:rPr>
        <w:t>decarbonise</w:t>
      </w:r>
      <w:r w:rsidR="003A550C" w:rsidRPr="0022228C">
        <w:rPr>
          <w:rFonts w:ascii="Open Sans" w:hAnsi="Open Sans" w:cs="Open Sans"/>
          <w:sz w:val="20"/>
          <w:szCs w:val="20"/>
        </w:rPr>
        <w:t xml:space="preserve"> UK power and heat demand. </w:t>
      </w:r>
    </w:p>
    <w:p w14:paraId="4014EE9D" w14:textId="77777777" w:rsidR="003A550C" w:rsidRPr="0022228C" w:rsidRDefault="003A550C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</w:p>
    <w:p w14:paraId="7688C35A" w14:textId="2C994359" w:rsidR="00A86D2B" w:rsidRPr="0022228C" w:rsidRDefault="00A86D2B" w:rsidP="00A86D2B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22228C">
        <w:rPr>
          <w:rFonts w:ascii="Open Sans" w:hAnsi="Open Sans" w:cs="Open Sans"/>
          <w:sz w:val="20"/>
          <w:szCs w:val="20"/>
        </w:rPr>
        <w:t xml:space="preserve">The REA have a </w:t>
      </w:r>
      <w:r w:rsidR="00B86C4E" w:rsidRPr="0022228C">
        <w:rPr>
          <w:rFonts w:ascii="Open Sans" w:hAnsi="Open Sans" w:cs="Open Sans"/>
          <w:sz w:val="20"/>
          <w:szCs w:val="20"/>
        </w:rPr>
        <w:t>full briefing</w:t>
      </w:r>
      <w:r w:rsidRPr="0022228C">
        <w:rPr>
          <w:rFonts w:ascii="Open Sans" w:hAnsi="Open Sans" w:cs="Open Sans"/>
          <w:sz w:val="20"/>
          <w:szCs w:val="20"/>
        </w:rPr>
        <w:t xml:space="preserve"> on Thermal Storage that we would encourage DESNZ </w:t>
      </w:r>
      <w:r w:rsidR="00DB437A" w:rsidRPr="0022228C">
        <w:rPr>
          <w:rFonts w:ascii="Open Sans" w:hAnsi="Open Sans" w:cs="Open Sans"/>
          <w:sz w:val="20"/>
          <w:szCs w:val="20"/>
        </w:rPr>
        <w:t>t</w:t>
      </w:r>
      <w:r w:rsidRPr="0022228C">
        <w:rPr>
          <w:rFonts w:ascii="Open Sans" w:hAnsi="Open Sans" w:cs="Open Sans"/>
          <w:sz w:val="20"/>
          <w:szCs w:val="20"/>
        </w:rPr>
        <w:t xml:space="preserve">o read and reflect on </w:t>
      </w:r>
      <w:proofErr w:type="gramStart"/>
      <w:r w:rsidR="00E530C7" w:rsidRPr="0022228C">
        <w:rPr>
          <w:rFonts w:ascii="Open Sans" w:hAnsi="Open Sans" w:cs="Open Sans"/>
          <w:sz w:val="20"/>
          <w:szCs w:val="20"/>
        </w:rPr>
        <w:t>in regard to</w:t>
      </w:r>
      <w:proofErr w:type="gramEnd"/>
      <w:r w:rsidRPr="0022228C">
        <w:rPr>
          <w:rFonts w:ascii="Open Sans" w:hAnsi="Open Sans" w:cs="Open Sans"/>
          <w:sz w:val="20"/>
          <w:szCs w:val="20"/>
        </w:rPr>
        <w:t xml:space="preserve"> its exclusion from support.</w:t>
      </w:r>
      <w:r w:rsidR="0022228C" w:rsidRPr="0022228C">
        <w:rPr>
          <w:rFonts w:ascii="Open Sans" w:hAnsi="Open Sans" w:cs="Open Sans"/>
          <w:sz w:val="20"/>
          <w:szCs w:val="20"/>
        </w:rPr>
        <w:t xml:space="preserve"> This includes </w:t>
      </w:r>
      <w:r w:rsidR="00FC0360" w:rsidRPr="0022228C">
        <w:rPr>
          <w:rFonts w:ascii="Open Sans" w:hAnsi="Open Sans" w:cs="Open Sans"/>
          <w:sz w:val="20"/>
          <w:szCs w:val="20"/>
        </w:rPr>
        <w:t>relevant</w:t>
      </w:r>
      <w:r w:rsidR="0022228C" w:rsidRPr="0022228C">
        <w:rPr>
          <w:rFonts w:ascii="Open Sans" w:hAnsi="Open Sans" w:cs="Open Sans"/>
          <w:sz w:val="20"/>
          <w:szCs w:val="20"/>
        </w:rPr>
        <w:t xml:space="preserve"> case </w:t>
      </w:r>
      <w:r w:rsidR="00FC0360" w:rsidRPr="0022228C">
        <w:rPr>
          <w:rFonts w:ascii="Open Sans" w:hAnsi="Open Sans" w:cs="Open Sans"/>
          <w:sz w:val="20"/>
          <w:szCs w:val="20"/>
        </w:rPr>
        <w:t>studies</w:t>
      </w:r>
      <w:r w:rsidR="0022228C" w:rsidRPr="0022228C">
        <w:rPr>
          <w:rFonts w:ascii="Open Sans" w:hAnsi="Open Sans" w:cs="Open Sans"/>
          <w:sz w:val="20"/>
          <w:szCs w:val="20"/>
        </w:rPr>
        <w:t xml:space="preserve"> for where Thermal Storage could be beneficial for LDES purposes.  </w:t>
      </w:r>
      <w:r w:rsidRPr="0022228C">
        <w:rPr>
          <w:rFonts w:ascii="Open Sans" w:hAnsi="Open Sans" w:cs="Open Sans"/>
          <w:sz w:val="20"/>
          <w:szCs w:val="20"/>
        </w:rPr>
        <w:t xml:space="preserve"> </w:t>
      </w:r>
      <w:r w:rsidR="00DB437A" w:rsidRPr="0022228C">
        <w:rPr>
          <w:rFonts w:ascii="Open Sans" w:hAnsi="Open Sans" w:cs="Open Sans"/>
          <w:sz w:val="20"/>
          <w:szCs w:val="20"/>
        </w:rPr>
        <w:t>Th</w:t>
      </w:r>
      <w:r w:rsidRPr="0022228C">
        <w:rPr>
          <w:rFonts w:ascii="Open Sans" w:hAnsi="Open Sans" w:cs="Open Sans"/>
          <w:sz w:val="20"/>
          <w:szCs w:val="20"/>
        </w:rPr>
        <w:t>is can be read here:</w:t>
      </w:r>
      <w:r w:rsidR="00B86C4E" w:rsidRPr="0022228C">
        <w:t xml:space="preserve"> </w:t>
      </w:r>
      <w:hyperlink r:id="rId14" w:history="1">
        <w:r w:rsidR="00B86C4E" w:rsidRPr="0022228C">
          <w:rPr>
            <w:rStyle w:val="Hyperlink"/>
            <w:rFonts w:ascii="Open Sans" w:hAnsi="Open Sans" w:cs="Open Sans"/>
            <w:sz w:val="20"/>
            <w:szCs w:val="20"/>
          </w:rPr>
          <w:t>https://mcusercontent.com/57981e55e365722b7bb40867b/files/9d746eba-8b92-f2fb-b956-13dfbc7b4e54/FINAL_Thermal_energy_storage_briefing_document_.pdf</w:t>
        </w:r>
      </w:hyperlink>
      <w:r w:rsidR="00B86C4E" w:rsidRPr="0022228C">
        <w:rPr>
          <w:rFonts w:ascii="Open Sans" w:hAnsi="Open Sans" w:cs="Open Sans"/>
          <w:sz w:val="20"/>
          <w:szCs w:val="20"/>
        </w:rPr>
        <w:t xml:space="preserve"> </w:t>
      </w:r>
    </w:p>
    <w:p w14:paraId="653E8D74" w14:textId="77777777" w:rsidR="00A86D2B" w:rsidRPr="0022228C" w:rsidRDefault="00A86D2B" w:rsidP="00A86D2B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</w:p>
    <w:p w14:paraId="31128058" w14:textId="36CEBBD1" w:rsidR="003A550C" w:rsidRPr="0022228C" w:rsidRDefault="00A86D2B" w:rsidP="00A86D2B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22228C">
        <w:rPr>
          <w:rFonts w:ascii="Open Sans" w:hAnsi="Open Sans" w:cs="Open Sans"/>
          <w:sz w:val="20"/>
          <w:szCs w:val="20"/>
        </w:rPr>
        <w:t>In addition</w:t>
      </w:r>
      <w:r w:rsidR="00DB437A" w:rsidRPr="0022228C">
        <w:rPr>
          <w:rFonts w:ascii="Open Sans" w:hAnsi="Open Sans" w:cs="Open Sans"/>
          <w:sz w:val="20"/>
          <w:szCs w:val="20"/>
        </w:rPr>
        <w:t>,</w:t>
      </w:r>
      <w:r w:rsidRPr="0022228C">
        <w:rPr>
          <w:rFonts w:ascii="Open Sans" w:hAnsi="Open Sans" w:cs="Open Sans"/>
          <w:sz w:val="20"/>
          <w:szCs w:val="20"/>
        </w:rPr>
        <w:t xml:space="preserve"> we would </w:t>
      </w:r>
      <w:r w:rsidR="00E530C7" w:rsidRPr="0022228C">
        <w:rPr>
          <w:rFonts w:ascii="Open Sans" w:hAnsi="Open Sans" w:cs="Open Sans"/>
          <w:sz w:val="20"/>
          <w:szCs w:val="20"/>
        </w:rPr>
        <w:t>also direct Government</w:t>
      </w:r>
      <w:r w:rsidRPr="0022228C">
        <w:rPr>
          <w:rFonts w:ascii="Open Sans" w:hAnsi="Open Sans" w:cs="Open Sans"/>
          <w:sz w:val="20"/>
          <w:szCs w:val="20"/>
        </w:rPr>
        <w:t xml:space="preserve"> to</w:t>
      </w:r>
      <w:r w:rsidR="00DB437A" w:rsidRPr="0022228C">
        <w:rPr>
          <w:rFonts w:ascii="Open Sans" w:hAnsi="Open Sans" w:cs="Open Sans"/>
          <w:sz w:val="20"/>
          <w:szCs w:val="20"/>
        </w:rPr>
        <w:t xml:space="preserve"> </w:t>
      </w:r>
      <w:r w:rsidR="00BD2718" w:rsidRPr="0022228C">
        <w:rPr>
          <w:rFonts w:ascii="Open Sans" w:hAnsi="Open Sans" w:cs="Open Sans"/>
          <w:sz w:val="20"/>
          <w:szCs w:val="20"/>
        </w:rPr>
        <w:t>revisit the</w:t>
      </w:r>
      <w:r w:rsidRPr="0022228C">
        <w:rPr>
          <w:rFonts w:ascii="Open Sans" w:hAnsi="Open Sans" w:cs="Open Sans"/>
          <w:sz w:val="20"/>
          <w:szCs w:val="20"/>
        </w:rPr>
        <w:t xml:space="preserve"> reports they previously commissioned on Thermal Storage, that identified a critical </w:t>
      </w:r>
      <w:r w:rsidR="00E530C7" w:rsidRPr="0022228C">
        <w:rPr>
          <w:rFonts w:ascii="Open Sans" w:hAnsi="Open Sans" w:cs="Open Sans"/>
          <w:sz w:val="20"/>
          <w:szCs w:val="20"/>
        </w:rPr>
        <w:t xml:space="preserve">role for </w:t>
      </w:r>
      <w:r w:rsidR="00BD2718" w:rsidRPr="0022228C">
        <w:rPr>
          <w:rFonts w:ascii="Open Sans" w:hAnsi="Open Sans" w:cs="Open Sans"/>
          <w:sz w:val="20"/>
          <w:szCs w:val="20"/>
        </w:rPr>
        <w:t>t</w:t>
      </w:r>
      <w:r w:rsidR="00E530C7" w:rsidRPr="0022228C">
        <w:rPr>
          <w:rFonts w:ascii="Open Sans" w:hAnsi="Open Sans" w:cs="Open Sans"/>
          <w:sz w:val="20"/>
          <w:szCs w:val="20"/>
        </w:rPr>
        <w:t>he technology</w:t>
      </w:r>
      <w:r w:rsidR="003A105C" w:rsidRPr="0022228C">
        <w:rPr>
          <w:rFonts w:ascii="Open Sans" w:hAnsi="Open Sans" w:cs="Open Sans"/>
          <w:sz w:val="20"/>
          <w:szCs w:val="20"/>
        </w:rPr>
        <w:t xml:space="preserve">: </w:t>
      </w:r>
      <w:hyperlink r:id="rId15" w:history="1">
        <w:r w:rsidR="0022228C" w:rsidRPr="0022228C">
          <w:rPr>
            <w:rStyle w:val="Hyperlink"/>
            <w:rFonts w:ascii="Open Sans" w:hAnsi="Open Sans" w:cs="Open Sans"/>
            <w:sz w:val="20"/>
            <w:szCs w:val="20"/>
          </w:rPr>
          <w:t>https://www.gov.uk/government/publications/evidence-gathering-thermal-energy-storage</w:t>
        </w:r>
      </w:hyperlink>
      <w:r w:rsidR="0022228C" w:rsidRPr="0022228C">
        <w:rPr>
          <w:rFonts w:ascii="Open Sans" w:hAnsi="Open Sans" w:cs="Open Sans"/>
          <w:sz w:val="20"/>
          <w:szCs w:val="20"/>
        </w:rPr>
        <w:t xml:space="preserve"> </w:t>
      </w:r>
    </w:p>
    <w:p w14:paraId="4C617773" w14:textId="77777777" w:rsidR="0022228C" w:rsidRPr="00A86D2B" w:rsidRDefault="0022228C" w:rsidP="00A86D2B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544BA4AE" w14:textId="77777777" w:rsidR="001B4A0B" w:rsidRPr="00BD7B08" w:rsidRDefault="001B4A0B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3884DE60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8. Do you agree that it is appropriate to exclude technologies that can already be</w:t>
      </w:r>
    </w:p>
    <w:p w14:paraId="5C53D287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 xml:space="preserve">funded under existing market arrangements and/or those that would be </w:t>
      </w:r>
      <w:proofErr w:type="gramStart"/>
      <w:r w:rsidRPr="00BD7B08">
        <w:rPr>
          <w:rFonts w:ascii="Open Sans" w:hAnsi="Open Sans" w:cs="Open Sans"/>
          <w:b/>
          <w:bCs/>
          <w:sz w:val="20"/>
          <w:szCs w:val="20"/>
        </w:rPr>
        <w:t>eligible</w:t>
      </w:r>
      <w:proofErr w:type="gramEnd"/>
    </w:p>
    <w:p w14:paraId="16C07417" w14:textId="77777777" w:rsid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for multiple business model support?</w:t>
      </w:r>
    </w:p>
    <w:p w14:paraId="199B6BF1" w14:textId="77777777" w:rsidR="00BA4979" w:rsidRDefault="00BA4979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6CBB4156" w14:textId="04DC5977" w:rsidR="00BA4979" w:rsidRDefault="00E740B1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0855F6">
        <w:rPr>
          <w:rFonts w:ascii="Open Sans" w:hAnsi="Open Sans" w:cs="Open Sans"/>
          <w:sz w:val="20"/>
          <w:szCs w:val="20"/>
        </w:rPr>
        <w:lastRenderedPageBreak/>
        <w:t xml:space="preserve">Yes. </w:t>
      </w:r>
    </w:p>
    <w:p w14:paraId="7520F0CF" w14:textId="77777777" w:rsidR="000E34CA" w:rsidRPr="000855F6" w:rsidRDefault="000E34CA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</w:p>
    <w:p w14:paraId="62F8F3C1" w14:textId="54138420" w:rsidR="00253F37" w:rsidRPr="00E90CDA" w:rsidRDefault="00E740B1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E90CDA">
        <w:rPr>
          <w:rFonts w:ascii="Open Sans" w:hAnsi="Open Sans" w:cs="Open Sans"/>
          <w:sz w:val="20"/>
          <w:szCs w:val="20"/>
        </w:rPr>
        <w:t xml:space="preserve">As we identified in </w:t>
      </w:r>
      <w:r w:rsidR="002E393F" w:rsidRPr="00E90CDA">
        <w:rPr>
          <w:rFonts w:ascii="Open Sans" w:hAnsi="Open Sans" w:cs="Open Sans"/>
          <w:sz w:val="20"/>
          <w:szCs w:val="20"/>
        </w:rPr>
        <w:t xml:space="preserve">our 2021 Long Duration Energy </w:t>
      </w:r>
      <w:r w:rsidR="000F51A2" w:rsidRPr="00E90CDA">
        <w:rPr>
          <w:rFonts w:ascii="Open Sans" w:hAnsi="Open Sans" w:cs="Open Sans"/>
          <w:sz w:val="20"/>
          <w:szCs w:val="20"/>
        </w:rPr>
        <w:t>Storage</w:t>
      </w:r>
      <w:r w:rsidR="002E393F" w:rsidRPr="00E90CDA">
        <w:rPr>
          <w:rFonts w:ascii="Open Sans" w:hAnsi="Open Sans" w:cs="Open Sans"/>
          <w:sz w:val="20"/>
          <w:szCs w:val="20"/>
        </w:rPr>
        <w:t xml:space="preserve"> report, the focus of support needs to be on </w:t>
      </w:r>
      <w:r w:rsidR="001D4BD7">
        <w:rPr>
          <w:rFonts w:ascii="Open Sans" w:hAnsi="Open Sans" w:cs="Open Sans"/>
          <w:sz w:val="20"/>
          <w:szCs w:val="20"/>
        </w:rPr>
        <w:t xml:space="preserve">the </w:t>
      </w:r>
      <w:r w:rsidR="002E393F" w:rsidRPr="00E90CDA">
        <w:rPr>
          <w:rFonts w:ascii="Open Sans" w:hAnsi="Open Sans" w:cs="Open Sans"/>
          <w:sz w:val="20"/>
          <w:szCs w:val="20"/>
        </w:rPr>
        <w:t>delivery of technologies that</w:t>
      </w:r>
      <w:r w:rsidR="00A12448" w:rsidRPr="00E90CDA">
        <w:rPr>
          <w:rFonts w:ascii="Open Sans" w:hAnsi="Open Sans" w:cs="Open Sans"/>
          <w:sz w:val="20"/>
          <w:szCs w:val="20"/>
        </w:rPr>
        <w:t xml:space="preserve"> both represent good value for </w:t>
      </w:r>
      <w:r w:rsidR="00253F37" w:rsidRPr="00E90CDA">
        <w:rPr>
          <w:rFonts w:ascii="Open Sans" w:hAnsi="Open Sans" w:cs="Open Sans"/>
          <w:sz w:val="20"/>
          <w:szCs w:val="20"/>
        </w:rPr>
        <w:t>money,</w:t>
      </w:r>
      <w:r w:rsidR="00A12448" w:rsidRPr="00E90CDA">
        <w:rPr>
          <w:rFonts w:ascii="Open Sans" w:hAnsi="Open Sans" w:cs="Open Sans"/>
          <w:sz w:val="20"/>
          <w:szCs w:val="20"/>
        </w:rPr>
        <w:t xml:space="preserve"> and which do not currently have an </w:t>
      </w:r>
      <w:r w:rsidR="000F51A2" w:rsidRPr="00E90CDA">
        <w:rPr>
          <w:rFonts w:ascii="Open Sans" w:hAnsi="Open Sans" w:cs="Open Sans"/>
          <w:sz w:val="20"/>
          <w:szCs w:val="20"/>
        </w:rPr>
        <w:t>accessible</w:t>
      </w:r>
      <w:r w:rsidR="00A12448" w:rsidRPr="00E90CDA">
        <w:rPr>
          <w:rFonts w:ascii="Open Sans" w:hAnsi="Open Sans" w:cs="Open Sans"/>
          <w:sz w:val="20"/>
          <w:szCs w:val="20"/>
        </w:rPr>
        <w:t xml:space="preserve"> route to market.</w:t>
      </w:r>
      <w:r w:rsidR="00D26BC4" w:rsidRPr="00E90CDA">
        <w:rPr>
          <w:rFonts w:ascii="Open Sans" w:hAnsi="Open Sans" w:cs="Open Sans"/>
          <w:sz w:val="20"/>
          <w:szCs w:val="20"/>
        </w:rPr>
        <w:t xml:space="preserve"> </w:t>
      </w:r>
      <w:r w:rsidR="00706DCD">
        <w:rPr>
          <w:rFonts w:ascii="Open Sans" w:hAnsi="Open Sans" w:cs="Open Sans"/>
          <w:sz w:val="20"/>
          <w:szCs w:val="20"/>
        </w:rPr>
        <w:t>[1]</w:t>
      </w:r>
    </w:p>
    <w:p w14:paraId="7E6D90C9" w14:textId="77777777" w:rsidR="00253F37" w:rsidRPr="00E90CDA" w:rsidRDefault="00253F37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</w:p>
    <w:p w14:paraId="1272E97B" w14:textId="596EAF65" w:rsidR="00331F05" w:rsidRDefault="00706DCD" w:rsidP="00F6038F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We fully support the need for </w:t>
      </w:r>
      <w:r w:rsidR="00C53A45">
        <w:rPr>
          <w:rFonts w:ascii="Open Sans" w:hAnsi="Open Sans" w:cs="Open Sans"/>
          <w:sz w:val="20"/>
          <w:szCs w:val="20"/>
        </w:rPr>
        <w:t>S</w:t>
      </w:r>
      <w:r>
        <w:rPr>
          <w:rFonts w:ascii="Open Sans" w:hAnsi="Open Sans" w:cs="Open Sans"/>
          <w:sz w:val="20"/>
          <w:szCs w:val="20"/>
        </w:rPr>
        <w:t>horter</w:t>
      </w:r>
      <w:r w:rsidR="000D3EF0">
        <w:rPr>
          <w:rFonts w:ascii="Open Sans" w:hAnsi="Open Sans" w:cs="Open Sans"/>
          <w:sz w:val="20"/>
          <w:szCs w:val="20"/>
        </w:rPr>
        <w:t>-</w:t>
      </w:r>
      <w:r w:rsidR="00C53A45">
        <w:rPr>
          <w:rFonts w:ascii="Open Sans" w:hAnsi="Open Sans" w:cs="Open Sans"/>
          <w:sz w:val="20"/>
          <w:szCs w:val="20"/>
        </w:rPr>
        <w:t>D</w:t>
      </w:r>
      <w:r w:rsidR="00B353D6" w:rsidRPr="00E90CDA">
        <w:rPr>
          <w:rFonts w:ascii="Open Sans" w:hAnsi="Open Sans" w:cs="Open Sans"/>
          <w:sz w:val="20"/>
          <w:szCs w:val="20"/>
        </w:rPr>
        <w:t xml:space="preserve">uration </w:t>
      </w:r>
      <w:r w:rsidR="000E34CA" w:rsidRPr="00E90CDA">
        <w:rPr>
          <w:rFonts w:ascii="Open Sans" w:hAnsi="Open Sans" w:cs="Open Sans"/>
          <w:sz w:val="20"/>
          <w:szCs w:val="20"/>
        </w:rPr>
        <w:t>technologies,</w:t>
      </w:r>
      <w:r w:rsidR="00B353D6" w:rsidRPr="00E90CDA">
        <w:rPr>
          <w:rFonts w:ascii="Open Sans" w:hAnsi="Open Sans" w:cs="Open Sans"/>
          <w:sz w:val="20"/>
          <w:szCs w:val="20"/>
        </w:rPr>
        <w:t xml:space="preserve"> and we </w:t>
      </w:r>
      <w:r w:rsidR="000C7789">
        <w:rPr>
          <w:rFonts w:ascii="Open Sans" w:hAnsi="Open Sans" w:cs="Open Sans"/>
          <w:sz w:val="20"/>
          <w:szCs w:val="20"/>
        </w:rPr>
        <w:t>encourage</w:t>
      </w:r>
      <w:r w:rsidR="00B353D6" w:rsidRPr="00E90CDA">
        <w:rPr>
          <w:rFonts w:ascii="Open Sans" w:hAnsi="Open Sans" w:cs="Open Sans"/>
          <w:sz w:val="20"/>
          <w:szCs w:val="20"/>
        </w:rPr>
        <w:t xml:space="preserve"> Government </w:t>
      </w:r>
      <w:r w:rsidR="000C7789">
        <w:rPr>
          <w:rFonts w:ascii="Open Sans" w:hAnsi="Open Sans" w:cs="Open Sans"/>
          <w:sz w:val="20"/>
          <w:szCs w:val="20"/>
        </w:rPr>
        <w:t>to continue to consider</w:t>
      </w:r>
      <w:r w:rsidR="00B353D6" w:rsidRPr="00E90CDA">
        <w:rPr>
          <w:rFonts w:ascii="Open Sans" w:hAnsi="Open Sans" w:cs="Open Sans"/>
          <w:sz w:val="20"/>
          <w:szCs w:val="20"/>
        </w:rPr>
        <w:t xml:space="preserve"> how </w:t>
      </w:r>
      <w:r w:rsidR="00B96DBD" w:rsidRPr="00E90CDA">
        <w:rPr>
          <w:rFonts w:ascii="Open Sans" w:hAnsi="Open Sans" w:cs="Open Sans"/>
          <w:sz w:val="20"/>
          <w:szCs w:val="20"/>
        </w:rPr>
        <w:t>to</w:t>
      </w:r>
      <w:r w:rsidR="00C3651E" w:rsidRPr="00E90CDA">
        <w:rPr>
          <w:rFonts w:ascii="Open Sans" w:hAnsi="Open Sans" w:cs="Open Sans"/>
          <w:sz w:val="20"/>
          <w:szCs w:val="20"/>
        </w:rPr>
        <w:t xml:space="preserve"> ensure the</w:t>
      </w:r>
      <w:r w:rsidR="005F2CBB" w:rsidRPr="00E90CDA">
        <w:rPr>
          <w:rFonts w:ascii="Open Sans" w:hAnsi="Open Sans" w:cs="Open Sans"/>
          <w:sz w:val="20"/>
          <w:szCs w:val="20"/>
        </w:rPr>
        <w:t xml:space="preserve"> extensive</w:t>
      </w:r>
      <w:r w:rsidR="000C7789">
        <w:rPr>
          <w:rFonts w:ascii="Open Sans" w:hAnsi="Open Sans" w:cs="Open Sans"/>
          <w:sz w:val="20"/>
          <w:szCs w:val="20"/>
        </w:rPr>
        <w:t xml:space="preserve"> existing</w:t>
      </w:r>
      <w:r w:rsidR="005F2CBB" w:rsidRPr="00E90CDA">
        <w:rPr>
          <w:rFonts w:ascii="Open Sans" w:hAnsi="Open Sans" w:cs="Open Sans"/>
          <w:sz w:val="20"/>
          <w:szCs w:val="20"/>
        </w:rPr>
        <w:t xml:space="preserve"> pipeline for BESS technologies can</w:t>
      </w:r>
      <w:r w:rsidR="000C7789">
        <w:rPr>
          <w:rFonts w:ascii="Open Sans" w:hAnsi="Open Sans" w:cs="Open Sans"/>
          <w:sz w:val="20"/>
          <w:szCs w:val="20"/>
        </w:rPr>
        <w:t xml:space="preserve"> continue to</w:t>
      </w:r>
      <w:r w:rsidR="005F2CBB" w:rsidRPr="00E90CDA">
        <w:rPr>
          <w:rFonts w:ascii="Open Sans" w:hAnsi="Open Sans" w:cs="Open Sans"/>
          <w:sz w:val="20"/>
          <w:szCs w:val="20"/>
        </w:rPr>
        <w:t xml:space="preserve"> be delivered. </w:t>
      </w:r>
    </w:p>
    <w:p w14:paraId="3E64394A" w14:textId="77777777" w:rsidR="00331F05" w:rsidRDefault="00331F05" w:rsidP="00F6038F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</w:p>
    <w:p w14:paraId="3CF13E05" w14:textId="15E218AC" w:rsidR="006C749F" w:rsidRDefault="005F2CBB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E90CDA">
        <w:rPr>
          <w:rFonts w:ascii="Open Sans" w:hAnsi="Open Sans" w:cs="Open Sans"/>
          <w:sz w:val="20"/>
          <w:szCs w:val="20"/>
        </w:rPr>
        <w:t xml:space="preserve">However, the need for </w:t>
      </w:r>
      <w:r w:rsidR="00C53A45">
        <w:rPr>
          <w:rFonts w:ascii="Open Sans" w:hAnsi="Open Sans" w:cs="Open Sans"/>
          <w:sz w:val="20"/>
          <w:szCs w:val="20"/>
        </w:rPr>
        <w:t>L</w:t>
      </w:r>
      <w:r w:rsidRPr="00E90CDA">
        <w:rPr>
          <w:rFonts w:ascii="Open Sans" w:hAnsi="Open Sans" w:cs="Open Sans"/>
          <w:sz w:val="20"/>
          <w:szCs w:val="20"/>
        </w:rPr>
        <w:t xml:space="preserve">ong </w:t>
      </w:r>
      <w:r w:rsidR="00C53A45">
        <w:rPr>
          <w:rFonts w:ascii="Open Sans" w:hAnsi="Open Sans" w:cs="Open Sans"/>
          <w:sz w:val="20"/>
          <w:szCs w:val="20"/>
        </w:rPr>
        <w:t>D</w:t>
      </w:r>
      <w:r w:rsidRPr="00E90CDA">
        <w:rPr>
          <w:rFonts w:ascii="Open Sans" w:hAnsi="Open Sans" w:cs="Open Sans"/>
          <w:sz w:val="20"/>
          <w:szCs w:val="20"/>
        </w:rPr>
        <w:t>uration</w:t>
      </w:r>
      <w:r w:rsidR="000C7789">
        <w:rPr>
          <w:rFonts w:ascii="Open Sans" w:hAnsi="Open Sans" w:cs="Open Sans"/>
          <w:sz w:val="20"/>
          <w:szCs w:val="20"/>
        </w:rPr>
        <w:t xml:space="preserve"> </w:t>
      </w:r>
      <w:r w:rsidR="001F196D">
        <w:rPr>
          <w:rFonts w:ascii="Open Sans" w:hAnsi="Open Sans" w:cs="Open Sans"/>
          <w:sz w:val="20"/>
          <w:szCs w:val="20"/>
        </w:rPr>
        <w:t>S</w:t>
      </w:r>
      <w:r w:rsidR="000C7789">
        <w:rPr>
          <w:rFonts w:ascii="Open Sans" w:hAnsi="Open Sans" w:cs="Open Sans"/>
          <w:sz w:val="20"/>
          <w:szCs w:val="20"/>
        </w:rPr>
        <w:t>torage</w:t>
      </w:r>
      <w:r w:rsidRPr="00E90CDA">
        <w:rPr>
          <w:rFonts w:ascii="Open Sans" w:hAnsi="Open Sans" w:cs="Open Sans"/>
          <w:sz w:val="20"/>
          <w:szCs w:val="20"/>
        </w:rPr>
        <w:t xml:space="preserve">, </w:t>
      </w:r>
      <w:r w:rsidR="00C3651E" w:rsidRPr="00E90CDA">
        <w:rPr>
          <w:rFonts w:ascii="Open Sans" w:hAnsi="Open Sans" w:cs="Open Sans"/>
          <w:sz w:val="20"/>
          <w:szCs w:val="20"/>
        </w:rPr>
        <w:t xml:space="preserve">is a separate problem. </w:t>
      </w:r>
      <w:r w:rsidR="00331F05">
        <w:rPr>
          <w:rFonts w:ascii="Open Sans" w:hAnsi="Open Sans" w:cs="Open Sans"/>
          <w:sz w:val="20"/>
          <w:szCs w:val="20"/>
        </w:rPr>
        <w:t>This is demonstrated, f</w:t>
      </w:r>
      <w:r w:rsidR="00F6038F" w:rsidRPr="00E90CDA">
        <w:rPr>
          <w:rFonts w:ascii="Open Sans" w:hAnsi="Open Sans" w:cs="Open Sans"/>
          <w:sz w:val="20"/>
          <w:szCs w:val="20"/>
        </w:rPr>
        <w:t xml:space="preserve">irstly, given the growing evidence base that highlights that </w:t>
      </w:r>
      <w:r w:rsidR="00401D83">
        <w:rPr>
          <w:rFonts w:ascii="Open Sans" w:hAnsi="Open Sans" w:cs="Open Sans"/>
          <w:sz w:val="20"/>
          <w:szCs w:val="20"/>
        </w:rPr>
        <w:t xml:space="preserve">the </w:t>
      </w:r>
      <w:proofErr w:type="gramStart"/>
      <w:r w:rsidR="00401D83">
        <w:rPr>
          <w:rFonts w:ascii="Open Sans" w:hAnsi="Open Sans" w:cs="Open Sans"/>
          <w:sz w:val="20"/>
          <w:szCs w:val="20"/>
        </w:rPr>
        <w:t xml:space="preserve">UK </w:t>
      </w:r>
      <w:r w:rsidR="00F6038F" w:rsidRPr="00E90CDA">
        <w:rPr>
          <w:rFonts w:ascii="Open Sans" w:hAnsi="Open Sans" w:cs="Open Sans"/>
          <w:sz w:val="20"/>
          <w:szCs w:val="20"/>
        </w:rPr>
        <w:t xml:space="preserve"> will</w:t>
      </w:r>
      <w:proofErr w:type="gramEnd"/>
      <w:r w:rsidR="00F6038F" w:rsidRPr="00E90CDA">
        <w:rPr>
          <w:rFonts w:ascii="Open Sans" w:hAnsi="Open Sans" w:cs="Open Sans"/>
          <w:sz w:val="20"/>
          <w:szCs w:val="20"/>
        </w:rPr>
        <w:t xml:space="preserve"> need </w:t>
      </w:r>
      <w:r w:rsidR="001F196D">
        <w:rPr>
          <w:rFonts w:ascii="Open Sans" w:hAnsi="Open Sans" w:cs="Open Sans"/>
          <w:sz w:val="20"/>
          <w:szCs w:val="20"/>
        </w:rPr>
        <w:t xml:space="preserve">a </w:t>
      </w:r>
      <w:r w:rsidR="00F6038F" w:rsidRPr="00E90CDA">
        <w:rPr>
          <w:rFonts w:ascii="Open Sans" w:hAnsi="Open Sans" w:cs="Open Sans"/>
          <w:sz w:val="20"/>
          <w:szCs w:val="20"/>
        </w:rPr>
        <w:t xml:space="preserve">considerable amount of additional </w:t>
      </w:r>
      <w:r w:rsidR="001F196D">
        <w:rPr>
          <w:rFonts w:ascii="Open Sans" w:hAnsi="Open Sans" w:cs="Open Sans"/>
          <w:sz w:val="20"/>
          <w:szCs w:val="20"/>
        </w:rPr>
        <w:t>L</w:t>
      </w:r>
      <w:r w:rsidR="00F6038F" w:rsidRPr="00E90CDA">
        <w:rPr>
          <w:rFonts w:ascii="Open Sans" w:hAnsi="Open Sans" w:cs="Open Sans"/>
          <w:sz w:val="20"/>
          <w:szCs w:val="20"/>
        </w:rPr>
        <w:t>onger-</w:t>
      </w:r>
      <w:r w:rsidR="001F196D">
        <w:rPr>
          <w:rFonts w:ascii="Open Sans" w:hAnsi="Open Sans" w:cs="Open Sans"/>
          <w:sz w:val="20"/>
          <w:szCs w:val="20"/>
        </w:rPr>
        <w:t>D</w:t>
      </w:r>
      <w:r w:rsidR="00F6038F" w:rsidRPr="00E90CDA">
        <w:rPr>
          <w:rFonts w:ascii="Open Sans" w:hAnsi="Open Sans" w:cs="Open Sans"/>
          <w:sz w:val="20"/>
          <w:szCs w:val="20"/>
        </w:rPr>
        <w:t xml:space="preserve">uration </w:t>
      </w:r>
      <w:r w:rsidR="001F196D">
        <w:rPr>
          <w:rFonts w:ascii="Open Sans" w:hAnsi="Open Sans" w:cs="Open Sans"/>
          <w:sz w:val="20"/>
          <w:szCs w:val="20"/>
        </w:rPr>
        <w:t>S</w:t>
      </w:r>
      <w:r w:rsidR="00F6038F" w:rsidRPr="00E90CDA">
        <w:rPr>
          <w:rFonts w:ascii="Open Sans" w:hAnsi="Open Sans" w:cs="Open Sans"/>
          <w:sz w:val="20"/>
          <w:szCs w:val="20"/>
        </w:rPr>
        <w:t>torage</w:t>
      </w:r>
      <w:r w:rsidR="00230440" w:rsidRPr="00E90CDA">
        <w:rPr>
          <w:rFonts w:ascii="Open Sans" w:hAnsi="Open Sans" w:cs="Open Sans"/>
          <w:sz w:val="20"/>
          <w:szCs w:val="20"/>
        </w:rPr>
        <w:t xml:space="preserve"> </w:t>
      </w:r>
      <w:r w:rsidR="00F6038F" w:rsidRPr="00E90CDA">
        <w:rPr>
          <w:rFonts w:ascii="Open Sans" w:hAnsi="Open Sans" w:cs="Open Sans"/>
          <w:sz w:val="20"/>
          <w:szCs w:val="20"/>
        </w:rPr>
        <w:t>operational by 2030</w:t>
      </w:r>
      <w:r w:rsidR="00230440" w:rsidRPr="00E90CDA">
        <w:rPr>
          <w:rFonts w:ascii="Open Sans" w:hAnsi="Open Sans" w:cs="Open Sans"/>
          <w:sz w:val="20"/>
          <w:szCs w:val="20"/>
        </w:rPr>
        <w:t xml:space="preserve"> and secondly because</w:t>
      </w:r>
      <w:r w:rsidR="00331F05">
        <w:rPr>
          <w:rFonts w:ascii="Open Sans" w:hAnsi="Open Sans" w:cs="Open Sans"/>
          <w:sz w:val="20"/>
          <w:szCs w:val="20"/>
        </w:rPr>
        <w:t>,</w:t>
      </w:r>
      <w:r w:rsidR="00230440" w:rsidRPr="00E90CDA">
        <w:rPr>
          <w:rFonts w:ascii="Open Sans" w:hAnsi="Open Sans" w:cs="Open Sans"/>
          <w:sz w:val="20"/>
          <w:szCs w:val="20"/>
        </w:rPr>
        <w:t xml:space="preserve"> </w:t>
      </w:r>
      <w:r w:rsidR="00E90CDA" w:rsidRPr="00E90CDA">
        <w:rPr>
          <w:rFonts w:ascii="Open Sans" w:hAnsi="Open Sans" w:cs="Open Sans"/>
          <w:sz w:val="20"/>
          <w:szCs w:val="20"/>
        </w:rPr>
        <w:t>although several technologies within this category are readily available for commercial deployment, the current market framework acts as a barrier to investment. As such</w:t>
      </w:r>
      <w:r w:rsidR="000D3EF0">
        <w:rPr>
          <w:rFonts w:ascii="Open Sans" w:hAnsi="Open Sans" w:cs="Open Sans"/>
          <w:sz w:val="20"/>
          <w:szCs w:val="20"/>
        </w:rPr>
        <w:t>,</w:t>
      </w:r>
      <w:r w:rsidR="00E90CDA" w:rsidRPr="00E90CDA">
        <w:rPr>
          <w:rFonts w:ascii="Open Sans" w:hAnsi="Open Sans" w:cs="Open Sans"/>
          <w:sz w:val="20"/>
          <w:szCs w:val="20"/>
        </w:rPr>
        <w:t xml:space="preserve"> the issues being faced by </w:t>
      </w:r>
      <w:r w:rsidR="000D3EF0">
        <w:rPr>
          <w:rFonts w:ascii="Open Sans" w:hAnsi="Open Sans" w:cs="Open Sans"/>
          <w:sz w:val="20"/>
          <w:szCs w:val="20"/>
        </w:rPr>
        <w:t>S</w:t>
      </w:r>
      <w:r w:rsidR="00E90CDA" w:rsidRPr="00E90CDA">
        <w:rPr>
          <w:rFonts w:ascii="Open Sans" w:hAnsi="Open Sans" w:cs="Open Sans"/>
          <w:sz w:val="20"/>
          <w:szCs w:val="20"/>
        </w:rPr>
        <w:t>horter</w:t>
      </w:r>
      <w:r w:rsidR="000D3EF0">
        <w:rPr>
          <w:rFonts w:ascii="Open Sans" w:hAnsi="Open Sans" w:cs="Open Sans"/>
          <w:sz w:val="20"/>
          <w:szCs w:val="20"/>
        </w:rPr>
        <w:t>-D</w:t>
      </w:r>
      <w:r w:rsidR="00E90CDA" w:rsidRPr="00E90CDA">
        <w:rPr>
          <w:rFonts w:ascii="Open Sans" w:hAnsi="Open Sans" w:cs="Open Sans"/>
          <w:sz w:val="20"/>
          <w:szCs w:val="20"/>
        </w:rPr>
        <w:t xml:space="preserve">uration and </w:t>
      </w:r>
      <w:r w:rsidR="000D3EF0">
        <w:rPr>
          <w:rFonts w:ascii="Open Sans" w:hAnsi="Open Sans" w:cs="Open Sans"/>
          <w:sz w:val="20"/>
          <w:szCs w:val="20"/>
        </w:rPr>
        <w:t>L</w:t>
      </w:r>
      <w:r w:rsidR="00E90CDA" w:rsidRPr="00E90CDA">
        <w:rPr>
          <w:rFonts w:ascii="Open Sans" w:hAnsi="Open Sans" w:cs="Open Sans"/>
          <w:sz w:val="20"/>
          <w:szCs w:val="20"/>
        </w:rPr>
        <w:t xml:space="preserve">ong </w:t>
      </w:r>
      <w:r w:rsidR="000D3EF0">
        <w:rPr>
          <w:rFonts w:ascii="Open Sans" w:hAnsi="Open Sans" w:cs="Open Sans"/>
          <w:sz w:val="20"/>
          <w:szCs w:val="20"/>
        </w:rPr>
        <w:t>D</w:t>
      </w:r>
      <w:r w:rsidR="00E90CDA" w:rsidRPr="00E90CDA">
        <w:rPr>
          <w:rFonts w:ascii="Open Sans" w:hAnsi="Open Sans" w:cs="Open Sans"/>
          <w:sz w:val="20"/>
          <w:szCs w:val="20"/>
        </w:rPr>
        <w:t>uration assets are different, as is their overall role in the energy system</w:t>
      </w:r>
      <w:r w:rsidR="00E90CDA">
        <w:rPr>
          <w:rFonts w:ascii="Open Sans" w:hAnsi="Open Sans" w:cs="Open Sans"/>
          <w:b/>
          <w:bCs/>
          <w:sz w:val="20"/>
          <w:szCs w:val="20"/>
        </w:rPr>
        <w:t xml:space="preserve">. </w:t>
      </w:r>
    </w:p>
    <w:p w14:paraId="57AB9577" w14:textId="77777777" w:rsidR="00206363" w:rsidRDefault="00206363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5FAC719A" w14:textId="77777777" w:rsidR="00206363" w:rsidRDefault="00206363" w:rsidP="00206363">
      <w:pPr>
        <w:pStyle w:val="ListParagraph"/>
        <w:ind w:left="-142"/>
        <w:jc w:val="both"/>
        <w:rPr>
          <w:rStyle w:val="Strong"/>
        </w:rPr>
      </w:pPr>
      <w:r>
        <w:rPr>
          <w:rFonts w:ascii="Open Sans" w:hAnsi="Open Sans" w:cs="Open Sans"/>
          <w:sz w:val="20"/>
          <w:szCs w:val="20"/>
        </w:rPr>
        <w:t xml:space="preserve">[1] </w:t>
      </w:r>
      <w:r>
        <w:t>REA (2021), ‘Longer-Duration Energy Storage: The missing piece to a Net Zero, reliable and low-cost energy future</w:t>
      </w:r>
      <w:r>
        <w:rPr>
          <w:rStyle w:val="Strong"/>
        </w:rPr>
        <w:t xml:space="preserve">‘ </w:t>
      </w:r>
      <w:hyperlink r:id="rId16" w:history="1">
        <w:r w:rsidRPr="009575A9">
          <w:rPr>
            <w:rStyle w:val="Hyperlink"/>
          </w:rPr>
          <w:t>https://www.r-e-a.net/resources/rea-longer-duration-energy-storage-report/</w:t>
        </w:r>
      </w:hyperlink>
      <w:r>
        <w:rPr>
          <w:rStyle w:val="Strong"/>
        </w:rPr>
        <w:t xml:space="preserve"> </w:t>
      </w:r>
    </w:p>
    <w:p w14:paraId="799EA9A8" w14:textId="77777777" w:rsidR="00A87927" w:rsidRPr="00BD7B08" w:rsidRDefault="00A87927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7032512C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 xml:space="preserve">9. Do you agree with our proposal for a minimum duration of 6 hours? If </w:t>
      </w:r>
      <w:proofErr w:type="gramStart"/>
      <w:r w:rsidRPr="00BD7B08">
        <w:rPr>
          <w:rFonts w:ascii="Open Sans" w:hAnsi="Open Sans" w:cs="Open Sans"/>
          <w:b/>
          <w:bCs/>
          <w:sz w:val="20"/>
          <w:szCs w:val="20"/>
        </w:rPr>
        <w:t>not</w:t>
      </w:r>
      <w:proofErr w:type="gramEnd"/>
      <w:r w:rsidRPr="00BD7B08">
        <w:rPr>
          <w:rFonts w:ascii="Open Sans" w:hAnsi="Open Sans" w:cs="Open Sans"/>
          <w:b/>
          <w:bCs/>
          <w:sz w:val="20"/>
          <w:szCs w:val="20"/>
        </w:rPr>
        <w:t xml:space="preserve"> please</w:t>
      </w:r>
    </w:p>
    <w:p w14:paraId="5560F560" w14:textId="77777777" w:rsid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provide a rationale.</w:t>
      </w:r>
    </w:p>
    <w:p w14:paraId="564611FF" w14:textId="77777777" w:rsidR="00C029E0" w:rsidRDefault="00C029E0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77AD80A8" w14:textId="2B0439FF" w:rsidR="00C029E0" w:rsidRPr="006A44E8" w:rsidRDefault="00C029E0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6A44E8">
        <w:rPr>
          <w:rFonts w:ascii="Open Sans" w:hAnsi="Open Sans" w:cs="Open Sans"/>
          <w:sz w:val="20"/>
          <w:szCs w:val="20"/>
        </w:rPr>
        <w:t xml:space="preserve">We largely agree with a minimum duration of 6 </w:t>
      </w:r>
      <w:r w:rsidR="006A44E8" w:rsidRPr="006A44E8">
        <w:rPr>
          <w:rFonts w:ascii="Open Sans" w:hAnsi="Open Sans" w:cs="Open Sans"/>
          <w:sz w:val="20"/>
          <w:szCs w:val="20"/>
        </w:rPr>
        <w:t>hours and</w:t>
      </w:r>
      <w:r w:rsidRPr="006A44E8">
        <w:rPr>
          <w:rFonts w:ascii="Open Sans" w:hAnsi="Open Sans" w:cs="Open Sans"/>
          <w:sz w:val="20"/>
          <w:szCs w:val="20"/>
        </w:rPr>
        <w:t xml:space="preserve"> recognise that the market is now </w:t>
      </w:r>
      <w:r w:rsidR="00401D83" w:rsidRPr="006A44E8">
        <w:rPr>
          <w:rFonts w:ascii="Open Sans" w:hAnsi="Open Sans" w:cs="Open Sans"/>
          <w:sz w:val="20"/>
          <w:szCs w:val="20"/>
        </w:rPr>
        <w:t>able</w:t>
      </w:r>
      <w:r w:rsidRPr="006A44E8">
        <w:rPr>
          <w:rFonts w:ascii="Open Sans" w:hAnsi="Open Sans" w:cs="Open Sans"/>
          <w:sz w:val="20"/>
          <w:szCs w:val="20"/>
        </w:rPr>
        <w:t xml:space="preserve"> to support this duration le</w:t>
      </w:r>
      <w:r w:rsidR="0013005E" w:rsidRPr="006A44E8">
        <w:rPr>
          <w:rFonts w:ascii="Open Sans" w:hAnsi="Open Sans" w:cs="Open Sans"/>
          <w:sz w:val="20"/>
          <w:szCs w:val="20"/>
        </w:rPr>
        <w:t xml:space="preserve">ngth. </w:t>
      </w:r>
      <w:r w:rsidR="002E1EF3" w:rsidRPr="006A44E8">
        <w:rPr>
          <w:rFonts w:ascii="Open Sans" w:hAnsi="Open Sans" w:cs="Open Sans"/>
          <w:sz w:val="20"/>
          <w:szCs w:val="20"/>
        </w:rPr>
        <w:t>Previously</w:t>
      </w:r>
      <w:r w:rsidR="0013005E" w:rsidRPr="006A44E8">
        <w:rPr>
          <w:rFonts w:ascii="Open Sans" w:hAnsi="Open Sans" w:cs="Open Sans"/>
          <w:sz w:val="20"/>
          <w:szCs w:val="20"/>
        </w:rPr>
        <w:t xml:space="preserve"> we had called for a </w:t>
      </w:r>
      <w:r w:rsidR="00661C1D" w:rsidRPr="006A44E8">
        <w:rPr>
          <w:rFonts w:ascii="Open Sans" w:hAnsi="Open Sans" w:cs="Open Sans"/>
          <w:sz w:val="20"/>
          <w:szCs w:val="20"/>
        </w:rPr>
        <w:t xml:space="preserve">lesser </w:t>
      </w:r>
      <w:r w:rsidR="0013005E" w:rsidRPr="006A44E8">
        <w:rPr>
          <w:rFonts w:ascii="Open Sans" w:hAnsi="Open Sans" w:cs="Open Sans"/>
          <w:sz w:val="20"/>
          <w:szCs w:val="20"/>
        </w:rPr>
        <w:t xml:space="preserve">duration </w:t>
      </w:r>
      <w:r w:rsidR="00661C1D" w:rsidRPr="006A44E8">
        <w:rPr>
          <w:rFonts w:ascii="Open Sans" w:hAnsi="Open Sans" w:cs="Open Sans"/>
          <w:sz w:val="20"/>
          <w:szCs w:val="20"/>
        </w:rPr>
        <w:t xml:space="preserve">of </w:t>
      </w:r>
      <w:r w:rsidR="0013005E" w:rsidRPr="006A44E8">
        <w:rPr>
          <w:rFonts w:ascii="Open Sans" w:hAnsi="Open Sans" w:cs="Open Sans"/>
          <w:sz w:val="20"/>
          <w:szCs w:val="20"/>
        </w:rPr>
        <w:t xml:space="preserve">4 hours to be </w:t>
      </w:r>
      <w:r w:rsidR="006A44E8" w:rsidRPr="006A44E8">
        <w:rPr>
          <w:rFonts w:ascii="Open Sans" w:hAnsi="Open Sans" w:cs="Open Sans"/>
          <w:sz w:val="20"/>
          <w:szCs w:val="20"/>
        </w:rPr>
        <w:t>supported but</w:t>
      </w:r>
      <w:r w:rsidR="0013005E" w:rsidRPr="006A44E8">
        <w:rPr>
          <w:rFonts w:ascii="Open Sans" w:hAnsi="Open Sans" w:cs="Open Sans"/>
          <w:sz w:val="20"/>
          <w:szCs w:val="20"/>
        </w:rPr>
        <w:t xml:space="preserve"> believe the sector has moved on sufficiently </w:t>
      </w:r>
      <w:r w:rsidR="00531DFC" w:rsidRPr="006A44E8">
        <w:rPr>
          <w:rFonts w:ascii="Open Sans" w:hAnsi="Open Sans" w:cs="Open Sans"/>
          <w:sz w:val="20"/>
          <w:szCs w:val="20"/>
        </w:rPr>
        <w:t xml:space="preserve">and that 6 hours is the starting point for where the additional benefits of </w:t>
      </w:r>
      <w:r w:rsidR="004D7C39">
        <w:rPr>
          <w:rFonts w:ascii="Open Sans" w:hAnsi="Open Sans" w:cs="Open Sans"/>
          <w:sz w:val="20"/>
          <w:szCs w:val="20"/>
        </w:rPr>
        <w:t>L</w:t>
      </w:r>
      <w:r w:rsidR="00531DFC" w:rsidRPr="006A44E8">
        <w:rPr>
          <w:rFonts w:ascii="Open Sans" w:hAnsi="Open Sans" w:cs="Open Sans"/>
          <w:sz w:val="20"/>
          <w:szCs w:val="20"/>
        </w:rPr>
        <w:t xml:space="preserve">ong </w:t>
      </w:r>
      <w:r w:rsidR="004D7C39">
        <w:rPr>
          <w:rFonts w:ascii="Open Sans" w:hAnsi="Open Sans" w:cs="Open Sans"/>
          <w:sz w:val="20"/>
          <w:szCs w:val="20"/>
        </w:rPr>
        <w:t>D</w:t>
      </w:r>
      <w:r w:rsidR="00531DFC" w:rsidRPr="006A44E8">
        <w:rPr>
          <w:rFonts w:ascii="Open Sans" w:hAnsi="Open Sans" w:cs="Open Sans"/>
          <w:sz w:val="20"/>
          <w:szCs w:val="20"/>
        </w:rPr>
        <w:t xml:space="preserve">uration may be felt, and where the value for </w:t>
      </w:r>
      <w:proofErr w:type="gramStart"/>
      <w:r w:rsidR="00531DFC" w:rsidRPr="006A44E8">
        <w:rPr>
          <w:rFonts w:ascii="Open Sans" w:hAnsi="Open Sans" w:cs="Open Sans"/>
          <w:sz w:val="20"/>
          <w:szCs w:val="20"/>
        </w:rPr>
        <w:t xml:space="preserve">money </w:t>
      </w:r>
      <w:r w:rsidR="009C7499">
        <w:rPr>
          <w:rFonts w:ascii="Open Sans" w:hAnsi="Open Sans" w:cs="Open Sans"/>
          <w:sz w:val="20"/>
          <w:szCs w:val="20"/>
        </w:rPr>
        <w:t xml:space="preserve"> </w:t>
      </w:r>
      <w:r w:rsidR="009C7499" w:rsidRPr="006A44E8">
        <w:rPr>
          <w:rFonts w:ascii="Open Sans" w:hAnsi="Open Sans" w:cs="Open Sans"/>
          <w:sz w:val="20"/>
          <w:szCs w:val="20"/>
        </w:rPr>
        <w:t>of</w:t>
      </w:r>
      <w:proofErr w:type="gramEnd"/>
      <w:r w:rsidR="00531DFC" w:rsidRPr="006A44E8">
        <w:rPr>
          <w:rFonts w:ascii="Open Sans" w:hAnsi="Open Sans" w:cs="Open Sans"/>
          <w:sz w:val="20"/>
          <w:szCs w:val="20"/>
        </w:rPr>
        <w:t xml:space="preserve"> delivering </w:t>
      </w:r>
      <w:r w:rsidR="009C7499">
        <w:rPr>
          <w:rFonts w:ascii="Open Sans" w:hAnsi="Open Sans" w:cs="Open Sans"/>
          <w:sz w:val="20"/>
          <w:szCs w:val="20"/>
        </w:rPr>
        <w:t>L</w:t>
      </w:r>
      <w:r w:rsidR="00FF4E61" w:rsidRPr="006A44E8">
        <w:rPr>
          <w:rFonts w:ascii="Open Sans" w:hAnsi="Open Sans" w:cs="Open Sans"/>
          <w:sz w:val="20"/>
          <w:szCs w:val="20"/>
        </w:rPr>
        <w:t xml:space="preserve">ong </w:t>
      </w:r>
      <w:r w:rsidR="009C7499">
        <w:rPr>
          <w:rFonts w:ascii="Open Sans" w:hAnsi="Open Sans" w:cs="Open Sans"/>
          <w:sz w:val="20"/>
          <w:szCs w:val="20"/>
        </w:rPr>
        <w:t>D</w:t>
      </w:r>
      <w:r w:rsidR="00FF4E61" w:rsidRPr="006A44E8">
        <w:rPr>
          <w:rFonts w:ascii="Open Sans" w:hAnsi="Open Sans" w:cs="Open Sans"/>
          <w:sz w:val="20"/>
          <w:szCs w:val="20"/>
        </w:rPr>
        <w:t xml:space="preserve">uration can be realised. </w:t>
      </w:r>
    </w:p>
    <w:p w14:paraId="09665959" w14:textId="77777777" w:rsidR="0013005E" w:rsidRPr="006A44E8" w:rsidRDefault="0013005E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</w:p>
    <w:p w14:paraId="2AFC265F" w14:textId="16FC13F4" w:rsidR="0013005E" w:rsidRPr="006A44E8" w:rsidRDefault="00FF4E61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proofErr w:type="gramStart"/>
      <w:r w:rsidRPr="006A44E8">
        <w:rPr>
          <w:rFonts w:ascii="Open Sans" w:hAnsi="Open Sans" w:cs="Open Sans"/>
          <w:sz w:val="20"/>
          <w:szCs w:val="20"/>
        </w:rPr>
        <w:t>That being said, looking</w:t>
      </w:r>
      <w:proofErr w:type="gramEnd"/>
      <w:r w:rsidRPr="006A44E8">
        <w:rPr>
          <w:rFonts w:ascii="Open Sans" w:hAnsi="Open Sans" w:cs="Open Sans"/>
          <w:sz w:val="20"/>
          <w:szCs w:val="20"/>
        </w:rPr>
        <w:t xml:space="preserve"> at other markets</w:t>
      </w:r>
      <w:r w:rsidR="00B710EC">
        <w:rPr>
          <w:rFonts w:ascii="Open Sans" w:hAnsi="Open Sans" w:cs="Open Sans"/>
          <w:sz w:val="20"/>
          <w:szCs w:val="20"/>
        </w:rPr>
        <w:t>,</w:t>
      </w:r>
      <w:r w:rsidRPr="006A44E8">
        <w:rPr>
          <w:rFonts w:ascii="Open Sans" w:hAnsi="Open Sans" w:cs="Open Sans"/>
          <w:sz w:val="20"/>
          <w:szCs w:val="20"/>
        </w:rPr>
        <w:t xml:space="preserve"> it is </w:t>
      </w:r>
      <w:r w:rsidR="00182587" w:rsidRPr="006A44E8">
        <w:rPr>
          <w:rFonts w:ascii="Open Sans" w:hAnsi="Open Sans" w:cs="Open Sans"/>
          <w:sz w:val="20"/>
          <w:szCs w:val="20"/>
        </w:rPr>
        <w:t>correct</w:t>
      </w:r>
      <w:r w:rsidRPr="006A44E8">
        <w:rPr>
          <w:rFonts w:ascii="Open Sans" w:hAnsi="Open Sans" w:cs="Open Sans"/>
          <w:sz w:val="20"/>
          <w:szCs w:val="20"/>
        </w:rPr>
        <w:t xml:space="preserve"> to recognise that even longer </w:t>
      </w:r>
      <w:r w:rsidR="00182587" w:rsidRPr="006A44E8">
        <w:rPr>
          <w:rFonts w:ascii="Open Sans" w:hAnsi="Open Sans" w:cs="Open Sans"/>
          <w:sz w:val="20"/>
          <w:szCs w:val="20"/>
        </w:rPr>
        <w:t>duration</w:t>
      </w:r>
      <w:r w:rsidR="001802A3">
        <w:rPr>
          <w:rFonts w:ascii="Open Sans" w:hAnsi="Open Sans" w:cs="Open Sans"/>
          <w:sz w:val="20"/>
          <w:szCs w:val="20"/>
        </w:rPr>
        <w:t>s</w:t>
      </w:r>
      <w:r w:rsidRPr="006A44E8">
        <w:rPr>
          <w:rFonts w:ascii="Open Sans" w:hAnsi="Open Sans" w:cs="Open Sans"/>
          <w:sz w:val="20"/>
          <w:szCs w:val="20"/>
        </w:rPr>
        <w:t xml:space="preserve"> are now forming the </w:t>
      </w:r>
      <w:r w:rsidR="00182587" w:rsidRPr="006A44E8">
        <w:rPr>
          <w:rFonts w:ascii="Open Sans" w:hAnsi="Open Sans" w:cs="Open Sans"/>
          <w:sz w:val="20"/>
          <w:szCs w:val="20"/>
        </w:rPr>
        <w:t>threshold</w:t>
      </w:r>
      <w:r w:rsidRPr="006A44E8">
        <w:rPr>
          <w:rFonts w:ascii="Open Sans" w:hAnsi="Open Sans" w:cs="Open Sans"/>
          <w:sz w:val="20"/>
          <w:szCs w:val="20"/>
        </w:rPr>
        <w:t xml:space="preserve"> for support, with 8 to 10 </w:t>
      </w:r>
      <w:r w:rsidR="0064492E" w:rsidRPr="006A44E8">
        <w:rPr>
          <w:rFonts w:ascii="Open Sans" w:hAnsi="Open Sans" w:cs="Open Sans"/>
          <w:sz w:val="20"/>
          <w:szCs w:val="20"/>
        </w:rPr>
        <w:t>hours being</w:t>
      </w:r>
      <w:r w:rsidRPr="006A44E8">
        <w:rPr>
          <w:rFonts w:ascii="Open Sans" w:hAnsi="Open Sans" w:cs="Open Sans"/>
          <w:sz w:val="20"/>
          <w:szCs w:val="20"/>
        </w:rPr>
        <w:t xml:space="preserve"> seen as a </w:t>
      </w:r>
      <w:r w:rsidR="00182587" w:rsidRPr="006A44E8">
        <w:rPr>
          <w:rFonts w:ascii="Open Sans" w:hAnsi="Open Sans" w:cs="Open Sans"/>
          <w:sz w:val="20"/>
          <w:szCs w:val="20"/>
        </w:rPr>
        <w:t>relevant</w:t>
      </w:r>
      <w:r w:rsidRPr="006A44E8">
        <w:rPr>
          <w:rFonts w:ascii="Open Sans" w:hAnsi="Open Sans" w:cs="Open Sans"/>
          <w:sz w:val="20"/>
          <w:szCs w:val="20"/>
        </w:rPr>
        <w:t xml:space="preserve"> be</w:t>
      </w:r>
      <w:r w:rsidR="00182587" w:rsidRPr="006A44E8">
        <w:rPr>
          <w:rFonts w:ascii="Open Sans" w:hAnsi="Open Sans" w:cs="Open Sans"/>
          <w:sz w:val="20"/>
          <w:szCs w:val="20"/>
        </w:rPr>
        <w:t xml:space="preserve">nchmark for realising the value of </w:t>
      </w:r>
      <w:r w:rsidR="008336A8">
        <w:rPr>
          <w:rFonts w:ascii="Open Sans" w:hAnsi="Open Sans" w:cs="Open Sans"/>
          <w:sz w:val="20"/>
          <w:szCs w:val="20"/>
        </w:rPr>
        <w:t>L</w:t>
      </w:r>
      <w:r w:rsidR="00182587" w:rsidRPr="006A44E8">
        <w:rPr>
          <w:rFonts w:ascii="Open Sans" w:hAnsi="Open Sans" w:cs="Open Sans"/>
          <w:sz w:val="20"/>
          <w:szCs w:val="20"/>
        </w:rPr>
        <w:t xml:space="preserve">ong </w:t>
      </w:r>
      <w:r w:rsidR="008336A8">
        <w:rPr>
          <w:rFonts w:ascii="Open Sans" w:hAnsi="Open Sans" w:cs="Open Sans"/>
          <w:sz w:val="20"/>
          <w:szCs w:val="20"/>
        </w:rPr>
        <w:t>D</w:t>
      </w:r>
      <w:r w:rsidR="00182587" w:rsidRPr="006A44E8">
        <w:rPr>
          <w:rFonts w:ascii="Open Sans" w:hAnsi="Open Sans" w:cs="Open Sans"/>
          <w:sz w:val="20"/>
          <w:szCs w:val="20"/>
        </w:rPr>
        <w:t xml:space="preserve">uration </w:t>
      </w:r>
      <w:r w:rsidR="008336A8">
        <w:rPr>
          <w:rFonts w:ascii="Open Sans" w:hAnsi="Open Sans" w:cs="Open Sans"/>
          <w:sz w:val="20"/>
          <w:szCs w:val="20"/>
        </w:rPr>
        <w:t>E</w:t>
      </w:r>
      <w:r w:rsidR="00182587" w:rsidRPr="006A44E8">
        <w:rPr>
          <w:rFonts w:ascii="Open Sans" w:hAnsi="Open Sans" w:cs="Open Sans"/>
          <w:sz w:val="20"/>
          <w:szCs w:val="20"/>
        </w:rPr>
        <w:t xml:space="preserve">nergy </w:t>
      </w:r>
      <w:r w:rsidR="008336A8">
        <w:rPr>
          <w:rFonts w:ascii="Open Sans" w:hAnsi="Open Sans" w:cs="Open Sans"/>
          <w:sz w:val="20"/>
          <w:szCs w:val="20"/>
        </w:rPr>
        <w:t>S</w:t>
      </w:r>
      <w:r w:rsidR="00182587" w:rsidRPr="006A44E8">
        <w:rPr>
          <w:rFonts w:ascii="Open Sans" w:hAnsi="Open Sans" w:cs="Open Sans"/>
          <w:sz w:val="20"/>
          <w:szCs w:val="20"/>
        </w:rPr>
        <w:t>torage and the benefits it provides to gri</w:t>
      </w:r>
      <w:r w:rsidR="007A59CF">
        <w:rPr>
          <w:rFonts w:ascii="Open Sans" w:hAnsi="Open Sans" w:cs="Open Sans"/>
          <w:sz w:val="20"/>
          <w:szCs w:val="20"/>
        </w:rPr>
        <w:t>d</w:t>
      </w:r>
      <w:r w:rsidR="00182587" w:rsidRPr="006A44E8">
        <w:rPr>
          <w:rFonts w:ascii="Open Sans" w:hAnsi="Open Sans" w:cs="Open Sans"/>
          <w:sz w:val="20"/>
          <w:szCs w:val="20"/>
        </w:rPr>
        <w:t>.</w:t>
      </w:r>
      <w:r w:rsidR="00B578B0">
        <w:rPr>
          <w:rFonts w:ascii="Open Sans" w:hAnsi="Open Sans" w:cs="Open Sans"/>
          <w:sz w:val="20"/>
          <w:szCs w:val="20"/>
        </w:rPr>
        <w:t xml:space="preserve"> As such, t</w:t>
      </w:r>
      <w:r w:rsidR="00B578B0" w:rsidRPr="006A44E8">
        <w:rPr>
          <w:rFonts w:ascii="Open Sans" w:hAnsi="Open Sans" w:cs="Open Sans"/>
          <w:sz w:val="20"/>
          <w:szCs w:val="20"/>
        </w:rPr>
        <w:t>o</w:t>
      </w:r>
      <w:r w:rsidR="00182587" w:rsidRPr="006A44E8">
        <w:rPr>
          <w:rFonts w:ascii="Open Sans" w:hAnsi="Open Sans" w:cs="Open Sans"/>
          <w:sz w:val="20"/>
          <w:szCs w:val="20"/>
        </w:rPr>
        <w:t xml:space="preserve"> further realise value for </w:t>
      </w:r>
      <w:r w:rsidR="00C453CF" w:rsidRPr="006A44E8">
        <w:rPr>
          <w:rFonts w:ascii="Open Sans" w:hAnsi="Open Sans" w:cs="Open Sans"/>
          <w:sz w:val="20"/>
          <w:szCs w:val="20"/>
        </w:rPr>
        <w:t>money,</w:t>
      </w:r>
      <w:r w:rsidR="00182587" w:rsidRPr="006A44E8">
        <w:rPr>
          <w:rFonts w:ascii="Open Sans" w:hAnsi="Open Sans" w:cs="Open Sans"/>
          <w:sz w:val="20"/>
          <w:szCs w:val="20"/>
        </w:rPr>
        <w:t xml:space="preserve"> it </w:t>
      </w:r>
      <w:r w:rsidR="00B578B0" w:rsidRPr="006A44E8">
        <w:rPr>
          <w:rFonts w:ascii="Open Sans" w:hAnsi="Open Sans" w:cs="Open Sans"/>
          <w:sz w:val="20"/>
          <w:szCs w:val="20"/>
        </w:rPr>
        <w:t>may be</w:t>
      </w:r>
      <w:r w:rsidR="00182587" w:rsidRPr="006A44E8">
        <w:rPr>
          <w:rFonts w:ascii="Open Sans" w:hAnsi="Open Sans" w:cs="Open Sans"/>
          <w:sz w:val="20"/>
          <w:szCs w:val="20"/>
        </w:rPr>
        <w:t xml:space="preserve"> </w:t>
      </w:r>
      <w:r w:rsidR="006A44E8" w:rsidRPr="006A44E8">
        <w:rPr>
          <w:rFonts w:ascii="Open Sans" w:hAnsi="Open Sans" w:cs="Open Sans"/>
          <w:sz w:val="20"/>
          <w:szCs w:val="20"/>
        </w:rPr>
        <w:t>appropriate</w:t>
      </w:r>
      <w:r w:rsidR="00182587" w:rsidRPr="006A44E8">
        <w:rPr>
          <w:rFonts w:ascii="Open Sans" w:hAnsi="Open Sans" w:cs="Open Sans"/>
          <w:sz w:val="20"/>
          <w:szCs w:val="20"/>
        </w:rPr>
        <w:t xml:space="preserve"> to consider an increased duration</w:t>
      </w:r>
      <w:r w:rsidR="006A44E8" w:rsidRPr="006A44E8">
        <w:rPr>
          <w:rFonts w:ascii="Open Sans" w:hAnsi="Open Sans" w:cs="Open Sans"/>
          <w:sz w:val="20"/>
          <w:szCs w:val="20"/>
        </w:rPr>
        <w:t xml:space="preserve"> threshold </w:t>
      </w:r>
      <w:r w:rsidR="00B578B0">
        <w:rPr>
          <w:rFonts w:ascii="Open Sans" w:hAnsi="Open Sans" w:cs="Open Sans"/>
          <w:sz w:val="20"/>
          <w:szCs w:val="20"/>
        </w:rPr>
        <w:t>to 8 hours</w:t>
      </w:r>
      <w:r w:rsidR="00D62BE1">
        <w:rPr>
          <w:rFonts w:ascii="Open Sans" w:hAnsi="Open Sans" w:cs="Open Sans"/>
          <w:sz w:val="20"/>
          <w:szCs w:val="20"/>
        </w:rPr>
        <w:t>,</w:t>
      </w:r>
      <w:r w:rsidR="00B578B0">
        <w:rPr>
          <w:rFonts w:ascii="Open Sans" w:hAnsi="Open Sans" w:cs="Open Sans"/>
          <w:sz w:val="20"/>
          <w:szCs w:val="20"/>
        </w:rPr>
        <w:t xml:space="preserve"> </w:t>
      </w:r>
      <w:r w:rsidR="006A44E8" w:rsidRPr="006A44E8">
        <w:rPr>
          <w:rFonts w:ascii="Open Sans" w:hAnsi="Open Sans" w:cs="Open Sans"/>
          <w:sz w:val="20"/>
          <w:szCs w:val="20"/>
        </w:rPr>
        <w:t>specifically for</w:t>
      </w:r>
      <w:r w:rsidR="00182587" w:rsidRPr="006A44E8">
        <w:rPr>
          <w:rFonts w:ascii="Open Sans" w:hAnsi="Open Sans" w:cs="Open Sans"/>
          <w:sz w:val="20"/>
          <w:szCs w:val="20"/>
        </w:rPr>
        <w:t xml:space="preserve"> Stream 1. This ma</w:t>
      </w:r>
      <w:r w:rsidR="0064492E">
        <w:rPr>
          <w:rFonts w:ascii="Open Sans" w:hAnsi="Open Sans" w:cs="Open Sans"/>
          <w:sz w:val="20"/>
          <w:szCs w:val="20"/>
        </w:rPr>
        <w:t xml:space="preserve">y help to differentiate the asset class of LDES sufficiently to ensure the delivery of </w:t>
      </w:r>
      <w:r w:rsidR="00B578B0">
        <w:rPr>
          <w:rFonts w:ascii="Open Sans" w:hAnsi="Open Sans" w:cs="Open Sans"/>
          <w:sz w:val="20"/>
          <w:szCs w:val="20"/>
        </w:rPr>
        <w:t>high-class</w:t>
      </w:r>
      <w:r w:rsidR="0064492E">
        <w:rPr>
          <w:rFonts w:ascii="Open Sans" w:hAnsi="Open Sans" w:cs="Open Sans"/>
          <w:sz w:val="20"/>
          <w:szCs w:val="20"/>
        </w:rPr>
        <w:t xml:space="preserve"> projects. We would encourage </w:t>
      </w:r>
      <w:r w:rsidR="00D62BE1">
        <w:rPr>
          <w:rFonts w:ascii="Open Sans" w:hAnsi="Open Sans" w:cs="Open Sans"/>
          <w:sz w:val="20"/>
          <w:szCs w:val="20"/>
        </w:rPr>
        <w:t>G</w:t>
      </w:r>
      <w:r w:rsidR="0064492E">
        <w:rPr>
          <w:rFonts w:ascii="Open Sans" w:hAnsi="Open Sans" w:cs="Open Sans"/>
          <w:sz w:val="20"/>
          <w:szCs w:val="20"/>
        </w:rPr>
        <w:t xml:space="preserve">overnment to consider the impact of this further and perhaps consult on </w:t>
      </w:r>
      <w:proofErr w:type="gramStart"/>
      <w:r w:rsidR="009C12FC">
        <w:rPr>
          <w:rFonts w:ascii="Open Sans" w:hAnsi="Open Sans" w:cs="Open Sans"/>
          <w:sz w:val="20"/>
          <w:szCs w:val="20"/>
        </w:rPr>
        <w:t xml:space="preserve">this </w:t>
      </w:r>
      <w:r w:rsidR="00BF1D7E">
        <w:rPr>
          <w:rFonts w:ascii="Open Sans" w:hAnsi="Open Sans" w:cs="Open Sans"/>
          <w:sz w:val="20"/>
          <w:szCs w:val="20"/>
        </w:rPr>
        <w:t xml:space="preserve"> further</w:t>
      </w:r>
      <w:proofErr w:type="gramEnd"/>
      <w:r w:rsidR="0064492E">
        <w:rPr>
          <w:rFonts w:ascii="Open Sans" w:hAnsi="Open Sans" w:cs="Open Sans"/>
          <w:sz w:val="20"/>
          <w:szCs w:val="20"/>
        </w:rPr>
        <w:t xml:space="preserve">. </w:t>
      </w:r>
      <w:r w:rsidR="00182587" w:rsidRPr="006A44E8">
        <w:rPr>
          <w:rFonts w:ascii="Open Sans" w:hAnsi="Open Sans" w:cs="Open Sans"/>
          <w:sz w:val="20"/>
          <w:szCs w:val="20"/>
        </w:rPr>
        <w:t xml:space="preserve"> </w:t>
      </w:r>
    </w:p>
    <w:p w14:paraId="3A5C834F" w14:textId="77777777" w:rsidR="00C029E0" w:rsidRPr="00BD7B08" w:rsidRDefault="00C029E0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03B24F67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10. Do you believe we should be setting a minimum efficiency criterion? Please</w:t>
      </w:r>
    </w:p>
    <w:p w14:paraId="6A9CC8A1" w14:textId="77777777" w:rsid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provide your reasoning.</w:t>
      </w:r>
    </w:p>
    <w:p w14:paraId="5F2ABEEF" w14:textId="77777777" w:rsidR="006A44E8" w:rsidRDefault="006A44E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7E451448" w14:textId="38685ED3" w:rsidR="00F71C57" w:rsidRPr="004A6A43" w:rsidRDefault="006A44E8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4A6A43">
        <w:rPr>
          <w:rFonts w:ascii="Open Sans" w:hAnsi="Open Sans" w:cs="Open Sans"/>
          <w:sz w:val="20"/>
          <w:szCs w:val="20"/>
        </w:rPr>
        <w:t>No</w:t>
      </w:r>
      <w:r w:rsidR="008A4F69" w:rsidRPr="004A6A43">
        <w:rPr>
          <w:rFonts w:ascii="Open Sans" w:hAnsi="Open Sans" w:cs="Open Sans"/>
          <w:sz w:val="20"/>
          <w:szCs w:val="20"/>
        </w:rPr>
        <w:t>,</w:t>
      </w:r>
      <w:r w:rsidRPr="004A6A43">
        <w:rPr>
          <w:rFonts w:ascii="Open Sans" w:hAnsi="Open Sans" w:cs="Open Sans"/>
          <w:sz w:val="20"/>
          <w:szCs w:val="20"/>
        </w:rPr>
        <w:t xml:space="preserve"> a </w:t>
      </w:r>
      <w:r w:rsidR="00D336D9" w:rsidRPr="004A6A43">
        <w:rPr>
          <w:rFonts w:ascii="Open Sans" w:hAnsi="Open Sans" w:cs="Open Sans"/>
          <w:sz w:val="20"/>
          <w:szCs w:val="20"/>
        </w:rPr>
        <w:t>minimum</w:t>
      </w:r>
      <w:r w:rsidRPr="004A6A43">
        <w:rPr>
          <w:rFonts w:ascii="Open Sans" w:hAnsi="Open Sans" w:cs="Open Sans"/>
          <w:sz w:val="20"/>
          <w:szCs w:val="20"/>
        </w:rPr>
        <w:t xml:space="preserve"> efficiency </w:t>
      </w:r>
      <w:r w:rsidR="00D336D9" w:rsidRPr="004A6A43">
        <w:rPr>
          <w:rFonts w:ascii="Open Sans" w:hAnsi="Open Sans" w:cs="Open Sans"/>
          <w:sz w:val="20"/>
          <w:szCs w:val="20"/>
        </w:rPr>
        <w:t>threshold</w:t>
      </w:r>
      <w:r w:rsidRPr="004A6A43">
        <w:rPr>
          <w:rFonts w:ascii="Open Sans" w:hAnsi="Open Sans" w:cs="Open Sans"/>
          <w:sz w:val="20"/>
          <w:szCs w:val="20"/>
        </w:rPr>
        <w:t xml:space="preserve"> should not be</w:t>
      </w:r>
      <w:r w:rsidR="00F71C57" w:rsidRPr="004A6A43">
        <w:rPr>
          <w:rFonts w:ascii="Open Sans" w:hAnsi="Open Sans" w:cs="Open Sans"/>
          <w:sz w:val="20"/>
          <w:szCs w:val="20"/>
        </w:rPr>
        <w:t xml:space="preserve"> set</w:t>
      </w:r>
      <w:r w:rsidRPr="004A6A43">
        <w:rPr>
          <w:rFonts w:ascii="Open Sans" w:hAnsi="Open Sans" w:cs="Open Sans"/>
          <w:sz w:val="20"/>
          <w:szCs w:val="20"/>
        </w:rPr>
        <w:t xml:space="preserve"> as</w:t>
      </w:r>
      <w:r w:rsidR="009C12FC">
        <w:rPr>
          <w:rFonts w:ascii="Open Sans" w:hAnsi="Open Sans" w:cs="Open Sans"/>
          <w:sz w:val="20"/>
          <w:szCs w:val="20"/>
        </w:rPr>
        <w:t xml:space="preserve"> an</w:t>
      </w:r>
      <w:r w:rsidR="00E03D3E" w:rsidRPr="004A6A43">
        <w:rPr>
          <w:rFonts w:ascii="Open Sans" w:hAnsi="Open Sans" w:cs="Open Sans"/>
          <w:sz w:val="20"/>
          <w:szCs w:val="20"/>
        </w:rPr>
        <w:t xml:space="preserve"> </w:t>
      </w:r>
      <w:r w:rsidR="00D336D9" w:rsidRPr="004A6A43">
        <w:rPr>
          <w:rFonts w:ascii="Open Sans" w:hAnsi="Open Sans" w:cs="Open Sans"/>
          <w:sz w:val="20"/>
          <w:szCs w:val="20"/>
        </w:rPr>
        <w:t>eligibility</w:t>
      </w:r>
      <w:r w:rsidR="00E03D3E" w:rsidRPr="004A6A43">
        <w:rPr>
          <w:rFonts w:ascii="Open Sans" w:hAnsi="Open Sans" w:cs="Open Sans"/>
          <w:sz w:val="20"/>
          <w:szCs w:val="20"/>
        </w:rPr>
        <w:t xml:space="preserve"> </w:t>
      </w:r>
      <w:proofErr w:type="gramStart"/>
      <w:r w:rsidR="00E03D3E" w:rsidRPr="004A6A43">
        <w:rPr>
          <w:rFonts w:ascii="Open Sans" w:hAnsi="Open Sans" w:cs="Open Sans"/>
          <w:sz w:val="20"/>
          <w:szCs w:val="20"/>
        </w:rPr>
        <w:t>criteri</w:t>
      </w:r>
      <w:r w:rsidR="009C12FC">
        <w:rPr>
          <w:rFonts w:ascii="Open Sans" w:hAnsi="Open Sans" w:cs="Open Sans"/>
          <w:sz w:val="20"/>
          <w:szCs w:val="20"/>
        </w:rPr>
        <w:t xml:space="preserve">on </w:t>
      </w:r>
      <w:r w:rsidR="00D336D9" w:rsidRPr="004A6A43">
        <w:rPr>
          <w:rFonts w:ascii="Open Sans" w:hAnsi="Open Sans" w:cs="Open Sans"/>
          <w:sz w:val="20"/>
          <w:szCs w:val="20"/>
        </w:rPr>
        <w:t xml:space="preserve"> within</w:t>
      </w:r>
      <w:proofErr w:type="gramEnd"/>
      <w:r w:rsidR="00D336D9" w:rsidRPr="004A6A43">
        <w:rPr>
          <w:rFonts w:ascii="Open Sans" w:hAnsi="Open Sans" w:cs="Open Sans"/>
          <w:sz w:val="20"/>
          <w:szCs w:val="20"/>
        </w:rPr>
        <w:t xml:space="preserve"> the streams. </w:t>
      </w:r>
      <w:r w:rsidR="00D5217A" w:rsidRPr="004A6A43">
        <w:rPr>
          <w:rFonts w:ascii="Open Sans" w:hAnsi="Open Sans" w:cs="Open Sans"/>
          <w:sz w:val="20"/>
          <w:szCs w:val="20"/>
        </w:rPr>
        <w:t>This is due to the wide range of efficiency values of different technologi</w:t>
      </w:r>
      <w:r w:rsidR="003403FB" w:rsidRPr="004A6A43">
        <w:rPr>
          <w:rFonts w:ascii="Open Sans" w:hAnsi="Open Sans" w:cs="Open Sans"/>
          <w:sz w:val="20"/>
          <w:szCs w:val="20"/>
        </w:rPr>
        <w:t>es and</w:t>
      </w:r>
      <w:r w:rsidR="00037720">
        <w:rPr>
          <w:rFonts w:ascii="Open Sans" w:hAnsi="Open Sans" w:cs="Open Sans"/>
          <w:sz w:val="20"/>
          <w:szCs w:val="20"/>
        </w:rPr>
        <w:t xml:space="preserve"> concern that</w:t>
      </w:r>
      <w:r w:rsidR="003403FB" w:rsidRPr="004A6A43">
        <w:rPr>
          <w:rFonts w:ascii="Open Sans" w:hAnsi="Open Sans" w:cs="Open Sans"/>
          <w:sz w:val="20"/>
          <w:szCs w:val="20"/>
        </w:rPr>
        <w:t xml:space="preserve"> setting a prescriptive efficiency at the </w:t>
      </w:r>
      <w:r w:rsidR="00F71C57" w:rsidRPr="004A6A43">
        <w:rPr>
          <w:rFonts w:ascii="Open Sans" w:hAnsi="Open Sans" w:cs="Open Sans"/>
          <w:sz w:val="20"/>
          <w:szCs w:val="20"/>
        </w:rPr>
        <w:t>eligibility</w:t>
      </w:r>
      <w:r w:rsidR="003403FB" w:rsidRPr="004A6A43">
        <w:rPr>
          <w:rFonts w:ascii="Open Sans" w:hAnsi="Open Sans" w:cs="Open Sans"/>
          <w:sz w:val="20"/>
          <w:szCs w:val="20"/>
        </w:rPr>
        <w:t xml:space="preserve"> stage could unintentionally disadvantage specific technolog</w:t>
      </w:r>
      <w:r w:rsidR="00390EB6" w:rsidRPr="004A6A43">
        <w:rPr>
          <w:rFonts w:ascii="Open Sans" w:hAnsi="Open Sans" w:cs="Open Sans"/>
          <w:sz w:val="20"/>
          <w:szCs w:val="20"/>
        </w:rPr>
        <w:t>y types</w:t>
      </w:r>
      <w:r w:rsidR="003403FB" w:rsidRPr="004A6A43">
        <w:rPr>
          <w:rFonts w:ascii="Open Sans" w:hAnsi="Open Sans" w:cs="Open Sans"/>
          <w:sz w:val="20"/>
          <w:szCs w:val="20"/>
        </w:rPr>
        <w:t xml:space="preserve"> and </w:t>
      </w:r>
      <w:r w:rsidR="00390EB6" w:rsidRPr="004A6A43">
        <w:rPr>
          <w:rFonts w:ascii="Open Sans" w:hAnsi="Open Sans" w:cs="Open Sans"/>
          <w:sz w:val="20"/>
          <w:szCs w:val="20"/>
        </w:rPr>
        <w:t xml:space="preserve">could </w:t>
      </w:r>
      <w:r w:rsidR="003403FB" w:rsidRPr="004A6A43">
        <w:rPr>
          <w:rFonts w:ascii="Open Sans" w:hAnsi="Open Sans" w:cs="Open Sans"/>
          <w:sz w:val="20"/>
          <w:szCs w:val="20"/>
        </w:rPr>
        <w:t xml:space="preserve">potentially </w:t>
      </w:r>
      <w:r w:rsidR="00F71C57" w:rsidRPr="004A6A43">
        <w:rPr>
          <w:rFonts w:ascii="Open Sans" w:hAnsi="Open Sans" w:cs="Open Sans"/>
          <w:sz w:val="20"/>
          <w:szCs w:val="20"/>
        </w:rPr>
        <w:t xml:space="preserve">exclude novel </w:t>
      </w:r>
      <w:r w:rsidR="00037720">
        <w:rPr>
          <w:rFonts w:ascii="Open Sans" w:hAnsi="Open Sans" w:cs="Open Sans"/>
          <w:sz w:val="20"/>
          <w:szCs w:val="20"/>
        </w:rPr>
        <w:t xml:space="preserve">approaches. </w:t>
      </w:r>
      <w:r w:rsidR="00F71C57" w:rsidRPr="004A6A43">
        <w:rPr>
          <w:rFonts w:ascii="Open Sans" w:hAnsi="Open Sans" w:cs="Open Sans"/>
          <w:sz w:val="20"/>
          <w:szCs w:val="20"/>
        </w:rPr>
        <w:t xml:space="preserve"> </w:t>
      </w:r>
    </w:p>
    <w:p w14:paraId="6AE2C178" w14:textId="77777777" w:rsidR="00F71C57" w:rsidRPr="004A6A43" w:rsidRDefault="00F71C57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</w:p>
    <w:p w14:paraId="32650CA8" w14:textId="0D6E9DD3" w:rsidR="00D5217A" w:rsidRPr="004A6A43" w:rsidRDefault="00D336D9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4A6A43">
        <w:rPr>
          <w:rFonts w:ascii="Open Sans" w:hAnsi="Open Sans" w:cs="Open Sans"/>
          <w:sz w:val="20"/>
          <w:szCs w:val="20"/>
        </w:rPr>
        <w:t xml:space="preserve">However, we do recognise that </w:t>
      </w:r>
      <w:r w:rsidR="00554664" w:rsidRPr="004A6A43">
        <w:rPr>
          <w:rFonts w:ascii="Open Sans" w:hAnsi="Open Sans" w:cs="Open Sans"/>
          <w:sz w:val="20"/>
          <w:szCs w:val="20"/>
        </w:rPr>
        <w:t>it</w:t>
      </w:r>
      <w:r w:rsidRPr="004A6A43">
        <w:rPr>
          <w:rFonts w:ascii="Open Sans" w:hAnsi="Open Sans" w:cs="Open Sans"/>
          <w:sz w:val="20"/>
          <w:szCs w:val="20"/>
        </w:rPr>
        <w:t xml:space="preserve"> could be </w:t>
      </w:r>
      <w:r w:rsidR="00D5217A" w:rsidRPr="004A6A43">
        <w:rPr>
          <w:rFonts w:ascii="Open Sans" w:hAnsi="Open Sans" w:cs="Open Sans"/>
          <w:sz w:val="20"/>
          <w:szCs w:val="20"/>
        </w:rPr>
        <w:t xml:space="preserve">appropriate to set an </w:t>
      </w:r>
      <w:r w:rsidR="00390EB6" w:rsidRPr="004A6A43">
        <w:rPr>
          <w:rFonts w:ascii="Open Sans" w:hAnsi="Open Sans" w:cs="Open Sans"/>
          <w:sz w:val="20"/>
          <w:szCs w:val="20"/>
        </w:rPr>
        <w:t>operational</w:t>
      </w:r>
      <w:r w:rsidR="00D5217A" w:rsidRPr="004A6A43">
        <w:rPr>
          <w:rFonts w:ascii="Open Sans" w:hAnsi="Open Sans" w:cs="Open Sans"/>
          <w:sz w:val="20"/>
          <w:szCs w:val="20"/>
        </w:rPr>
        <w:t xml:space="preserve"> efficiency as part of the</w:t>
      </w:r>
      <w:r w:rsidR="004A6A43">
        <w:rPr>
          <w:rFonts w:ascii="Open Sans" w:hAnsi="Open Sans" w:cs="Open Sans"/>
          <w:sz w:val="20"/>
          <w:szCs w:val="20"/>
        </w:rPr>
        <w:t xml:space="preserve"> bi-lateral negotiation </w:t>
      </w:r>
      <w:r w:rsidR="00971018">
        <w:rPr>
          <w:rFonts w:ascii="Open Sans" w:hAnsi="Open Sans" w:cs="Open Sans"/>
          <w:sz w:val="20"/>
          <w:szCs w:val="20"/>
        </w:rPr>
        <w:t>for contracts</w:t>
      </w:r>
      <w:r w:rsidR="00FC6ED3">
        <w:rPr>
          <w:rFonts w:ascii="Open Sans" w:hAnsi="Open Sans" w:cs="Open Sans"/>
          <w:sz w:val="20"/>
          <w:szCs w:val="20"/>
        </w:rPr>
        <w:t>. This</w:t>
      </w:r>
      <w:r w:rsidR="00971018">
        <w:rPr>
          <w:rFonts w:ascii="Open Sans" w:hAnsi="Open Sans" w:cs="Open Sans"/>
          <w:sz w:val="20"/>
          <w:szCs w:val="20"/>
        </w:rPr>
        <w:t xml:space="preserve"> can then be set appropriate</w:t>
      </w:r>
      <w:r w:rsidR="00FC6ED3">
        <w:rPr>
          <w:rFonts w:ascii="Open Sans" w:hAnsi="Open Sans" w:cs="Open Sans"/>
          <w:sz w:val="20"/>
          <w:szCs w:val="20"/>
        </w:rPr>
        <w:t>ly</w:t>
      </w:r>
      <w:r w:rsidR="00971018">
        <w:rPr>
          <w:rFonts w:ascii="Open Sans" w:hAnsi="Open Sans" w:cs="Open Sans"/>
          <w:sz w:val="20"/>
          <w:szCs w:val="20"/>
        </w:rPr>
        <w:t xml:space="preserve"> to the project and </w:t>
      </w:r>
      <w:proofErr w:type="gramStart"/>
      <w:r w:rsidR="00434402">
        <w:rPr>
          <w:rFonts w:ascii="Open Sans" w:hAnsi="Open Sans" w:cs="Open Sans"/>
          <w:sz w:val="20"/>
          <w:szCs w:val="20"/>
        </w:rPr>
        <w:lastRenderedPageBreak/>
        <w:t>technology</w:t>
      </w:r>
      <w:r w:rsidR="004C7D78">
        <w:rPr>
          <w:rFonts w:ascii="Open Sans" w:hAnsi="Open Sans" w:cs="Open Sans"/>
          <w:sz w:val="20"/>
          <w:szCs w:val="20"/>
        </w:rPr>
        <w:t>.</w:t>
      </w:r>
      <w:r w:rsidR="00434402">
        <w:rPr>
          <w:rFonts w:ascii="Open Sans" w:hAnsi="Open Sans" w:cs="Open Sans"/>
          <w:sz w:val="20"/>
          <w:szCs w:val="20"/>
        </w:rPr>
        <w:t>.</w:t>
      </w:r>
      <w:proofErr w:type="gramEnd"/>
      <w:r w:rsidR="00434402">
        <w:rPr>
          <w:rFonts w:ascii="Open Sans" w:hAnsi="Open Sans" w:cs="Open Sans"/>
          <w:sz w:val="20"/>
          <w:szCs w:val="20"/>
        </w:rPr>
        <w:t xml:space="preserve"> This will then also still provide confidence to </w:t>
      </w:r>
      <w:r w:rsidR="004E3B23">
        <w:rPr>
          <w:rFonts w:ascii="Open Sans" w:hAnsi="Open Sans" w:cs="Open Sans"/>
          <w:sz w:val="20"/>
          <w:szCs w:val="20"/>
        </w:rPr>
        <w:t>G</w:t>
      </w:r>
      <w:r w:rsidR="00434402">
        <w:rPr>
          <w:rFonts w:ascii="Open Sans" w:hAnsi="Open Sans" w:cs="Open Sans"/>
          <w:sz w:val="20"/>
          <w:szCs w:val="20"/>
        </w:rPr>
        <w:t xml:space="preserve">overnment that awarded contracts will still represent value for money and deliver high quality projects. </w:t>
      </w:r>
    </w:p>
    <w:p w14:paraId="37C50858" w14:textId="77777777" w:rsidR="00D5217A" w:rsidRDefault="00D5217A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1BC9BAC2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11. Do you agree with the proposed approach to splitting the streams by TRL level?</w:t>
      </w:r>
    </w:p>
    <w:p w14:paraId="250E5807" w14:textId="77777777" w:rsid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Please provide your reasoning. If not, please suggest an alternative approach.</w:t>
      </w:r>
    </w:p>
    <w:p w14:paraId="238A9234" w14:textId="77777777" w:rsidR="00C565ED" w:rsidRDefault="00C565ED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7B217990" w14:textId="1E20ED0B" w:rsidR="00B70262" w:rsidRDefault="00B70262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Yes, o</w:t>
      </w:r>
      <w:r w:rsidR="00A23FB8" w:rsidRPr="00BF1D7E">
        <w:rPr>
          <w:rFonts w:ascii="Open Sans" w:hAnsi="Open Sans" w:cs="Open Sans"/>
          <w:sz w:val="20"/>
          <w:szCs w:val="20"/>
        </w:rPr>
        <w:t>verall,</w:t>
      </w:r>
      <w:r w:rsidR="00AD4CB7" w:rsidRPr="00BF1D7E">
        <w:rPr>
          <w:rFonts w:ascii="Open Sans" w:hAnsi="Open Sans" w:cs="Open Sans"/>
          <w:sz w:val="20"/>
          <w:szCs w:val="20"/>
        </w:rPr>
        <w:t xml:space="preserve"> we support the approach of splitting </w:t>
      </w:r>
      <w:r w:rsidR="0097184E" w:rsidRPr="00BF1D7E">
        <w:rPr>
          <w:rFonts w:ascii="Open Sans" w:hAnsi="Open Sans" w:cs="Open Sans"/>
          <w:sz w:val="20"/>
          <w:szCs w:val="20"/>
        </w:rPr>
        <w:t>the streams,</w:t>
      </w:r>
      <w:r w:rsidR="00F44744">
        <w:rPr>
          <w:rFonts w:ascii="Open Sans" w:hAnsi="Open Sans" w:cs="Open Sans"/>
          <w:sz w:val="20"/>
          <w:szCs w:val="20"/>
        </w:rPr>
        <w:t xml:space="preserve"> </w:t>
      </w:r>
      <w:r w:rsidR="00366EAE">
        <w:rPr>
          <w:rFonts w:ascii="Open Sans" w:hAnsi="Open Sans" w:cs="Open Sans"/>
          <w:sz w:val="20"/>
          <w:szCs w:val="20"/>
        </w:rPr>
        <w:t>recognising</w:t>
      </w:r>
      <w:r w:rsidR="00F44744">
        <w:rPr>
          <w:rFonts w:ascii="Open Sans" w:hAnsi="Open Sans" w:cs="Open Sans"/>
          <w:sz w:val="20"/>
          <w:szCs w:val="20"/>
        </w:rPr>
        <w:t xml:space="preserve"> an intention to ensure </w:t>
      </w:r>
      <w:r w:rsidR="00366EAE">
        <w:rPr>
          <w:rFonts w:ascii="Open Sans" w:hAnsi="Open Sans" w:cs="Open Sans"/>
          <w:sz w:val="20"/>
          <w:szCs w:val="20"/>
        </w:rPr>
        <w:t>both novel and established technologies will have a route to market</w:t>
      </w:r>
      <w:r w:rsidR="002E2AF4">
        <w:rPr>
          <w:rFonts w:ascii="Open Sans" w:hAnsi="Open Sans" w:cs="Open Sans"/>
          <w:sz w:val="20"/>
          <w:szCs w:val="20"/>
        </w:rPr>
        <w:t>. However</w:t>
      </w:r>
      <w:r w:rsidR="00910F10">
        <w:rPr>
          <w:rFonts w:ascii="Open Sans" w:hAnsi="Open Sans" w:cs="Open Sans"/>
          <w:sz w:val="20"/>
          <w:szCs w:val="20"/>
        </w:rPr>
        <w:t>,</w:t>
      </w:r>
      <w:r>
        <w:rPr>
          <w:rFonts w:ascii="Open Sans" w:hAnsi="Open Sans" w:cs="Open Sans"/>
          <w:sz w:val="20"/>
          <w:szCs w:val="20"/>
        </w:rPr>
        <w:t xml:space="preserve"> we note that </w:t>
      </w:r>
      <w:r w:rsidR="0097184E" w:rsidRPr="00BF1D7E">
        <w:rPr>
          <w:rFonts w:ascii="Open Sans" w:hAnsi="Open Sans" w:cs="Open Sans"/>
          <w:sz w:val="20"/>
          <w:szCs w:val="20"/>
        </w:rPr>
        <w:t>the consultation lack</w:t>
      </w:r>
      <w:r>
        <w:rPr>
          <w:rFonts w:ascii="Open Sans" w:hAnsi="Open Sans" w:cs="Open Sans"/>
          <w:sz w:val="20"/>
          <w:szCs w:val="20"/>
        </w:rPr>
        <w:t>s</w:t>
      </w:r>
      <w:r w:rsidR="0097184E" w:rsidRPr="00BF1D7E">
        <w:rPr>
          <w:rFonts w:ascii="Open Sans" w:hAnsi="Open Sans" w:cs="Open Sans"/>
          <w:sz w:val="20"/>
          <w:szCs w:val="20"/>
        </w:rPr>
        <w:t xml:space="preserve"> detail </w:t>
      </w:r>
      <w:proofErr w:type="gramStart"/>
      <w:r w:rsidR="00366EAE" w:rsidRPr="00BF1D7E">
        <w:rPr>
          <w:rFonts w:ascii="Open Sans" w:hAnsi="Open Sans" w:cs="Open Sans"/>
          <w:sz w:val="20"/>
          <w:szCs w:val="20"/>
        </w:rPr>
        <w:t>in regard to</w:t>
      </w:r>
      <w:proofErr w:type="gramEnd"/>
      <w:r w:rsidR="0097184E" w:rsidRPr="00BF1D7E">
        <w:rPr>
          <w:rFonts w:ascii="Open Sans" w:hAnsi="Open Sans" w:cs="Open Sans"/>
          <w:sz w:val="20"/>
          <w:szCs w:val="20"/>
        </w:rPr>
        <w:t xml:space="preserve"> what Government is really trying to achieve by doing this.  </w:t>
      </w:r>
    </w:p>
    <w:p w14:paraId="3FF284FB" w14:textId="77777777" w:rsidR="00B70262" w:rsidRDefault="00B70262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</w:p>
    <w:p w14:paraId="02BF8A6F" w14:textId="602BC009" w:rsidR="00096683" w:rsidRDefault="0097184E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BF1D7E">
        <w:rPr>
          <w:rFonts w:ascii="Open Sans" w:hAnsi="Open Sans" w:cs="Open Sans"/>
          <w:sz w:val="20"/>
          <w:szCs w:val="20"/>
        </w:rPr>
        <w:t>It is not clear how government spending will be split between the streams, or what exactly will be needed to demonstrate</w:t>
      </w:r>
      <w:r w:rsidR="00B70262">
        <w:rPr>
          <w:rFonts w:ascii="Open Sans" w:hAnsi="Open Sans" w:cs="Open Sans"/>
          <w:sz w:val="20"/>
          <w:szCs w:val="20"/>
        </w:rPr>
        <w:t xml:space="preserve"> applicable TRL levels. This could lead to confusion in the market, and inconsistencies in how different technologies present themselves</w:t>
      </w:r>
      <w:r w:rsidR="006C0864">
        <w:rPr>
          <w:rFonts w:ascii="Open Sans" w:hAnsi="Open Sans" w:cs="Open Sans"/>
          <w:sz w:val="20"/>
          <w:szCs w:val="20"/>
        </w:rPr>
        <w:t xml:space="preserve">. </w:t>
      </w:r>
      <w:r w:rsidR="00096683">
        <w:rPr>
          <w:rFonts w:ascii="Open Sans" w:hAnsi="Open Sans" w:cs="Open Sans"/>
          <w:sz w:val="20"/>
          <w:szCs w:val="20"/>
        </w:rPr>
        <w:t xml:space="preserve">In addition, it would be helpful to understand the intended process for how a technology might be assessed as </w:t>
      </w:r>
      <w:r w:rsidR="00EA591D">
        <w:rPr>
          <w:rFonts w:ascii="Open Sans" w:hAnsi="Open Sans" w:cs="Open Sans"/>
          <w:sz w:val="20"/>
          <w:szCs w:val="20"/>
        </w:rPr>
        <w:t xml:space="preserve">graduating from stream 2 to stream 1, and whether this would apply </w:t>
      </w:r>
      <w:r w:rsidR="008E63EA">
        <w:rPr>
          <w:rFonts w:ascii="Open Sans" w:hAnsi="Open Sans" w:cs="Open Sans"/>
          <w:sz w:val="20"/>
          <w:szCs w:val="20"/>
        </w:rPr>
        <w:t xml:space="preserve">to a </w:t>
      </w:r>
      <w:r w:rsidR="00EA591D">
        <w:rPr>
          <w:rFonts w:ascii="Open Sans" w:hAnsi="Open Sans" w:cs="Open Sans"/>
          <w:sz w:val="20"/>
          <w:szCs w:val="20"/>
        </w:rPr>
        <w:t xml:space="preserve">specific </w:t>
      </w:r>
      <w:r w:rsidR="008E63EA">
        <w:rPr>
          <w:rFonts w:ascii="Open Sans" w:hAnsi="Open Sans" w:cs="Open Sans"/>
          <w:sz w:val="20"/>
          <w:szCs w:val="20"/>
        </w:rPr>
        <w:t>applicant</w:t>
      </w:r>
      <w:r w:rsidR="00EA591D">
        <w:rPr>
          <w:rFonts w:ascii="Open Sans" w:hAnsi="Open Sans" w:cs="Open Sans"/>
          <w:sz w:val="20"/>
          <w:szCs w:val="20"/>
        </w:rPr>
        <w:t xml:space="preserve"> or to all projects using the same technology. </w:t>
      </w:r>
    </w:p>
    <w:p w14:paraId="54835E7E" w14:textId="77777777" w:rsidR="00096683" w:rsidRDefault="00096683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</w:p>
    <w:p w14:paraId="5808278C" w14:textId="1B919794" w:rsidR="00AD4CB7" w:rsidRPr="00BF1D7E" w:rsidRDefault="006C0864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As such</w:t>
      </w:r>
      <w:r w:rsidR="003F6398">
        <w:rPr>
          <w:rFonts w:ascii="Open Sans" w:hAnsi="Open Sans" w:cs="Open Sans"/>
          <w:sz w:val="20"/>
          <w:szCs w:val="20"/>
        </w:rPr>
        <w:t>,</w:t>
      </w:r>
      <w:r>
        <w:rPr>
          <w:rFonts w:ascii="Open Sans" w:hAnsi="Open Sans" w:cs="Open Sans"/>
          <w:sz w:val="20"/>
          <w:szCs w:val="20"/>
        </w:rPr>
        <w:t xml:space="preserve"> it is not </w:t>
      </w:r>
      <w:r w:rsidR="008E63EA">
        <w:rPr>
          <w:rFonts w:ascii="Open Sans" w:hAnsi="Open Sans" w:cs="Open Sans"/>
          <w:sz w:val="20"/>
          <w:szCs w:val="20"/>
        </w:rPr>
        <w:t xml:space="preserve">yet clear </w:t>
      </w:r>
      <w:r>
        <w:rPr>
          <w:rFonts w:ascii="Open Sans" w:hAnsi="Open Sans" w:cs="Open Sans"/>
          <w:sz w:val="20"/>
          <w:szCs w:val="20"/>
        </w:rPr>
        <w:t xml:space="preserve">as to whether the two streams will really help novel technologies come to </w:t>
      </w:r>
      <w:r w:rsidR="0000392F">
        <w:rPr>
          <w:rFonts w:ascii="Open Sans" w:hAnsi="Open Sans" w:cs="Open Sans"/>
          <w:sz w:val="20"/>
          <w:szCs w:val="20"/>
        </w:rPr>
        <w:t>market or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D077E3">
        <w:rPr>
          <w:rFonts w:ascii="Open Sans" w:hAnsi="Open Sans" w:cs="Open Sans"/>
          <w:sz w:val="20"/>
          <w:szCs w:val="20"/>
        </w:rPr>
        <w:t xml:space="preserve">whether this will </w:t>
      </w:r>
      <w:r w:rsidR="003F6398">
        <w:rPr>
          <w:rFonts w:ascii="Open Sans" w:hAnsi="Open Sans" w:cs="Open Sans"/>
          <w:sz w:val="20"/>
          <w:szCs w:val="20"/>
        </w:rPr>
        <w:t>prioritise funding for</w:t>
      </w:r>
      <w:r>
        <w:rPr>
          <w:rFonts w:ascii="Open Sans" w:hAnsi="Open Sans" w:cs="Open Sans"/>
          <w:sz w:val="20"/>
          <w:szCs w:val="20"/>
        </w:rPr>
        <w:t xml:space="preserve"> more established approaches.</w:t>
      </w:r>
      <w:r w:rsidR="0000392F">
        <w:rPr>
          <w:rFonts w:ascii="Open Sans" w:hAnsi="Open Sans" w:cs="Open Sans"/>
          <w:sz w:val="20"/>
          <w:szCs w:val="20"/>
        </w:rPr>
        <w:t xml:space="preserve"> Both these outcomes do not need to be mutually exclusive</w:t>
      </w:r>
      <w:r w:rsidR="00924F82">
        <w:rPr>
          <w:rFonts w:ascii="Open Sans" w:hAnsi="Open Sans" w:cs="Open Sans"/>
          <w:sz w:val="20"/>
          <w:szCs w:val="20"/>
        </w:rPr>
        <w:t>,</w:t>
      </w:r>
      <w:r w:rsidR="0000392F">
        <w:rPr>
          <w:rFonts w:ascii="Open Sans" w:hAnsi="Open Sans" w:cs="Open Sans"/>
          <w:sz w:val="20"/>
          <w:szCs w:val="20"/>
        </w:rPr>
        <w:t xml:space="preserve"> if the streams are well designed</w:t>
      </w:r>
      <w:r w:rsidR="00924F82">
        <w:rPr>
          <w:rFonts w:ascii="Open Sans" w:hAnsi="Open Sans" w:cs="Open Sans"/>
          <w:sz w:val="20"/>
          <w:szCs w:val="20"/>
        </w:rPr>
        <w:t xml:space="preserve">, </w:t>
      </w:r>
      <w:r w:rsidR="0000392F">
        <w:rPr>
          <w:rFonts w:ascii="Open Sans" w:hAnsi="Open Sans" w:cs="Open Sans"/>
          <w:sz w:val="20"/>
          <w:szCs w:val="20"/>
        </w:rPr>
        <w:t>but f</w:t>
      </w:r>
      <w:r w:rsidR="00F44744">
        <w:rPr>
          <w:rFonts w:ascii="Open Sans" w:hAnsi="Open Sans" w:cs="Open Sans"/>
          <w:sz w:val="20"/>
          <w:szCs w:val="20"/>
        </w:rPr>
        <w:t xml:space="preserve">urther detail is really needed to understand how </w:t>
      </w:r>
      <w:r w:rsidR="00924F82">
        <w:rPr>
          <w:rFonts w:ascii="Open Sans" w:hAnsi="Open Sans" w:cs="Open Sans"/>
          <w:sz w:val="20"/>
          <w:szCs w:val="20"/>
        </w:rPr>
        <w:t>they</w:t>
      </w:r>
      <w:r w:rsidR="00F44744">
        <w:rPr>
          <w:rFonts w:ascii="Open Sans" w:hAnsi="Open Sans" w:cs="Open Sans"/>
          <w:sz w:val="20"/>
          <w:szCs w:val="20"/>
        </w:rPr>
        <w:t xml:space="preserve"> will operate</w:t>
      </w:r>
      <w:r w:rsidR="003E3EC9">
        <w:rPr>
          <w:rFonts w:ascii="Open Sans" w:hAnsi="Open Sans" w:cs="Open Sans"/>
          <w:sz w:val="20"/>
          <w:szCs w:val="20"/>
        </w:rPr>
        <w:t>.</w:t>
      </w:r>
      <w:r w:rsidR="00F44744">
        <w:rPr>
          <w:rFonts w:ascii="Open Sans" w:hAnsi="Open Sans" w:cs="Open Sans"/>
          <w:sz w:val="20"/>
          <w:szCs w:val="20"/>
        </w:rPr>
        <w:t xml:space="preserve"> </w:t>
      </w:r>
    </w:p>
    <w:p w14:paraId="46005903" w14:textId="77777777" w:rsidR="0000392F" w:rsidRDefault="0000392F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3253DD2F" w14:textId="3EBBCEFB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12. Do you agree with the different capacity minima set out for the streams? Please</w:t>
      </w:r>
    </w:p>
    <w:p w14:paraId="56592957" w14:textId="77777777" w:rsid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provide your reasoning.</w:t>
      </w:r>
    </w:p>
    <w:p w14:paraId="7F9DD612" w14:textId="77777777" w:rsidR="00A9654B" w:rsidRDefault="00A9654B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15519D66" w14:textId="6CB0DBE8" w:rsidR="00C911F4" w:rsidRPr="00735DA8" w:rsidRDefault="00CC6C1D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W</w:t>
      </w:r>
      <w:r w:rsidR="00C911F4" w:rsidRPr="00735DA8">
        <w:rPr>
          <w:rFonts w:ascii="Open Sans" w:hAnsi="Open Sans" w:cs="Open Sans"/>
          <w:sz w:val="20"/>
          <w:szCs w:val="20"/>
        </w:rPr>
        <w:t xml:space="preserve">e see the </w:t>
      </w:r>
      <w:r w:rsidR="00735DA8" w:rsidRPr="00735DA8">
        <w:rPr>
          <w:rFonts w:ascii="Open Sans" w:hAnsi="Open Sans" w:cs="Open Sans"/>
          <w:sz w:val="20"/>
          <w:szCs w:val="20"/>
        </w:rPr>
        <w:t>capacity</w:t>
      </w:r>
      <w:r w:rsidR="00C911F4" w:rsidRPr="00735DA8">
        <w:rPr>
          <w:rFonts w:ascii="Open Sans" w:hAnsi="Open Sans" w:cs="Open Sans"/>
          <w:sz w:val="20"/>
          <w:szCs w:val="20"/>
        </w:rPr>
        <w:t xml:space="preserve"> minima of </w:t>
      </w:r>
      <w:r w:rsidR="00EA44D9" w:rsidRPr="00735DA8">
        <w:rPr>
          <w:rFonts w:ascii="Open Sans" w:hAnsi="Open Sans" w:cs="Open Sans"/>
          <w:sz w:val="20"/>
          <w:szCs w:val="20"/>
        </w:rPr>
        <w:t>100 MW for established technologies</w:t>
      </w:r>
      <w:r>
        <w:rPr>
          <w:rFonts w:ascii="Open Sans" w:hAnsi="Open Sans" w:cs="Open Sans"/>
          <w:sz w:val="20"/>
          <w:szCs w:val="20"/>
        </w:rPr>
        <w:t xml:space="preserve"> as </w:t>
      </w:r>
      <w:r w:rsidR="006553EA">
        <w:rPr>
          <w:rFonts w:ascii="Open Sans" w:hAnsi="Open Sans" w:cs="Open Sans"/>
          <w:sz w:val="20"/>
          <w:szCs w:val="20"/>
        </w:rPr>
        <w:t>appropriate but</w:t>
      </w:r>
      <w:r>
        <w:rPr>
          <w:rFonts w:ascii="Open Sans" w:hAnsi="Open Sans" w:cs="Open Sans"/>
          <w:sz w:val="20"/>
          <w:szCs w:val="20"/>
        </w:rPr>
        <w:t xml:space="preserve"> suggest that </w:t>
      </w:r>
      <w:r w:rsidR="002245A9">
        <w:rPr>
          <w:rFonts w:ascii="Open Sans" w:hAnsi="Open Sans" w:cs="Open Sans"/>
          <w:sz w:val="20"/>
          <w:szCs w:val="20"/>
        </w:rPr>
        <w:t>G</w:t>
      </w:r>
      <w:r w:rsidR="009F64AE">
        <w:rPr>
          <w:rFonts w:ascii="Open Sans" w:hAnsi="Open Sans" w:cs="Open Sans"/>
          <w:sz w:val="20"/>
          <w:szCs w:val="20"/>
        </w:rPr>
        <w:t>overnment</w:t>
      </w:r>
      <w:r>
        <w:rPr>
          <w:rFonts w:ascii="Open Sans" w:hAnsi="Open Sans" w:cs="Open Sans"/>
          <w:sz w:val="20"/>
          <w:szCs w:val="20"/>
        </w:rPr>
        <w:t xml:space="preserve"> should consider being more </w:t>
      </w:r>
      <w:r w:rsidR="009F64AE">
        <w:rPr>
          <w:rFonts w:ascii="Open Sans" w:hAnsi="Open Sans" w:cs="Open Sans"/>
          <w:sz w:val="20"/>
          <w:szCs w:val="20"/>
        </w:rPr>
        <w:t xml:space="preserve">flexible </w:t>
      </w:r>
      <w:r w:rsidR="006553EA">
        <w:rPr>
          <w:rFonts w:ascii="Open Sans" w:hAnsi="Open Sans" w:cs="Open Sans"/>
          <w:sz w:val="20"/>
          <w:szCs w:val="20"/>
        </w:rPr>
        <w:t xml:space="preserve">with </w:t>
      </w:r>
      <w:r w:rsidR="006553EA" w:rsidRPr="00735DA8">
        <w:rPr>
          <w:rFonts w:ascii="Open Sans" w:hAnsi="Open Sans" w:cs="Open Sans"/>
          <w:sz w:val="20"/>
          <w:szCs w:val="20"/>
        </w:rPr>
        <w:t>novel</w:t>
      </w:r>
      <w:r w:rsidR="00EA44D9" w:rsidRPr="00735DA8">
        <w:rPr>
          <w:rFonts w:ascii="Open Sans" w:hAnsi="Open Sans" w:cs="Open Sans"/>
          <w:sz w:val="20"/>
          <w:szCs w:val="20"/>
        </w:rPr>
        <w:t xml:space="preserve"> technologies</w:t>
      </w:r>
      <w:r w:rsidR="00737524">
        <w:rPr>
          <w:rFonts w:ascii="Open Sans" w:hAnsi="Open Sans" w:cs="Open Sans"/>
          <w:sz w:val="20"/>
          <w:szCs w:val="20"/>
        </w:rPr>
        <w:t xml:space="preserve"> in stream 2</w:t>
      </w:r>
      <w:r w:rsidR="00EA44D9" w:rsidRPr="00735DA8">
        <w:rPr>
          <w:rFonts w:ascii="Open Sans" w:hAnsi="Open Sans" w:cs="Open Sans"/>
          <w:sz w:val="20"/>
          <w:szCs w:val="20"/>
        </w:rPr>
        <w:t>.</w:t>
      </w:r>
      <w:r w:rsidR="009F64AE">
        <w:rPr>
          <w:rFonts w:ascii="Open Sans" w:hAnsi="Open Sans" w:cs="Open Sans"/>
          <w:sz w:val="20"/>
          <w:szCs w:val="20"/>
        </w:rPr>
        <w:t xml:space="preserve"> This would allow smaller novel projects to </w:t>
      </w:r>
      <w:r w:rsidR="006553EA">
        <w:rPr>
          <w:rFonts w:ascii="Open Sans" w:hAnsi="Open Sans" w:cs="Open Sans"/>
          <w:sz w:val="20"/>
          <w:szCs w:val="20"/>
        </w:rPr>
        <w:t>plug gaps in the market, while providing a route to market for</w:t>
      </w:r>
      <w:r w:rsidR="0063086C">
        <w:rPr>
          <w:rFonts w:ascii="Open Sans" w:hAnsi="Open Sans" w:cs="Open Sans"/>
          <w:sz w:val="20"/>
          <w:szCs w:val="20"/>
        </w:rPr>
        <w:t xml:space="preserve"> these</w:t>
      </w:r>
      <w:r w:rsidR="006553EA">
        <w:rPr>
          <w:rFonts w:ascii="Open Sans" w:hAnsi="Open Sans" w:cs="Open Sans"/>
          <w:sz w:val="20"/>
          <w:szCs w:val="20"/>
        </w:rPr>
        <w:t xml:space="preserve"> smaller</w:t>
      </w:r>
      <w:r w:rsidR="0063086C">
        <w:rPr>
          <w:rFonts w:ascii="Open Sans" w:hAnsi="Open Sans" w:cs="Open Sans"/>
          <w:sz w:val="20"/>
          <w:szCs w:val="20"/>
        </w:rPr>
        <w:t xml:space="preserve"> projects</w:t>
      </w:r>
      <w:r w:rsidR="006553EA">
        <w:rPr>
          <w:rFonts w:ascii="Open Sans" w:hAnsi="Open Sans" w:cs="Open Sans"/>
          <w:sz w:val="20"/>
          <w:szCs w:val="20"/>
        </w:rPr>
        <w:t xml:space="preserve">. </w:t>
      </w:r>
      <w:r w:rsidR="00EA44D9" w:rsidRPr="00735DA8">
        <w:rPr>
          <w:rFonts w:ascii="Open Sans" w:hAnsi="Open Sans" w:cs="Open Sans"/>
          <w:sz w:val="20"/>
          <w:szCs w:val="20"/>
        </w:rPr>
        <w:t xml:space="preserve"> This will help ensure sizable and value for money projects, while enabling more novel approaches to </w:t>
      </w:r>
      <w:r w:rsidR="00735DA8" w:rsidRPr="00735DA8">
        <w:rPr>
          <w:rFonts w:ascii="Open Sans" w:hAnsi="Open Sans" w:cs="Open Sans"/>
          <w:sz w:val="20"/>
          <w:szCs w:val="20"/>
        </w:rPr>
        <w:t>become established</w:t>
      </w:r>
      <w:r w:rsidR="00737524">
        <w:rPr>
          <w:rFonts w:ascii="Open Sans" w:hAnsi="Open Sans" w:cs="Open Sans"/>
          <w:sz w:val="20"/>
          <w:szCs w:val="20"/>
        </w:rPr>
        <w:t xml:space="preserve">, </w:t>
      </w:r>
      <w:r w:rsidR="00C12625">
        <w:rPr>
          <w:rFonts w:ascii="Open Sans" w:hAnsi="Open Sans" w:cs="Open Sans"/>
          <w:sz w:val="20"/>
          <w:szCs w:val="20"/>
        </w:rPr>
        <w:t xml:space="preserve">such as those </w:t>
      </w:r>
      <w:r w:rsidR="00737524">
        <w:rPr>
          <w:rFonts w:ascii="Open Sans" w:hAnsi="Open Sans" w:cs="Open Sans"/>
          <w:sz w:val="20"/>
          <w:szCs w:val="20"/>
        </w:rPr>
        <w:t>starting small with the potential for higher capacity delivery in the future.</w:t>
      </w:r>
    </w:p>
    <w:p w14:paraId="2895B660" w14:textId="77777777" w:rsidR="00A9654B" w:rsidRPr="00BD7B08" w:rsidRDefault="00A9654B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3593E392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13. Do you agree that the identified wider system benefits should be considered</w:t>
      </w:r>
    </w:p>
    <w:p w14:paraId="058E2046" w14:textId="77777777" w:rsid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when assessing a project?</w:t>
      </w:r>
    </w:p>
    <w:p w14:paraId="410263AA" w14:textId="77777777" w:rsidR="00735DA8" w:rsidRDefault="00735DA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7D635C33" w14:textId="637F1B00" w:rsidR="00735DA8" w:rsidRPr="00806D96" w:rsidRDefault="00C915E9" w:rsidP="00806D96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C915E9">
        <w:rPr>
          <w:rFonts w:ascii="Open Sans" w:hAnsi="Open Sans" w:cs="Open Sans"/>
          <w:sz w:val="20"/>
          <w:szCs w:val="20"/>
        </w:rPr>
        <w:t>Yes</w:t>
      </w:r>
      <w:r w:rsidR="00E82872">
        <w:rPr>
          <w:rFonts w:ascii="Open Sans" w:hAnsi="Open Sans" w:cs="Open Sans"/>
          <w:sz w:val="20"/>
          <w:szCs w:val="20"/>
        </w:rPr>
        <w:t xml:space="preserve">, </w:t>
      </w:r>
      <w:r w:rsidR="003D0A37">
        <w:rPr>
          <w:rFonts w:ascii="Open Sans" w:hAnsi="Open Sans" w:cs="Open Sans"/>
          <w:sz w:val="20"/>
          <w:szCs w:val="20"/>
        </w:rPr>
        <w:t xml:space="preserve">the identified benefits are </w:t>
      </w:r>
      <w:r w:rsidR="007744B6">
        <w:rPr>
          <w:rFonts w:ascii="Open Sans" w:hAnsi="Open Sans" w:cs="Open Sans"/>
          <w:sz w:val="20"/>
          <w:szCs w:val="20"/>
        </w:rPr>
        <w:t xml:space="preserve">appropriately </w:t>
      </w:r>
      <w:r w:rsidR="00E5348A">
        <w:rPr>
          <w:rFonts w:ascii="Open Sans" w:hAnsi="Open Sans" w:cs="Open Sans"/>
          <w:sz w:val="20"/>
          <w:szCs w:val="20"/>
        </w:rPr>
        <w:t xml:space="preserve">considered when </w:t>
      </w:r>
      <w:r w:rsidR="0012108E">
        <w:rPr>
          <w:rFonts w:ascii="Open Sans" w:hAnsi="Open Sans" w:cs="Open Sans"/>
          <w:sz w:val="20"/>
          <w:szCs w:val="20"/>
        </w:rPr>
        <w:t>assessing the</w:t>
      </w:r>
      <w:r w:rsidR="00E5348A">
        <w:rPr>
          <w:rFonts w:ascii="Open Sans" w:hAnsi="Open Sans" w:cs="Open Sans"/>
          <w:sz w:val="20"/>
          <w:szCs w:val="20"/>
        </w:rPr>
        <w:t xml:space="preserve"> value of a project. </w:t>
      </w:r>
      <w:r w:rsidR="0012108E">
        <w:rPr>
          <w:rFonts w:ascii="Open Sans" w:hAnsi="Open Sans" w:cs="Open Sans"/>
          <w:sz w:val="20"/>
          <w:szCs w:val="20"/>
        </w:rPr>
        <w:t>Further detail will be required to understand how these factors are prioritised</w:t>
      </w:r>
      <w:r w:rsidR="00806D96">
        <w:rPr>
          <w:rFonts w:ascii="Open Sans" w:hAnsi="Open Sans" w:cs="Open Sans"/>
          <w:sz w:val="20"/>
          <w:szCs w:val="20"/>
        </w:rPr>
        <w:t xml:space="preserve"> or weighted</w:t>
      </w:r>
      <w:r w:rsidR="0012108E">
        <w:rPr>
          <w:rFonts w:ascii="Open Sans" w:hAnsi="Open Sans" w:cs="Open Sans"/>
          <w:sz w:val="20"/>
          <w:szCs w:val="20"/>
        </w:rPr>
        <w:t xml:space="preserve"> </w:t>
      </w:r>
      <w:r w:rsidR="003C12F8">
        <w:rPr>
          <w:rFonts w:ascii="Open Sans" w:hAnsi="Open Sans" w:cs="Open Sans"/>
          <w:sz w:val="20"/>
          <w:szCs w:val="20"/>
        </w:rPr>
        <w:t>w</w:t>
      </w:r>
      <w:r w:rsidR="00806D96">
        <w:rPr>
          <w:rFonts w:ascii="Open Sans" w:hAnsi="Open Sans" w:cs="Open Sans"/>
          <w:sz w:val="20"/>
          <w:szCs w:val="20"/>
        </w:rPr>
        <w:t>hen assessing a project, especially if they are used to determine which application</w:t>
      </w:r>
      <w:r w:rsidR="003C12F8">
        <w:rPr>
          <w:rFonts w:ascii="Open Sans" w:hAnsi="Open Sans" w:cs="Open Sans"/>
          <w:sz w:val="20"/>
          <w:szCs w:val="20"/>
        </w:rPr>
        <w:t>s</w:t>
      </w:r>
      <w:r w:rsidR="00806D96">
        <w:rPr>
          <w:rFonts w:ascii="Open Sans" w:hAnsi="Open Sans" w:cs="Open Sans"/>
          <w:sz w:val="20"/>
          <w:szCs w:val="20"/>
        </w:rPr>
        <w:t xml:space="preserve"> are awarded through the administration process. </w:t>
      </w:r>
    </w:p>
    <w:p w14:paraId="39C55D3D" w14:textId="77777777" w:rsidR="00C915E9" w:rsidRPr="00BD7B08" w:rsidRDefault="00C915E9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3878D4CD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 xml:space="preserve">14. Would an approach </w:t>
      </w:r>
      <w:proofErr w:type="gramStart"/>
      <w:r w:rsidRPr="00BD7B08">
        <w:rPr>
          <w:rFonts w:ascii="Open Sans" w:hAnsi="Open Sans" w:cs="Open Sans"/>
          <w:b/>
          <w:bCs/>
          <w:sz w:val="20"/>
          <w:szCs w:val="20"/>
        </w:rPr>
        <w:t>similar to</w:t>
      </w:r>
      <w:proofErr w:type="gramEnd"/>
      <w:r w:rsidRPr="00BD7B08">
        <w:rPr>
          <w:rFonts w:ascii="Open Sans" w:hAnsi="Open Sans" w:cs="Open Sans"/>
          <w:b/>
          <w:bCs/>
          <w:sz w:val="20"/>
          <w:szCs w:val="20"/>
        </w:rPr>
        <w:t xml:space="preserve"> that of the interconnector scheme be appropriate?</w:t>
      </w:r>
    </w:p>
    <w:p w14:paraId="0E889F3B" w14:textId="06977FE0" w:rsidR="00BD7B08" w:rsidRDefault="00C12625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I</w:t>
      </w:r>
      <w:r w:rsidR="00BD7B08" w:rsidRPr="00BD7B08">
        <w:rPr>
          <w:rFonts w:ascii="Open Sans" w:hAnsi="Open Sans" w:cs="Open Sans"/>
          <w:b/>
          <w:bCs/>
          <w:sz w:val="20"/>
          <w:szCs w:val="20"/>
        </w:rPr>
        <w:t xml:space="preserve">f </w:t>
      </w:r>
      <w:proofErr w:type="gramStart"/>
      <w:r w:rsidR="00BD7B08" w:rsidRPr="00BD7B08">
        <w:rPr>
          <w:rFonts w:ascii="Open Sans" w:hAnsi="Open Sans" w:cs="Open Sans"/>
          <w:b/>
          <w:bCs/>
          <w:sz w:val="20"/>
          <w:szCs w:val="20"/>
        </w:rPr>
        <w:t>not</w:t>
      </w:r>
      <w:proofErr w:type="gramEnd"/>
      <w:r w:rsidR="00BD7B08" w:rsidRPr="00BD7B08">
        <w:rPr>
          <w:rFonts w:ascii="Open Sans" w:hAnsi="Open Sans" w:cs="Open Sans"/>
          <w:b/>
          <w:bCs/>
          <w:sz w:val="20"/>
          <w:szCs w:val="20"/>
        </w:rPr>
        <w:t xml:space="preserve"> what alternative would you suggest?</w:t>
      </w:r>
    </w:p>
    <w:p w14:paraId="03F5AB97" w14:textId="77777777" w:rsidR="00AF2C56" w:rsidRDefault="00AF2C56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499CE267" w14:textId="38757461" w:rsidR="0071402A" w:rsidRDefault="00806D96" w:rsidP="00E82872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It is sensible to use a similar process </w:t>
      </w:r>
      <w:r w:rsidR="00A742F4">
        <w:rPr>
          <w:rFonts w:ascii="Open Sans" w:hAnsi="Open Sans" w:cs="Open Sans"/>
          <w:sz w:val="20"/>
          <w:szCs w:val="20"/>
        </w:rPr>
        <w:t>to that of the interconnect</w:t>
      </w:r>
      <w:r w:rsidR="00E5099C">
        <w:rPr>
          <w:rFonts w:ascii="Open Sans" w:hAnsi="Open Sans" w:cs="Open Sans"/>
          <w:sz w:val="20"/>
          <w:szCs w:val="20"/>
        </w:rPr>
        <w:t>or</w:t>
      </w:r>
      <w:r w:rsidR="00A742F4">
        <w:rPr>
          <w:rFonts w:ascii="Open Sans" w:hAnsi="Open Sans" w:cs="Open Sans"/>
          <w:sz w:val="20"/>
          <w:szCs w:val="20"/>
        </w:rPr>
        <w:t xml:space="preserve"> scheme</w:t>
      </w:r>
      <w:r w:rsidR="00825B5E">
        <w:rPr>
          <w:rFonts w:ascii="Open Sans" w:hAnsi="Open Sans" w:cs="Open Sans"/>
          <w:sz w:val="20"/>
          <w:szCs w:val="20"/>
        </w:rPr>
        <w:t>, given that it is established and understood.</w:t>
      </w:r>
      <w:r w:rsidR="0071402A">
        <w:rPr>
          <w:rFonts w:ascii="Open Sans" w:hAnsi="Open Sans" w:cs="Open Sans"/>
          <w:sz w:val="20"/>
          <w:szCs w:val="20"/>
        </w:rPr>
        <w:t xml:space="preserve"> It is a process that works in an administrative allocation process.</w:t>
      </w:r>
      <w:r w:rsidR="00825B5E">
        <w:rPr>
          <w:rFonts w:ascii="Open Sans" w:hAnsi="Open Sans" w:cs="Open Sans"/>
          <w:sz w:val="20"/>
          <w:szCs w:val="20"/>
        </w:rPr>
        <w:t xml:space="preserve"> However</w:t>
      </w:r>
      <w:r w:rsidR="0071402A">
        <w:rPr>
          <w:rFonts w:ascii="Open Sans" w:hAnsi="Open Sans" w:cs="Open Sans"/>
          <w:sz w:val="20"/>
          <w:szCs w:val="20"/>
        </w:rPr>
        <w:t>, this would need to be re</w:t>
      </w:r>
      <w:r w:rsidR="00BC1BC3">
        <w:rPr>
          <w:rFonts w:ascii="Open Sans" w:hAnsi="Open Sans" w:cs="Open Sans"/>
          <w:sz w:val="20"/>
          <w:szCs w:val="20"/>
        </w:rPr>
        <w:t>-</w:t>
      </w:r>
      <w:r w:rsidR="0071402A">
        <w:rPr>
          <w:rFonts w:ascii="Open Sans" w:hAnsi="Open Sans" w:cs="Open Sans"/>
          <w:sz w:val="20"/>
          <w:szCs w:val="20"/>
        </w:rPr>
        <w:t xml:space="preserve">evaluated in a competitive allocation process. </w:t>
      </w:r>
    </w:p>
    <w:p w14:paraId="621E44F6" w14:textId="77777777" w:rsidR="0071402A" w:rsidRDefault="0071402A" w:rsidP="00E82872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</w:p>
    <w:p w14:paraId="15A0A0E9" w14:textId="0290F940" w:rsidR="00806D96" w:rsidRDefault="0071402A" w:rsidP="00E82872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lastRenderedPageBreak/>
        <w:t>T</w:t>
      </w:r>
      <w:r w:rsidR="00825B5E">
        <w:rPr>
          <w:rFonts w:ascii="Open Sans" w:hAnsi="Open Sans" w:cs="Open Sans"/>
          <w:sz w:val="20"/>
          <w:szCs w:val="20"/>
        </w:rPr>
        <w:t xml:space="preserve">he </w:t>
      </w:r>
      <w:r>
        <w:rPr>
          <w:rFonts w:ascii="Open Sans" w:hAnsi="Open Sans" w:cs="Open Sans"/>
          <w:sz w:val="20"/>
          <w:szCs w:val="20"/>
        </w:rPr>
        <w:t>assessment</w:t>
      </w:r>
      <w:r w:rsidR="00825B5E">
        <w:rPr>
          <w:rFonts w:ascii="Open Sans" w:hAnsi="Open Sans" w:cs="Open Sans"/>
          <w:sz w:val="20"/>
          <w:szCs w:val="20"/>
        </w:rPr>
        <w:t xml:space="preserve"> process itself will need to </w:t>
      </w:r>
      <w:r>
        <w:rPr>
          <w:rFonts w:ascii="Open Sans" w:hAnsi="Open Sans" w:cs="Open Sans"/>
          <w:sz w:val="20"/>
          <w:szCs w:val="20"/>
        </w:rPr>
        <w:t xml:space="preserve">recognise nuances </w:t>
      </w:r>
      <w:r w:rsidR="00933348">
        <w:rPr>
          <w:rFonts w:ascii="Open Sans" w:hAnsi="Open Sans" w:cs="Open Sans"/>
          <w:sz w:val="20"/>
          <w:szCs w:val="20"/>
        </w:rPr>
        <w:t>of LDES technologies and how they provide these additional services,</w:t>
      </w:r>
      <w:r w:rsidR="00BC1BC3">
        <w:rPr>
          <w:rFonts w:ascii="Open Sans" w:hAnsi="Open Sans" w:cs="Open Sans"/>
          <w:sz w:val="20"/>
          <w:szCs w:val="20"/>
        </w:rPr>
        <w:t xml:space="preserve"> whilst</w:t>
      </w:r>
      <w:r w:rsidR="00933348">
        <w:rPr>
          <w:rFonts w:ascii="Open Sans" w:hAnsi="Open Sans" w:cs="Open Sans"/>
          <w:sz w:val="20"/>
          <w:szCs w:val="20"/>
        </w:rPr>
        <w:t xml:space="preserve"> recognising they are different to that of </w:t>
      </w:r>
      <w:r w:rsidR="00511B34">
        <w:rPr>
          <w:rFonts w:ascii="Open Sans" w:hAnsi="Open Sans" w:cs="Open Sans"/>
          <w:sz w:val="20"/>
          <w:szCs w:val="20"/>
        </w:rPr>
        <w:t xml:space="preserve">interconnectors and will operate differently as a result. </w:t>
      </w:r>
    </w:p>
    <w:p w14:paraId="28730C07" w14:textId="77777777" w:rsidR="00282D15" w:rsidRPr="00BD7B08" w:rsidRDefault="00282D15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2A515D59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15. Are there any wider economic and societal benefits that have not been identified</w:t>
      </w:r>
    </w:p>
    <w:p w14:paraId="35ABBB26" w14:textId="04AC414D" w:rsidR="00FC3524" w:rsidRDefault="00BD7B08" w:rsidP="00A02A7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that LDES projects could provide that we should include in the criteria?</w:t>
      </w:r>
    </w:p>
    <w:p w14:paraId="447DC819" w14:textId="77777777" w:rsidR="00C84B08" w:rsidRDefault="00C84B08" w:rsidP="00A02A7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641929B8" w14:textId="2FAABA0E" w:rsidR="00A02A78" w:rsidRPr="00A02A78" w:rsidRDefault="00A02A78" w:rsidP="00A02A7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While likely addressed when considering consumer impacts, </w:t>
      </w:r>
      <w:r w:rsidR="00570DD7">
        <w:rPr>
          <w:rFonts w:ascii="Open Sans" w:hAnsi="Open Sans" w:cs="Open Sans"/>
          <w:sz w:val="20"/>
          <w:szCs w:val="20"/>
        </w:rPr>
        <w:t xml:space="preserve">that the </w:t>
      </w:r>
      <w:r>
        <w:rPr>
          <w:rFonts w:ascii="Open Sans" w:hAnsi="Open Sans" w:cs="Open Sans"/>
          <w:sz w:val="20"/>
          <w:szCs w:val="20"/>
        </w:rPr>
        <w:t xml:space="preserve">benefits made available to industrial </w:t>
      </w:r>
      <w:r w:rsidR="006D1DA3">
        <w:rPr>
          <w:rFonts w:ascii="Open Sans" w:hAnsi="Open Sans" w:cs="Open Sans"/>
          <w:sz w:val="20"/>
          <w:szCs w:val="20"/>
        </w:rPr>
        <w:t xml:space="preserve">or commercial </w:t>
      </w:r>
      <w:r w:rsidR="00451EF2">
        <w:rPr>
          <w:rFonts w:ascii="Open Sans" w:hAnsi="Open Sans" w:cs="Open Sans"/>
          <w:sz w:val="20"/>
          <w:szCs w:val="20"/>
        </w:rPr>
        <w:t>decarbonisation</w:t>
      </w:r>
      <w:r w:rsidR="00570DD7">
        <w:rPr>
          <w:rFonts w:ascii="Open Sans" w:hAnsi="Open Sans" w:cs="Open Sans"/>
          <w:sz w:val="20"/>
          <w:szCs w:val="20"/>
        </w:rPr>
        <w:t xml:space="preserve"> should also be made clear</w:t>
      </w:r>
      <w:r w:rsidR="006D1DA3">
        <w:rPr>
          <w:rFonts w:ascii="Open Sans" w:hAnsi="Open Sans" w:cs="Open Sans"/>
          <w:sz w:val="20"/>
          <w:szCs w:val="20"/>
        </w:rPr>
        <w:t>, recognising that storage processes could play an important role</w:t>
      </w:r>
      <w:r w:rsidR="005B67C1">
        <w:rPr>
          <w:rFonts w:ascii="Open Sans" w:hAnsi="Open Sans" w:cs="Open Sans"/>
          <w:sz w:val="20"/>
          <w:szCs w:val="20"/>
        </w:rPr>
        <w:t xml:space="preserve"> in addressing complex to treat areas. </w:t>
      </w:r>
      <w:r w:rsidR="006C4920">
        <w:rPr>
          <w:rFonts w:ascii="Open Sans" w:hAnsi="Open Sans" w:cs="Open Sans"/>
          <w:sz w:val="20"/>
          <w:szCs w:val="20"/>
        </w:rPr>
        <w:t xml:space="preserve">This would be particularly pertinent if Thermal Storage was also allowed support through the scheme. </w:t>
      </w:r>
    </w:p>
    <w:p w14:paraId="68C65F80" w14:textId="77777777" w:rsidR="00FC3524" w:rsidRPr="00BD7B08" w:rsidRDefault="00FC3524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00AFF34C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16. Do you agree with allowing recovery of debt via the floor and recovery of equity</w:t>
      </w:r>
    </w:p>
    <w:p w14:paraId="791552EB" w14:textId="77777777" w:rsid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via the cap? Please provide your reasoning.</w:t>
      </w:r>
    </w:p>
    <w:p w14:paraId="7BA82AA1" w14:textId="77777777" w:rsidR="006C4920" w:rsidRDefault="006C4920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1FC39993" w14:textId="4C09068D" w:rsidR="004D04FF" w:rsidRPr="00306B37" w:rsidRDefault="004D04FF" w:rsidP="004D04FF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306B37">
        <w:rPr>
          <w:rFonts w:ascii="Open Sans" w:hAnsi="Open Sans" w:cs="Open Sans"/>
          <w:sz w:val="20"/>
          <w:szCs w:val="20"/>
        </w:rPr>
        <w:t xml:space="preserve">No. </w:t>
      </w:r>
    </w:p>
    <w:p w14:paraId="5683AFA0" w14:textId="77777777" w:rsidR="004D04FF" w:rsidRPr="00306B37" w:rsidRDefault="004D04FF" w:rsidP="004D04FF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</w:p>
    <w:p w14:paraId="24D52AE8" w14:textId="75AB1585" w:rsidR="004D04FF" w:rsidRDefault="004D04FF" w:rsidP="004D04FF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306B37">
        <w:rPr>
          <w:rFonts w:ascii="Open Sans" w:hAnsi="Open Sans" w:cs="Open Sans"/>
          <w:sz w:val="20"/>
          <w:szCs w:val="20"/>
        </w:rPr>
        <w:t xml:space="preserve">Concerns have been raised as to whether a </w:t>
      </w:r>
      <w:r w:rsidR="00314421">
        <w:rPr>
          <w:rFonts w:ascii="Open Sans" w:hAnsi="Open Sans" w:cs="Open Sans"/>
          <w:sz w:val="20"/>
          <w:szCs w:val="20"/>
        </w:rPr>
        <w:t>F</w:t>
      </w:r>
      <w:r w:rsidR="00306B37" w:rsidRPr="00306B37">
        <w:rPr>
          <w:rFonts w:ascii="Open Sans" w:hAnsi="Open Sans" w:cs="Open Sans"/>
          <w:sz w:val="20"/>
          <w:szCs w:val="20"/>
        </w:rPr>
        <w:t xml:space="preserve">loor set purely on debt will </w:t>
      </w:r>
      <w:r w:rsidR="00314421">
        <w:rPr>
          <w:rFonts w:ascii="Open Sans" w:hAnsi="Open Sans" w:cs="Open Sans"/>
          <w:sz w:val="20"/>
          <w:szCs w:val="20"/>
        </w:rPr>
        <w:t>be</w:t>
      </w:r>
      <w:r w:rsidR="00314421" w:rsidRPr="00306B37">
        <w:rPr>
          <w:rFonts w:ascii="Open Sans" w:hAnsi="Open Sans" w:cs="Open Sans"/>
          <w:sz w:val="20"/>
          <w:szCs w:val="20"/>
        </w:rPr>
        <w:t xml:space="preserve"> </w:t>
      </w:r>
      <w:r w:rsidR="00306B37" w:rsidRPr="00306B37">
        <w:rPr>
          <w:rFonts w:ascii="Open Sans" w:hAnsi="Open Sans" w:cs="Open Sans"/>
          <w:sz w:val="20"/>
          <w:szCs w:val="20"/>
        </w:rPr>
        <w:t>enough to make projects financeable. Th</w:t>
      </w:r>
      <w:r w:rsidR="008C404F">
        <w:rPr>
          <w:rFonts w:ascii="Open Sans" w:hAnsi="Open Sans" w:cs="Open Sans"/>
          <w:sz w:val="20"/>
          <w:szCs w:val="20"/>
        </w:rPr>
        <w:t xml:space="preserve">e </w:t>
      </w:r>
      <w:r w:rsidR="00314421">
        <w:rPr>
          <w:rFonts w:ascii="Open Sans" w:hAnsi="Open Sans" w:cs="Open Sans"/>
          <w:sz w:val="20"/>
          <w:szCs w:val="20"/>
        </w:rPr>
        <w:t>F</w:t>
      </w:r>
      <w:r w:rsidR="008C404F">
        <w:rPr>
          <w:rFonts w:ascii="Open Sans" w:hAnsi="Open Sans" w:cs="Open Sans"/>
          <w:sz w:val="20"/>
          <w:szCs w:val="20"/>
        </w:rPr>
        <w:t>loor price needs to be set on</w:t>
      </w:r>
      <w:r w:rsidR="00155B3A">
        <w:rPr>
          <w:rFonts w:ascii="Open Sans" w:hAnsi="Open Sans" w:cs="Open Sans"/>
          <w:sz w:val="20"/>
          <w:szCs w:val="20"/>
        </w:rPr>
        <w:t xml:space="preserve"> the</w:t>
      </w:r>
      <w:r w:rsidR="008C404F">
        <w:rPr>
          <w:rFonts w:ascii="Open Sans" w:hAnsi="Open Sans" w:cs="Open Sans"/>
          <w:sz w:val="20"/>
          <w:szCs w:val="20"/>
        </w:rPr>
        <w:t xml:space="preserve"> actual cost of debt</w:t>
      </w:r>
      <w:r w:rsidR="001D4956">
        <w:rPr>
          <w:rFonts w:ascii="Open Sans" w:hAnsi="Open Sans" w:cs="Open Sans"/>
          <w:sz w:val="20"/>
          <w:szCs w:val="20"/>
        </w:rPr>
        <w:t xml:space="preserve"> and</w:t>
      </w:r>
      <w:r w:rsidR="008C404F">
        <w:rPr>
          <w:rFonts w:ascii="Open Sans" w:hAnsi="Open Sans" w:cs="Open Sans"/>
          <w:sz w:val="20"/>
          <w:szCs w:val="20"/>
        </w:rPr>
        <w:t xml:space="preserve"> a </w:t>
      </w:r>
      <w:r w:rsidR="001D4956">
        <w:rPr>
          <w:rFonts w:ascii="Open Sans" w:hAnsi="Open Sans" w:cs="Open Sans"/>
          <w:sz w:val="20"/>
          <w:szCs w:val="20"/>
        </w:rPr>
        <w:t>minimum</w:t>
      </w:r>
      <w:r w:rsidR="008C404F">
        <w:rPr>
          <w:rFonts w:ascii="Open Sans" w:hAnsi="Open Sans" w:cs="Open Sans"/>
          <w:sz w:val="20"/>
          <w:szCs w:val="20"/>
        </w:rPr>
        <w:t xml:space="preserve"> </w:t>
      </w:r>
      <w:r w:rsidR="001D4956">
        <w:rPr>
          <w:rFonts w:ascii="Open Sans" w:hAnsi="Open Sans" w:cs="Open Sans"/>
          <w:sz w:val="20"/>
          <w:szCs w:val="20"/>
        </w:rPr>
        <w:t>level</w:t>
      </w:r>
      <w:r w:rsidR="008C404F">
        <w:rPr>
          <w:rFonts w:ascii="Open Sans" w:hAnsi="Open Sans" w:cs="Open Sans"/>
          <w:sz w:val="20"/>
          <w:szCs w:val="20"/>
        </w:rPr>
        <w:t xml:space="preserve"> of return, likely set through the administrative process, </w:t>
      </w:r>
      <w:r w:rsidR="00155B3A">
        <w:rPr>
          <w:rFonts w:ascii="Open Sans" w:hAnsi="Open Sans" w:cs="Open Sans"/>
          <w:sz w:val="20"/>
          <w:szCs w:val="20"/>
        </w:rPr>
        <w:t>to</w:t>
      </w:r>
      <w:r w:rsidR="008C404F">
        <w:rPr>
          <w:rFonts w:ascii="Open Sans" w:hAnsi="Open Sans" w:cs="Open Sans"/>
          <w:sz w:val="20"/>
          <w:szCs w:val="20"/>
        </w:rPr>
        <w:t xml:space="preserve"> ensure the mechanism is attractive enough to see fin</w:t>
      </w:r>
      <w:r w:rsidR="00267C54">
        <w:rPr>
          <w:rFonts w:ascii="Open Sans" w:hAnsi="Open Sans" w:cs="Open Sans"/>
          <w:sz w:val="20"/>
          <w:szCs w:val="20"/>
        </w:rPr>
        <w:t>ancial close. Just covering de</w:t>
      </w:r>
      <w:r w:rsidR="001D4956">
        <w:rPr>
          <w:rFonts w:ascii="Open Sans" w:hAnsi="Open Sans" w:cs="Open Sans"/>
          <w:sz w:val="20"/>
          <w:szCs w:val="20"/>
        </w:rPr>
        <w:t xml:space="preserve">bt </w:t>
      </w:r>
      <w:r w:rsidR="00BC62A8">
        <w:rPr>
          <w:rFonts w:ascii="Open Sans" w:hAnsi="Open Sans" w:cs="Open Sans"/>
          <w:sz w:val="20"/>
          <w:szCs w:val="20"/>
        </w:rPr>
        <w:t>may not</w:t>
      </w:r>
      <w:r w:rsidR="001D4956">
        <w:rPr>
          <w:rFonts w:ascii="Open Sans" w:hAnsi="Open Sans" w:cs="Open Sans"/>
          <w:sz w:val="20"/>
          <w:szCs w:val="20"/>
        </w:rPr>
        <w:t xml:space="preserve"> be enough to </w:t>
      </w:r>
      <w:r w:rsidR="00226610">
        <w:rPr>
          <w:rFonts w:ascii="Open Sans" w:hAnsi="Open Sans" w:cs="Open Sans"/>
          <w:sz w:val="20"/>
          <w:szCs w:val="20"/>
        </w:rPr>
        <w:t xml:space="preserve">get </w:t>
      </w:r>
      <w:r w:rsidR="00594E6C">
        <w:rPr>
          <w:rFonts w:ascii="Open Sans" w:hAnsi="Open Sans" w:cs="Open Sans"/>
          <w:sz w:val="20"/>
          <w:szCs w:val="20"/>
        </w:rPr>
        <w:t>financial</w:t>
      </w:r>
      <w:r w:rsidR="00226610">
        <w:rPr>
          <w:rFonts w:ascii="Open Sans" w:hAnsi="Open Sans" w:cs="Open Sans"/>
          <w:sz w:val="20"/>
          <w:szCs w:val="20"/>
        </w:rPr>
        <w:t xml:space="preserve"> close as there </w:t>
      </w:r>
      <w:r w:rsidR="00BC62A8">
        <w:rPr>
          <w:rFonts w:ascii="Open Sans" w:hAnsi="Open Sans" w:cs="Open Sans"/>
          <w:sz w:val="20"/>
          <w:szCs w:val="20"/>
        </w:rPr>
        <w:t>will be no guarantee of a minimum return</w:t>
      </w:r>
      <w:r w:rsidR="00226610">
        <w:rPr>
          <w:rFonts w:ascii="Open Sans" w:hAnsi="Open Sans" w:cs="Open Sans"/>
          <w:sz w:val="20"/>
          <w:szCs w:val="20"/>
        </w:rPr>
        <w:t xml:space="preserve">. </w:t>
      </w:r>
    </w:p>
    <w:p w14:paraId="1725822E" w14:textId="77777777" w:rsidR="00226610" w:rsidRDefault="00226610" w:rsidP="004D04FF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</w:p>
    <w:p w14:paraId="3482D4DF" w14:textId="3F659271" w:rsidR="00226610" w:rsidRDefault="00594E6C" w:rsidP="004D04FF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Government</w:t>
      </w:r>
      <w:r w:rsidR="00226610">
        <w:rPr>
          <w:rFonts w:ascii="Open Sans" w:hAnsi="Open Sans" w:cs="Open Sans"/>
          <w:sz w:val="20"/>
          <w:szCs w:val="20"/>
        </w:rPr>
        <w:t xml:space="preserve"> should also consider whether </w:t>
      </w:r>
      <w:r>
        <w:rPr>
          <w:rFonts w:ascii="Open Sans" w:hAnsi="Open Sans" w:cs="Open Sans"/>
          <w:sz w:val="20"/>
          <w:szCs w:val="20"/>
        </w:rPr>
        <w:t>operational</w:t>
      </w:r>
      <w:r w:rsidR="00226610">
        <w:rPr>
          <w:rFonts w:ascii="Open Sans" w:hAnsi="Open Sans" w:cs="Open Sans"/>
          <w:sz w:val="20"/>
          <w:szCs w:val="20"/>
        </w:rPr>
        <w:t xml:space="preserve"> costs need to be considered in the setting of the </w:t>
      </w:r>
      <w:r w:rsidR="00155B3A">
        <w:rPr>
          <w:rFonts w:ascii="Open Sans" w:hAnsi="Open Sans" w:cs="Open Sans"/>
          <w:sz w:val="20"/>
          <w:szCs w:val="20"/>
        </w:rPr>
        <w:t>F</w:t>
      </w:r>
      <w:r w:rsidR="00226610">
        <w:rPr>
          <w:rFonts w:ascii="Open Sans" w:hAnsi="Open Sans" w:cs="Open Sans"/>
          <w:sz w:val="20"/>
          <w:szCs w:val="20"/>
        </w:rPr>
        <w:t xml:space="preserve">loor, to ensure this is </w:t>
      </w:r>
      <w:r>
        <w:rPr>
          <w:rFonts w:ascii="Open Sans" w:hAnsi="Open Sans" w:cs="Open Sans"/>
          <w:sz w:val="20"/>
          <w:szCs w:val="20"/>
        </w:rPr>
        <w:t>recognised</w:t>
      </w:r>
      <w:r w:rsidR="00226610">
        <w:rPr>
          <w:rFonts w:ascii="Open Sans" w:hAnsi="Open Sans" w:cs="Open Sans"/>
          <w:sz w:val="20"/>
          <w:szCs w:val="20"/>
        </w:rPr>
        <w:t xml:space="preserve"> in the financial model. </w:t>
      </w:r>
    </w:p>
    <w:p w14:paraId="67AE6811" w14:textId="77777777" w:rsidR="00CD1F48" w:rsidRDefault="00CD1F48" w:rsidP="004D04FF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</w:p>
    <w:p w14:paraId="0E8B5A98" w14:textId="11824EC8" w:rsidR="00226610" w:rsidRDefault="00CD1F48" w:rsidP="004D04FF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Members have also raised concern that </w:t>
      </w:r>
      <w:r w:rsidR="00ED5F97">
        <w:rPr>
          <w:rFonts w:ascii="Open Sans" w:hAnsi="Open Sans" w:cs="Open Sans"/>
          <w:sz w:val="20"/>
          <w:szCs w:val="20"/>
        </w:rPr>
        <w:t xml:space="preserve">if the </w:t>
      </w:r>
      <w:r w:rsidR="00D2288A">
        <w:rPr>
          <w:rFonts w:ascii="Open Sans" w:hAnsi="Open Sans" w:cs="Open Sans"/>
          <w:sz w:val="20"/>
          <w:szCs w:val="20"/>
        </w:rPr>
        <w:t>cost of debt is to be calculated</w:t>
      </w:r>
      <w:r w:rsidR="00DC71D0">
        <w:rPr>
          <w:rFonts w:ascii="Open Sans" w:hAnsi="Open Sans" w:cs="Open Sans"/>
          <w:sz w:val="20"/>
          <w:szCs w:val="20"/>
        </w:rPr>
        <w:t xml:space="preserve"> </w:t>
      </w:r>
      <w:proofErr w:type="gramStart"/>
      <w:r w:rsidR="00DC71D0">
        <w:rPr>
          <w:rFonts w:ascii="Open Sans" w:hAnsi="Open Sans" w:cs="Open Sans"/>
          <w:sz w:val="20"/>
          <w:szCs w:val="20"/>
        </w:rPr>
        <w:t>exactly the same</w:t>
      </w:r>
      <w:proofErr w:type="gramEnd"/>
      <w:r w:rsidR="00DC71D0">
        <w:rPr>
          <w:rFonts w:ascii="Open Sans" w:hAnsi="Open Sans" w:cs="Open Sans"/>
          <w:sz w:val="20"/>
          <w:szCs w:val="20"/>
        </w:rPr>
        <w:t xml:space="preserve"> </w:t>
      </w:r>
      <w:r w:rsidR="00C860E2">
        <w:rPr>
          <w:rFonts w:ascii="Open Sans" w:hAnsi="Open Sans" w:cs="Open Sans"/>
          <w:sz w:val="20"/>
          <w:szCs w:val="20"/>
        </w:rPr>
        <w:t xml:space="preserve">as </w:t>
      </w:r>
      <w:r w:rsidR="00382141">
        <w:rPr>
          <w:rFonts w:ascii="Open Sans" w:hAnsi="Open Sans" w:cs="Open Sans"/>
          <w:sz w:val="20"/>
          <w:szCs w:val="20"/>
        </w:rPr>
        <w:t>the</w:t>
      </w:r>
      <w:r w:rsidR="00C860E2">
        <w:rPr>
          <w:rFonts w:ascii="Open Sans" w:hAnsi="Open Sans" w:cs="Open Sans"/>
          <w:sz w:val="20"/>
          <w:szCs w:val="20"/>
        </w:rPr>
        <w:t xml:space="preserve"> process for </w:t>
      </w:r>
      <w:r w:rsidR="00933143">
        <w:rPr>
          <w:rFonts w:ascii="Open Sans" w:hAnsi="Open Sans" w:cs="Open Sans"/>
          <w:sz w:val="20"/>
          <w:szCs w:val="20"/>
        </w:rPr>
        <w:t>interconnectors,</w:t>
      </w:r>
      <w:r w:rsidR="0080671E">
        <w:rPr>
          <w:rFonts w:ascii="Open Sans" w:hAnsi="Open Sans" w:cs="Open Sans"/>
          <w:sz w:val="20"/>
          <w:szCs w:val="20"/>
        </w:rPr>
        <w:t xml:space="preserve"> then the </w:t>
      </w:r>
      <w:r w:rsidR="00CD2026">
        <w:rPr>
          <w:rFonts w:ascii="Open Sans" w:hAnsi="Open Sans" w:cs="Open Sans"/>
          <w:sz w:val="20"/>
          <w:szCs w:val="20"/>
        </w:rPr>
        <w:t xml:space="preserve">expected credit </w:t>
      </w:r>
      <w:r w:rsidR="00933143">
        <w:rPr>
          <w:rFonts w:ascii="Open Sans" w:hAnsi="Open Sans" w:cs="Open Sans"/>
          <w:sz w:val="20"/>
          <w:szCs w:val="20"/>
        </w:rPr>
        <w:t>rating is</w:t>
      </w:r>
      <w:r w:rsidR="00CD2026">
        <w:rPr>
          <w:rFonts w:ascii="Open Sans" w:hAnsi="Open Sans" w:cs="Open Sans"/>
          <w:sz w:val="20"/>
          <w:szCs w:val="20"/>
        </w:rPr>
        <w:t xml:space="preserve"> likely to be </w:t>
      </w:r>
      <w:r w:rsidR="00C860E2">
        <w:rPr>
          <w:rFonts w:ascii="Open Sans" w:hAnsi="Open Sans" w:cs="Open Sans"/>
          <w:sz w:val="20"/>
          <w:szCs w:val="20"/>
        </w:rPr>
        <w:t>‘</w:t>
      </w:r>
      <w:r w:rsidR="00CD2026">
        <w:rPr>
          <w:rFonts w:ascii="Open Sans" w:hAnsi="Open Sans" w:cs="Open Sans"/>
          <w:sz w:val="20"/>
          <w:szCs w:val="20"/>
        </w:rPr>
        <w:t>BBB</w:t>
      </w:r>
      <w:r w:rsidR="00C860E2">
        <w:rPr>
          <w:rFonts w:ascii="Open Sans" w:hAnsi="Open Sans" w:cs="Open Sans"/>
          <w:sz w:val="20"/>
          <w:szCs w:val="20"/>
        </w:rPr>
        <w:t>’</w:t>
      </w:r>
      <w:r w:rsidR="00CD2026">
        <w:rPr>
          <w:rFonts w:ascii="Open Sans" w:hAnsi="Open Sans" w:cs="Open Sans"/>
          <w:sz w:val="20"/>
          <w:szCs w:val="20"/>
        </w:rPr>
        <w:t xml:space="preserve">. This </w:t>
      </w:r>
      <w:r w:rsidR="00933143">
        <w:rPr>
          <w:rFonts w:ascii="Open Sans" w:hAnsi="Open Sans" w:cs="Open Sans"/>
          <w:sz w:val="20"/>
          <w:szCs w:val="20"/>
        </w:rPr>
        <w:t>is</w:t>
      </w:r>
      <w:r w:rsidR="00CD2026">
        <w:rPr>
          <w:rFonts w:ascii="Open Sans" w:hAnsi="Open Sans" w:cs="Open Sans"/>
          <w:sz w:val="20"/>
          <w:szCs w:val="20"/>
        </w:rPr>
        <w:t xml:space="preserve"> unlikely to be high enough to inspire confidence in investment for </w:t>
      </w:r>
      <w:r w:rsidR="00C860E2">
        <w:rPr>
          <w:rFonts w:ascii="Open Sans" w:hAnsi="Open Sans" w:cs="Open Sans"/>
          <w:sz w:val="20"/>
          <w:szCs w:val="20"/>
        </w:rPr>
        <w:t>new</w:t>
      </w:r>
      <w:r w:rsidR="00CD2026">
        <w:rPr>
          <w:rFonts w:ascii="Open Sans" w:hAnsi="Open Sans" w:cs="Open Sans"/>
          <w:sz w:val="20"/>
          <w:szCs w:val="20"/>
        </w:rPr>
        <w:t xml:space="preserve"> LDES </w:t>
      </w:r>
      <w:r w:rsidR="00933143">
        <w:rPr>
          <w:rFonts w:ascii="Open Sans" w:hAnsi="Open Sans" w:cs="Open Sans"/>
          <w:sz w:val="20"/>
          <w:szCs w:val="20"/>
        </w:rPr>
        <w:t xml:space="preserve">technologies. In designing the </w:t>
      </w:r>
      <w:r w:rsidR="00DC71D0">
        <w:rPr>
          <w:rFonts w:ascii="Open Sans" w:hAnsi="Open Sans" w:cs="Open Sans"/>
          <w:sz w:val="20"/>
          <w:szCs w:val="20"/>
        </w:rPr>
        <w:t>debt-based</w:t>
      </w:r>
      <w:r w:rsidR="00933143">
        <w:rPr>
          <w:rFonts w:ascii="Open Sans" w:hAnsi="Open Sans" w:cs="Open Sans"/>
          <w:sz w:val="20"/>
          <w:szCs w:val="20"/>
        </w:rPr>
        <w:t xml:space="preserve"> </w:t>
      </w:r>
      <w:r w:rsidR="00C42C27">
        <w:rPr>
          <w:rFonts w:ascii="Open Sans" w:hAnsi="Open Sans" w:cs="Open Sans"/>
          <w:sz w:val="20"/>
          <w:szCs w:val="20"/>
        </w:rPr>
        <w:t>F</w:t>
      </w:r>
      <w:r w:rsidR="00933143">
        <w:rPr>
          <w:rFonts w:ascii="Open Sans" w:hAnsi="Open Sans" w:cs="Open Sans"/>
          <w:sz w:val="20"/>
          <w:szCs w:val="20"/>
        </w:rPr>
        <w:t>loor, the credit rating should be stated as higher to ensure investor confidence</w:t>
      </w:r>
      <w:r w:rsidR="00C860E2">
        <w:rPr>
          <w:rFonts w:ascii="Open Sans" w:hAnsi="Open Sans" w:cs="Open Sans"/>
          <w:sz w:val="20"/>
          <w:szCs w:val="20"/>
        </w:rPr>
        <w:t xml:space="preserve"> and address such concerns, recognising these are fundamentally different technologies to interconnectors. </w:t>
      </w:r>
    </w:p>
    <w:p w14:paraId="43B92B5B" w14:textId="77777777" w:rsidR="00D90189" w:rsidRDefault="00D90189" w:rsidP="004D04FF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</w:p>
    <w:p w14:paraId="590BC01B" w14:textId="4F14FCE3" w:rsidR="00D90189" w:rsidRPr="00306B37" w:rsidRDefault="00D90189" w:rsidP="004D04FF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We also support the use of a </w:t>
      </w:r>
      <w:r w:rsidR="0031450F">
        <w:rPr>
          <w:rFonts w:ascii="Open Sans" w:hAnsi="Open Sans" w:cs="Open Sans"/>
          <w:sz w:val="20"/>
          <w:szCs w:val="20"/>
        </w:rPr>
        <w:t>‘</w:t>
      </w:r>
      <w:r>
        <w:rPr>
          <w:rFonts w:ascii="Open Sans" w:hAnsi="Open Sans" w:cs="Open Sans"/>
          <w:sz w:val="20"/>
          <w:szCs w:val="20"/>
        </w:rPr>
        <w:t>soft</w:t>
      </w:r>
      <w:r w:rsidR="0031450F">
        <w:rPr>
          <w:rFonts w:ascii="Open Sans" w:hAnsi="Open Sans" w:cs="Open Sans"/>
          <w:sz w:val="20"/>
          <w:szCs w:val="20"/>
        </w:rPr>
        <w:t>’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901A9E">
        <w:rPr>
          <w:rFonts w:ascii="Open Sans" w:hAnsi="Open Sans" w:cs="Open Sans"/>
          <w:sz w:val="20"/>
          <w:szCs w:val="20"/>
        </w:rPr>
        <w:t>C</w:t>
      </w:r>
      <w:r>
        <w:rPr>
          <w:rFonts w:ascii="Open Sans" w:hAnsi="Open Sans" w:cs="Open Sans"/>
          <w:sz w:val="20"/>
          <w:szCs w:val="20"/>
        </w:rPr>
        <w:t xml:space="preserve">ap, as explored in later questions, </w:t>
      </w:r>
      <w:r w:rsidR="00765E5F">
        <w:rPr>
          <w:rFonts w:ascii="Open Sans" w:hAnsi="Open Sans" w:cs="Open Sans"/>
          <w:sz w:val="20"/>
          <w:szCs w:val="20"/>
        </w:rPr>
        <w:t>in order</w:t>
      </w:r>
      <w:r>
        <w:rPr>
          <w:rFonts w:ascii="Open Sans" w:hAnsi="Open Sans" w:cs="Open Sans"/>
          <w:sz w:val="20"/>
          <w:szCs w:val="20"/>
        </w:rPr>
        <w:t xml:space="preserve"> to be </w:t>
      </w:r>
      <w:proofErr w:type="gramStart"/>
      <w:r>
        <w:rPr>
          <w:rFonts w:ascii="Open Sans" w:hAnsi="Open Sans" w:cs="Open Sans"/>
          <w:sz w:val="20"/>
          <w:szCs w:val="20"/>
        </w:rPr>
        <w:t>able</w:t>
      </w:r>
      <w:proofErr w:type="gramEnd"/>
      <w:r>
        <w:rPr>
          <w:rFonts w:ascii="Open Sans" w:hAnsi="Open Sans" w:cs="Open Sans"/>
          <w:sz w:val="20"/>
          <w:szCs w:val="20"/>
        </w:rPr>
        <w:t xml:space="preserve"> </w:t>
      </w:r>
      <w:r w:rsidR="00765E5F">
        <w:rPr>
          <w:rFonts w:ascii="Open Sans" w:hAnsi="Open Sans" w:cs="Open Sans"/>
          <w:sz w:val="20"/>
          <w:szCs w:val="20"/>
        </w:rPr>
        <w:t xml:space="preserve">continue to send market signals that will encourage operators to maximise the </w:t>
      </w:r>
      <w:r w:rsidR="005461CD">
        <w:rPr>
          <w:rFonts w:ascii="Open Sans" w:hAnsi="Open Sans" w:cs="Open Sans"/>
          <w:sz w:val="20"/>
          <w:szCs w:val="20"/>
        </w:rPr>
        <w:t>operation</w:t>
      </w:r>
      <w:r w:rsidR="00765E5F">
        <w:rPr>
          <w:rFonts w:ascii="Open Sans" w:hAnsi="Open Sans" w:cs="Open Sans"/>
          <w:sz w:val="20"/>
          <w:szCs w:val="20"/>
        </w:rPr>
        <w:t xml:space="preserve"> of their assets and deliver the highest possible value to </w:t>
      </w:r>
      <w:r w:rsidR="005461CD">
        <w:rPr>
          <w:rFonts w:ascii="Open Sans" w:hAnsi="Open Sans" w:cs="Open Sans"/>
          <w:sz w:val="20"/>
          <w:szCs w:val="20"/>
        </w:rPr>
        <w:t xml:space="preserve">the grid, while still protecting consumers from high prices. </w:t>
      </w:r>
    </w:p>
    <w:p w14:paraId="4E9671DC" w14:textId="77777777" w:rsidR="006C4920" w:rsidRPr="00BD7B08" w:rsidRDefault="006C4920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421AF6EF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17. What costs should be eligible for inclusion in the cap and floor reconciliation</w:t>
      </w:r>
    </w:p>
    <w:p w14:paraId="1F80140E" w14:textId="77777777" w:rsid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calculations?</w:t>
      </w:r>
    </w:p>
    <w:p w14:paraId="5804D173" w14:textId="77777777" w:rsidR="00C860E2" w:rsidRDefault="00C860E2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05B833E7" w14:textId="74F22360" w:rsidR="00C860E2" w:rsidRPr="00B5021E" w:rsidRDefault="00B5021E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B5021E">
        <w:rPr>
          <w:rFonts w:ascii="Open Sans" w:hAnsi="Open Sans" w:cs="Open Sans"/>
          <w:sz w:val="20"/>
          <w:szCs w:val="20"/>
        </w:rPr>
        <w:t>Reconciliation should be done annually and along with capex costs, as agreed through the administration process</w:t>
      </w:r>
      <w:r w:rsidR="00714F4D">
        <w:rPr>
          <w:rFonts w:ascii="Open Sans" w:hAnsi="Open Sans" w:cs="Open Sans"/>
          <w:sz w:val="20"/>
          <w:szCs w:val="20"/>
        </w:rPr>
        <w:t>.</w:t>
      </w:r>
      <w:r w:rsidRPr="00B5021E">
        <w:rPr>
          <w:rFonts w:ascii="Open Sans" w:hAnsi="Open Sans" w:cs="Open Sans"/>
          <w:sz w:val="20"/>
          <w:szCs w:val="20"/>
        </w:rPr>
        <w:t xml:space="preserve"> </w:t>
      </w:r>
      <w:r w:rsidR="00714F4D">
        <w:rPr>
          <w:rFonts w:ascii="Open Sans" w:hAnsi="Open Sans" w:cs="Open Sans"/>
          <w:sz w:val="20"/>
          <w:szCs w:val="20"/>
        </w:rPr>
        <w:t>O</w:t>
      </w:r>
      <w:r w:rsidRPr="00B5021E">
        <w:rPr>
          <w:rFonts w:ascii="Open Sans" w:hAnsi="Open Sans" w:cs="Open Sans"/>
          <w:sz w:val="20"/>
          <w:szCs w:val="20"/>
        </w:rPr>
        <w:t xml:space="preserve">perational costs and maintenance costs should also be considered. </w:t>
      </w:r>
    </w:p>
    <w:p w14:paraId="4D2822E2" w14:textId="77777777" w:rsidR="00B5021E" w:rsidRPr="00BD7B08" w:rsidRDefault="00B5021E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0BDFD5BF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18. How do we design the thresholds to be at the appropriate level to balance</w:t>
      </w:r>
    </w:p>
    <w:p w14:paraId="2517A794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investment certainty with potential consumer exposure to additional support</w:t>
      </w:r>
    </w:p>
    <w:p w14:paraId="17848C2B" w14:textId="77777777" w:rsid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costs?</w:t>
      </w:r>
    </w:p>
    <w:p w14:paraId="54174EE1" w14:textId="77777777" w:rsidR="00B5021E" w:rsidRPr="00950D52" w:rsidRDefault="00B5021E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</w:p>
    <w:p w14:paraId="4626DAC9" w14:textId="28E664E7" w:rsidR="005461CD" w:rsidRPr="00950D52" w:rsidRDefault="00366E87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950D52">
        <w:rPr>
          <w:rFonts w:ascii="Open Sans" w:hAnsi="Open Sans" w:cs="Open Sans"/>
          <w:sz w:val="20"/>
          <w:szCs w:val="20"/>
        </w:rPr>
        <w:lastRenderedPageBreak/>
        <w:t xml:space="preserve">Including a minimum return within the floor </w:t>
      </w:r>
      <w:r w:rsidR="00470751">
        <w:rPr>
          <w:rFonts w:ascii="Open Sans" w:hAnsi="Open Sans" w:cs="Open Sans"/>
          <w:sz w:val="20"/>
          <w:szCs w:val="20"/>
        </w:rPr>
        <w:t>P</w:t>
      </w:r>
      <w:r w:rsidRPr="00950D52">
        <w:rPr>
          <w:rFonts w:ascii="Open Sans" w:hAnsi="Open Sans" w:cs="Open Sans"/>
          <w:sz w:val="20"/>
          <w:szCs w:val="20"/>
        </w:rPr>
        <w:t xml:space="preserve">rice will </w:t>
      </w:r>
      <w:r w:rsidR="004C51B9" w:rsidRPr="00950D52">
        <w:rPr>
          <w:rFonts w:ascii="Open Sans" w:hAnsi="Open Sans" w:cs="Open Sans"/>
          <w:sz w:val="20"/>
          <w:szCs w:val="20"/>
        </w:rPr>
        <w:t xml:space="preserve">deliver </w:t>
      </w:r>
      <w:r w:rsidR="005008A7" w:rsidRPr="00950D52">
        <w:rPr>
          <w:rFonts w:ascii="Open Sans" w:hAnsi="Open Sans" w:cs="Open Sans"/>
          <w:sz w:val="20"/>
          <w:szCs w:val="20"/>
        </w:rPr>
        <w:t>investment</w:t>
      </w:r>
      <w:r w:rsidR="004C51B9" w:rsidRPr="00950D52">
        <w:rPr>
          <w:rFonts w:ascii="Open Sans" w:hAnsi="Open Sans" w:cs="Open Sans"/>
          <w:sz w:val="20"/>
          <w:szCs w:val="20"/>
        </w:rPr>
        <w:t xml:space="preserve"> certainty</w:t>
      </w:r>
      <w:r w:rsidR="00107019">
        <w:rPr>
          <w:rFonts w:ascii="Open Sans" w:hAnsi="Open Sans" w:cs="Open Sans"/>
          <w:sz w:val="20"/>
          <w:szCs w:val="20"/>
        </w:rPr>
        <w:t xml:space="preserve"> and reduce the cost of capital.  It will also</w:t>
      </w:r>
      <w:r w:rsidR="004C51B9" w:rsidRPr="00950D52">
        <w:rPr>
          <w:rFonts w:ascii="Open Sans" w:hAnsi="Open Sans" w:cs="Open Sans"/>
          <w:sz w:val="20"/>
          <w:szCs w:val="20"/>
        </w:rPr>
        <w:t xml:space="preserve"> potentially allow</w:t>
      </w:r>
      <w:r w:rsidR="00107019">
        <w:rPr>
          <w:rFonts w:ascii="Open Sans" w:hAnsi="Open Sans" w:cs="Open Sans"/>
          <w:sz w:val="20"/>
          <w:szCs w:val="20"/>
        </w:rPr>
        <w:t xml:space="preserve"> for</w:t>
      </w:r>
      <w:r w:rsidR="004C51B9" w:rsidRPr="00950D52">
        <w:rPr>
          <w:rFonts w:ascii="Open Sans" w:hAnsi="Open Sans" w:cs="Open Sans"/>
          <w:sz w:val="20"/>
          <w:szCs w:val="20"/>
        </w:rPr>
        <w:t xml:space="preserve"> </w:t>
      </w:r>
      <w:r w:rsidR="005008A7" w:rsidRPr="00950D52">
        <w:rPr>
          <w:rFonts w:ascii="Open Sans" w:hAnsi="Open Sans" w:cs="Open Sans"/>
          <w:sz w:val="20"/>
          <w:szCs w:val="20"/>
        </w:rPr>
        <w:t>a lower</w:t>
      </w:r>
      <w:r w:rsidR="004C51B9" w:rsidRPr="00950D52">
        <w:rPr>
          <w:rFonts w:ascii="Open Sans" w:hAnsi="Open Sans" w:cs="Open Sans"/>
          <w:sz w:val="20"/>
          <w:szCs w:val="20"/>
        </w:rPr>
        <w:t xml:space="preserve"> </w:t>
      </w:r>
      <w:r w:rsidR="00222E95">
        <w:rPr>
          <w:rFonts w:ascii="Open Sans" w:hAnsi="Open Sans" w:cs="Open Sans"/>
          <w:sz w:val="20"/>
          <w:szCs w:val="20"/>
        </w:rPr>
        <w:t>C</w:t>
      </w:r>
      <w:r w:rsidR="004C51B9" w:rsidRPr="00950D52">
        <w:rPr>
          <w:rFonts w:ascii="Open Sans" w:hAnsi="Open Sans" w:cs="Open Sans"/>
          <w:sz w:val="20"/>
          <w:szCs w:val="20"/>
        </w:rPr>
        <w:t xml:space="preserve">ap as less </w:t>
      </w:r>
      <w:r w:rsidR="005008A7" w:rsidRPr="00950D52">
        <w:rPr>
          <w:rFonts w:ascii="Open Sans" w:hAnsi="Open Sans" w:cs="Open Sans"/>
          <w:sz w:val="20"/>
          <w:szCs w:val="20"/>
        </w:rPr>
        <w:t xml:space="preserve">risk will be seen in delivering a return up to the </w:t>
      </w:r>
      <w:r w:rsidR="00222E95">
        <w:rPr>
          <w:rFonts w:ascii="Open Sans" w:hAnsi="Open Sans" w:cs="Open Sans"/>
          <w:sz w:val="20"/>
          <w:szCs w:val="20"/>
        </w:rPr>
        <w:t>C</w:t>
      </w:r>
      <w:r w:rsidR="005008A7" w:rsidRPr="00950D52">
        <w:rPr>
          <w:rFonts w:ascii="Open Sans" w:hAnsi="Open Sans" w:cs="Open Sans"/>
          <w:sz w:val="20"/>
          <w:szCs w:val="20"/>
        </w:rPr>
        <w:t xml:space="preserve">ap. </w:t>
      </w:r>
      <w:r w:rsidR="00846202" w:rsidRPr="00950D52">
        <w:rPr>
          <w:rFonts w:ascii="Open Sans" w:hAnsi="Open Sans" w:cs="Open Sans"/>
          <w:sz w:val="20"/>
          <w:szCs w:val="20"/>
        </w:rPr>
        <w:t xml:space="preserve">The space between the </w:t>
      </w:r>
      <w:r w:rsidR="00222E95">
        <w:rPr>
          <w:rFonts w:ascii="Open Sans" w:hAnsi="Open Sans" w:cs="Open Sans"/>
          <w:sz w:val="20"/>
          <w:szCs w:val="20"/>
        </w:rPr>
        <w:t>F</w:t>
      </w:r>
      <w:r w:rsidR="00846202" w:rsidRPr="00950D52">
        <w:rPr>
          <w:rFonts w:ascii="Open Sans" w:hAnsi="Open Sans" w:cs="Open Sans"/>
          <w:sz w:val="20"/>
          <w:szCs w:val="20"/>
        </w:rPr>
        <w:t xml:space="preserve">loor and the </w:t>
      </w:r>
      <w:r w:rsidR="00222E95">
        <w:rPr>
          <w:rFonts w:ascii="Open Sans" w:hAnsi="Open Sans" w:cs="Open Sans"/>
          <w:sz w:val="20"/>
          <w:szCs w:val="20"/>
        </w:rPr>
        <w:t>C</w:t>
      </w:r>
      <w:r w:rsidR="00846202" w:rsidRPr="00950D52">
        <w:rPr>
          <w:rFonts w:ascii="Open Sans" w:hAnsi="Open Sans" w:cs="Open Sans"/>
          <w:sz w:val="20"/>
          <w:szCs w:val="20"/>
        </w:rPr>
        <w:t xml:space="preserve">ap will be seen as </w:t>
      </w:r>
      <w:r w:rsidR="00E309AE" w:rsidRPr="00950D52">
        <w:rPr>
          <w:rFonts w:ascii="Open Sans" w:hAnsi="Open Sans" w:cs="Open Sans"/>
          <w:sz w:val="20"/>
          <w:szCs w:val="20"/>
        </w:rPr>
        <w:t>valuable</w:t>
      </w:r>
      <w:r w:rsidR="00846202" w:rsidRPr="00950D52">
        <w:rPr>
          <w:rFonts w:ascii="Open Sans" w:hAnsi="Open Sans" w:cs="Open Sans"/>
          <w:sz w:val="20"/>
          <w:szCs w:val="20"/>
        </w:rPr>
        <w:t xml:space="preserve"> additional return, rather </w:t>
      </w:r>
      <w:r w:rsidR="00361387" w:rsidRPr="00950D52">
        <w:rPr>
          <w:rFonts w:ascii="Open Sans" w:hAnsi="Open Sans" w:cs="Open Sans"/>
          <w:sz w:val="20"/>
          <w:szCs w:val="20"/>
        </w:rPr>
        <w:t>than</w:t>
      </w:r>
      <w:r w:rsidR="00846202" w:rsidRPr="00950D52">
        <w:rPr>
          <w:rFonts w:ascii="Open Sans" w:hAnsi="Open Sans" w:cs="Open Sans"/>
          <w:sz w:val="20"/>
          <w:szCs w:val="20"/>
        </w:rPr>
        <w:t xml:space="preserve"> </w:t>
      </w:r>
      <w:r w:rsidR="00E309AE" w:rsidRPr="00950D52">
        <w:rPr>
          <w:rFonts w:ascii="Open Sans" w:hAnsi="Open Sans" w:cs="Open Sans"/>
          <w:sz w:val="20"/>
          <w:szCs w:val="20"/>
        </w:rPr>
        <w:t xml:space="preserve">a level that must be reached to make the project viable. </w:t>
      </w:r>
      <w:r w:rsidR="00950D52" w:rsidRPr="00950D52">
        <w:rPr>
          <w:rFonts w:ascii="Open Sans" w:hAnsi="Open Sans" w:cs="Open Sans"/>
          <w:sz w:val="20"/>
          <w:szCs w:val="20"/>
        </w:rPr>
        <w:t>As such</w:t>
      </w:r>
      <w:r w:rsidR="00361387">
        <w:rPr>
          <w:rFonts w:ascii="Open Sans" w:hAnsi="Open Sans" w:cs="Open Sans"/>
          <w:sz w:val="20"/>
          <w:szCs w:val="20"/>
        </w:rPr>
        <w:t xml:space="preserve">, through cheaper capital and </w:t>
      </w:r>
      <w:r w:rsidR="00944D3C">
        <w:rPr>
          <w:rFonts w:ascii="Open Sans" w:hAnsi="Open Sans" w:cs="Open Sans"/>
          <w:sz w:val="20"/>
          <w:szCs w:val="20"/>
        </w:rPr>
        <w:t xml:space="preserve">a potentially lower </w:t>
      </w:r>
      <w:r w:rsidR="00222E95">
        <w:rPr>
          <w:rFonts w:ascii="Open Sans" w:hAnsi="Open Sans" w:cs="Open Sans"/>
          <w:sz w:val="20"/>
          <w:szCs w:val="20"/>
        </w:rPr>
        <w:t>C</w:t>
      </w:r>
      <w:r w:rsidR="00944D3C">
        <w:rPr>
          <w:rFonts w:ascii="Open Sans" w:hAnsi="Open Sans" w:cs="Open Sans"/>
          <w:sz w:val="20"/>
          <w:szCs w:val="20"/>
        </w:rPr>
        <w:t xml:space="preserve">ap, </w:t>
      </w:r>
      <w:r w:rsidR="00222E95">
        <w:rPr>
          <w:rFonts w:ascii="Open Sans" w:hAnsi="Open Sans" w:cs="Open Sans"/>
          <w:sz w:val="20"/>
          <w:szCs w:val="20"/>
        </w:rPr>
        <w:t>G</w:t>
      </w:r>
      <w:r w:rsidR="00944D3C">
        <w:rPr>
          <w:rFonts w:ascii="Open Sans" w:hAnsi="Open Sans" w:cs="Open Sans"/>
          <w:sz w:val="20"/>
          <w:szCs w:val="20"/>
        </w:rPr>
        <w:t xml:space="preserve">overnment </w:t>
      </w:r>
      <w:r w:rsidR="00950D52" w:rsidRPr="00950D52">
        <w:rPr>
          <w:rFonts w:ascii="Open Sans" w:hAnsi="Open Sans" w:cs="Open Sans"/>
          <w:sz w:val="20"/>
          <w:szCs w:val="20"/>
        </w:rPr>
        <w:t xml:space="preserve">will help both deliver investment certainty and reduce consumer exposure. </w:t>
      </w:r>
    </w:p>
    <w:p w14:paraId="54306B03" w14:textId="77777777" w:rsidR="00B5021E" w:rsidRPr="00BD7B08" w:rsidRDefault="00B5021E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53021853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19. Should we require projects to outline how they intend to operationalise the asset</w:t>
      </w:r>
    </w:p>
    <w:p w14:paraId="126C05AA" w14:textId="77777777" w:rsid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to exceed the floor?</w:t>
      </w:r>
    </w:p>
    <w:p w14:paraId="07C599E4" w14:textId="77777777" w:rsidR="00222E95" w:rsidRDefault="00222E95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595EDE83" w14:textId="66372D34" w:rsidR="006B5AFF" w:rsidRDefault="0082477A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This should not be required</w:t>
      </w:r>
      <w:r w:rsidR="00425D28">
        <w:rPr>
          <w:rFonts w:ascii="Open Sans" w:hAnsi="Open Sans" w:cs="Open Sans"/>
          <w:sz w:val="20"/>
          <w:szCs w:val="20"/>
        </w:rPr>
        <w:t>,</w:t>
      </w:r>
      <w:r w:rsidR="006B5AFF">
        <w:rPr>
          <w:rFonts w:ascii="Open Sans" w:hAnsi="Open Sans" w:cs="Open Sans"/>
          <w:sz w:val="20"/>
          <w:szCs w:val="20"/>
        </w:rPr>
        <w:t xml:space="preserve"> although applicants will likely have such information available</w:t>
      </w:r>
      <w:r w:rsidR="00683DF4">
        <w:rPr>
          <w:rFonts w:ascii="Open Sans" w:hAnsi="Open Sans" w:cs="Open Sans"/>
          <w:sz w:val="20"/>
          <w:szCs w:val="20"/>
        </w:rPr>
        <w:t>.</w:t>
      </w:r>
      <w:r w:rsidR="006B5AFF">
        <w:rPr>
          <w:rFonts w:ascii="Open Sans" w:hAnsi="Open Sans" w:cs="Open Sans"/>
          <w:sz w:val="20"/>
          <w:szCs w:val="20"/>
        </w:rPr>
        <w:t xml:space="preserve"> </w:t>
      </w:r>
      <w:proofErr w:type="gramStart"/>
      <w:r w:rsidR="006B5AFF">
        <w:rPr>
          <w:rFonts w:ascii="Open Sans" w:hAnsi="Open Sans" w:cs="Open Sans"/>
          <w:sz w:val="20"/>
          <w:szCs w:val="20"/>
        </w:rPr>
        <w:t>On the whole</w:t>
      </w:r>
      <w:proofErr w:type="gramEnd"/>
      <w:r w:rsidR="00425D28">
        <w:rPr>
          <w:rFonts w:ascii="Open Sans" w:hAnsi="Open Sans" w:cs="Open Sans"/>
          <w:sz w:val="20"/>
          <w:szCs w:val="20"/>
        </w:rPr>
        <w:t xml:space="preserve">, </w:t>
      </w:r>
      <w:r w:rsidR="006B5AFF">
        <w:rPr>
          <w:rFonts w:ascii="Open Sans" w:hAnsi="Open Sans" w:cs="Open Sans"/>
          <w:sz w:val="20"/>
          <w:szCs w:val="20"/>
        </w:rPr>
        <w:t xml:space="preserve">if it can be </w:t>
      </w:r>
      <w:r w:rsidR="001104A9">
        <w:rPr>
          <w:rFonts w:ascii="Open Sans" w:hAnsi="Open Sans" w:cs="Open Sans"/>
          <w:sz w:val="20"/>
          <w:szCs w:val="20"/>
        </w:rPr>
        <w:t>avoided,</w:t>
      </w:r>
      <w:r w:rsidR="006B5AFF">
        <w:rPr>
          <w:rFonts w:ascii="Open Sans" w:hAnsi="Open Sans" w:cs="Open Sans"/>
          <w:sz w:val="20"/>
          <w:szCs w:val="20"/>
        </w:rPr>
        <w:t xml:space="preserve"> then this would reduce concerns </w:t>
      </w:r>
      <w:r w:rsidR="00394694">
        <w:rPr>
          <w:rFonts w:ascii="Open Sans" w:hAnsi="Open Sans" w:cs="Open Sans"/>
          <w:sz w:val="20"/>
          <w:szCs w:val="20"/>
        </w:rPr>
        <w:t>around</w:t>
      </w:r>
      <w:r w:rsidR="007C23A4">
        <w:rPr>
          <w:rFonts w:ascii="Open Sans" w:hAnsi="Open Sans" w:cs="Open Sans"/>
          <w:sz w:val="20"/>
          <w:szCs w:val="20"/>
        </w:rPr>
        <w:t xml:space="preserve"> the</w:t>
      </w:r>
      <w:r w:rsidR="00394694">
        <w:rPr>
          <w:rFonts w:ascii="Open Sans" w:hAnsi="Open Sans" w:cs="Open Sans"/>
          <w:sz w:val="20"/>
          <w:szCs w:val="20"/>
        </w:rPr>
        <w:t xml:space="preserve"> </w:t>
      </w:r>
      <w:r w:rsidR="006B5AFF">
        <w:rPr>
          <w:rFonts w:ascii="Open Sans" w:hAnsi="Open Sans" w:cs="Open Sans"/>
          <w:sz w:val="20"/>
          <w:szCs w:val="20"/>
        </w:rPr>
        <w:t xml:space="preserve">commercial </w:t>
      </w:r>
      <w:r w:rsidR="00394694">
        <w:rPr>
          <w:rFonts w:ascii="Open Sans" w:hAnsi="Open Sans" w:cs="Open Sans"/>
          <w:sz w:val="20"/>
          <w:szCs w:val="20"/>
        </w:rPr>
        <w:t>sensitivity</w:t>
      </w:r>
      <w:r w:rsidR="006B5AFF">
        <w:rPr>
          <w:rFonts w:ascii="Open Sans" w:hAnsi="Open Sans" w:cs="Open Sans"/>
          <w:sz w:val="20"/>
          <w:szCs w:val="20"/>
        </w:rPr>
        <w:t xml:space="preserve"> </w:t>
      </w:r>
      <w:r w:rsidR="00394694">
        <w:rPr>
          <w:rFonts w:ascii="Open Sans" w:hAnsi="Open Sans" w:cs="Open Sans"/>
          <w:sz w:val="20"/>
          <w:szCs w:val="20"/>
        </w:rPr>
        <w:t xml:space="preserve">of handing such information over, even if it is never intended to </w:t>
      </w:r>
      <w:r w:rsidR="001E7C08">
        <w:rPr>
          <w:rFonts w:ascii="Open Sans" w:hAnsi="Open Sans" w:cs="Open Sans"/>
          <w:sz w:val="20"/>
          <w:szCs w:val="20"/>
        </w:rPr>
        <w:t>be published</w:t>
      </w:r>
      <w:r w:rsidR="001104A9">
        <w:rPr>
          <w:rFonts w:ascii="Open Sans" w:hAnsi="Open Sans" w:cs="Open Sans"/>
          <w:sz w:val="20"/>
          <w:szCs w:val="20"/>
        </w:rPr>
        <w:t xml:space="preserve">. </w:t>
      </w:r>
    </w:p>
    <w:p w14:paraId="22122DAA" w14:textId="77777777" w:rsidR="006B5AFF" w:rsidRDefault="006B5AFF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</w:p>
    <w:p w14:paraId="01CAC62B" w14:textId="765F6536" w:rsidR="005C1B0A" w:rsidRPr="0082477A" w:rsidRDefault="0061060B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On the whole a</w:t>
      </w:r>
      <w:r w:rsidR="00683DF4">
        <w:rPr>
          <w:rFonts w:ascii="Open Sans" w:hAnsi="Open Sans" w:cs="Open Sans"/>
          <w:sz w:val="20"/>
          <w:szCs w:val="20"/>
        </w:rPr>
        <w:t xml:space="preserve"> project will not be able </w:t>
      </w:r>
      <w:r w:rsidR="00944D3C">
        <w:rPr>
          <w:rFonts w:ascii="Open Sans" w:hAnsi="Open Sans" w:cs="Open Sans"/>
          <w:sz w:val="20"/>
          <w:szCs w:val="20"/>
        </w:rPr>
        <w:t>to reach</w:t>
      </w:r>
      <w:r w:rsidR="00683DF4">
        <w:rPr>
          <w:rFonts w:ascii="Open Sans" w:hAnsi="Open Sans" w:cs="Open Sans"/>
          <w:sz w:val="20"/>
          <w:szCs w:val="20"/>
        </w:rPr>
        <w:t xml:space="preserve"> financial close unless </w:t>
      </w:r>
      <w:r w:rsidR="00CC2C8A">
        <w:rPr>
          <w:rFonts w:ascii="Open Sans" w:hAnsi="Open Sans" w:cs="Open Sans"/>
          <w:sz w:val="20"/>
          <w:szCs w:val="20"/>
        </w:rPr>
        <w:t xml:space="preserve">able to demonstrate </w:t>
      </w:r>
      <w:proofErr w:type="gramStart"/>
      <w:r w:rsidR="00CC2C8A">
        <w:rPr>
          <w:rFonts w:ascii="Open Sans" w:hAnsi="Open Sans" w:cs="Open Sans"/>
          <w:sz w:val="20"/>
          <w:szCs w:val="20"/>
        </w:rPr>
        <w:t>to  investors</w:t>
      </w:r>
      <w:proofErr w:type="gramEnd"/>
      <w:r w:rsidR="00CC2C8A">
        <w:rPr>
          <w:rFonts w:ascii="Open Sans" w:hAnsi="Open Sans" w:cs="Open Sans"/>
          <w:sz w:val="20"/>
          <w:szCs w:val="20"/>
        </w:rPr>
        <w:t xml:space="preserve"> that they </w:t>
      </w:r>
      <w:r w:rsidR="00606EA7">
        <w:rPr>
          <w:rFonts w:ascii="Open Sans" w:hAnsi="Open Sans" w:cs="Open Sans"/>
          <w:sz w:val="20"/>
          <w:szCs w:val="20"/>
        </w:rPr>
        <w:t>will be</w:t>
      </w:r>
      <w:r w:rsidR="00CC2C8A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 xml:space="preserve">able to get above the </w:t>
      </w:r>
      <w:r w:rsidR="00606EA7">
        <w:rPr>
          <w:rFonts w:ascii="Open Sans" w:hAnsi="Open Sans" w:cs="Open Sans"/>
          <w:sz w:val="20"/>
          <w:szCs w:val="20"/>
        </w:rPr>
        <w:t>F</w:t>
      </w:r>
      <w:r>
        <w:rPr>
          <w:rFonts w:ascii="Open Sans" w:hAnsi="Open Sans" w:cs="Open Sans"/>
          <w:sz w:val="20"/>
          <w:szCs w:val="20"/>
        </w:rPr>
        <w:t xml:space="preserve">loor. </w:t>
      </w:r>
      <w:r w:rsidR="00A1533D">
        <w:rPr>
          <w:rFonts w:ascii="Open Sans" w:hAnsi="Open Sans" w:cs="Open Sans"/>
          <w:sz w:val="20"/>
          <w:szCs w:val="20"/>
        </w:rPr>
        <w:t xml:space="preserve">If setting the </w:t>
      </w:r>
      <w:r w:rsidR="00606EA7">
        <w:rPr>
          <w:rFonts w:ascii="Open Sans" w:hAnsi="Open Sans" w:cs="Open Sans"/>
          <w:sz w:val="20"/>
          <w:szCs w:val="20"/>
        </w:rPr>
        <w:t>F</w:t>
      </w:r>
      <w:r w:rsidR="00A1533D">
        <w:rPr>
          <w:rFonts w:ascii="Open Sans" w:hAnsi="Open Sans" w:cs="Open Sans"/>
          <w:sz w:val="20"/>
          <w:szCs w:val="20"/>
        </w:rPr>
        <w:t xml:space="preserve">loor only at a debt level, then projects will certainly have to operate above the </w:t>
      </w:r>
      <w:r w:rsidR="00033702">
        <w:rPr>
          <w:rFonts w:ascii="Open Sans" w:hAnsi="Open Sans" w:cs="Open Sans"/>
          <w:sz w:val="20"/>
          <w:szCs w:val="20"/>
        </w:rPr>
        <w:t>F</w:t>
      </w:r>
      <w:r w:rsidR="00A1533D">
        <w:rPr>
          <w:rFonts w:ascii="Open Sans" w:hAnsi="Open Sans" w:cs="Open Sans"/>
          <w:sz w:val="20"/>
          <w:szCs w:val="20"/>
        </w:rPr>
        <w:t>loor</w:t>
      </w:r>
      <w:r w:rsidR="00207FF1">
        <w:rPr>
          <w:rFonts w:ascii="Open Sans" w:hAnsi="Open Sans" w:cs="Open Sans"/>
          <w:sz w:val="20"/>
          <w:szCs w:val="20"/>
        </w:rPr>
        <w:t>.</w:t>
      </w:r>
      <w:r w:rsidR="00A1533D">
        <w:rPr>
          <w:rFonts w:ascii="Open Sans" w:hAnsi="Open Sans" w:cs="Open Sans"/>
          <w:sz w:val="20"/>
          <w:szCs w:val="20"/>
        </w:rPr>
        <w:t xml:space="preserve"> </w:t>
      </w:r>
      <w:r w:rsidR="00207FF1">
        <w:rPr>
          <w:rFonts w:ascii="Open Sans" w:hAnsi="Open Sans" w:cs="Open Sans"/>
          <w:sz w:val="20"/>
          <w:szCs w:val="20"/>
        </w:rPr>
        <w:t>H</w:t>
      </w:r>
      <w:r w:rsidR="00A1533D">
        <w:rPr>
          <w:rFonts w:ascii="Open Sans" w:hAnsi="Open Sans" w:cs="Open Sans"/>
          <w:sz w:val="20"/>
          <w:szCs w:val="20"/>
        </w:rPr>
        <w:t>owever</w:t>
      </w:r>
      <w:r w:rsidR="00207FF1">
        <w:rPr>
          <w:rFonts w:ascii="Open Sans" w:hAnsi="Open Sans" w:cs="Open Sans"/>
          <w:sz w:val="20"/>
          <w:szCs w:val="20"/>
        </w:rPr>
        <w:t>, it should be noted that</w:t>
      </w:r>
      <w:r w:rsidR="00A1533D">
        <w:rPr>
          <w:rFonts w:ascii="Open Sans" w:hAnsi="Open Sans" w:cs="Open Sans"/>
          <w:sz w:val="20"/>
          <w:szCs w:val="20"/>
        </w:rPr>
        <w:t xml:space="preserve"> this will attract a high</w:t>
      </w:r>
      <w:r w:rsidR="00207FF1">
        <w:rPr>
          <w:rFonts w:ascii="Open Sans" w:hAnsi="Open Sans" w:cs="Open Sans"/>
          <w:sz w:val="20"/>
          <w:szCs w:val="20"/>
        </w:rPr>
        <w:t>er risk primum to the capex</w:t>
      </w:r>
      <w:r w:rsidR="003F40E3">
        <w:rPr>
          <w:rFonts w:ascii="Open Sans" w:hAnsi="Open Sans" w:cs="Open Sans"/>
          <w:sz w:val="20"/>
          <w:szCs w:val="20"/>
        </w:rPr>
        <w:t xml:space="preserve"> and</w:t>
      </w:r>
      <w:r w:rsidR="001E7C08">
        <w:rPr>
          <w:rFonts w:ascii="Open Sans" w:hAnsi="Open Sans" w:cs="Open Sans"/>
          <w:sz w:val="20"/>
          <w:szCs w:val="20"/>
        </w:rPr>
        <w:t xml:space="preserve"> increasing costs for </w:t>
      </w:r>
      <w:r w:rsidR="00883C7F">
        <w:rPr>
          <w:rFonts w:ascii="Open Sans" w:hAnsi="Open Sans" w:cs="Open Sans"/>
          <w:sz w:val="20"/>
          <w:szCs w:val="20"/>
        </w:rPr>
        <w:t>consumers if</w:t>
      </w:r>
      <w:r w:rsidR="00207FF1">
        <w:rPr>
          <w:rFonts w:ascii="Open Sans" w:hAnsi="Open Sans" w:cs="Open Sans"/>
          <w:sz w:val="20"/>
          <w:szCs w:val="20"/>
        </w:rPr>
        <w:t xml:space="preserve"> there isn’t a minimum return also built into the floor. </w:t>
      </w:r>
    </w:p>
    <w:p w14:paraId="1C3776AB" w14:textId="77777777" w:rsidR="005C1B0A" w:rsidRPr="00BD7B08" w:rsidRDefault="005C1B0A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5522189B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20. Do you agree using annual gross margin is a suitable approach to setting the cap</w:t>
      </w:r>
    </w:p>
    <w:p w14:paraId="1816E7F3" w14:textId="77777777" w:rsid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and floor thresholds? If not, what alternative would you suggest?</w:t>
      </w:r>
    </w:p>
    <w:p w14:paraId="4B952B53" w14:textId="77777777" w:rsidR="00944D3C" w:rsidRDefault="00944D3C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690B732B" w14:textId="5456FA40" w:rsidR="00E909AD" w:rsidRDefault="00E909AD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0E055C">
        <w:rPr>
          <w:rFonts w:ascii="Open Sans" w:hAnsi="Open Sans" w:cs="Open Sans"/>
          <w:sz w:val="20"/>
          <w:szCs w:val="20"/>
        </w:rPr>
        <w:t>Yes</w:t>
      </w:r>
      <w:r w:rsidR="003F40E3">
        <w:rPr>
          <w:rFonts w:ascii="Open Sans" w:hAnsi="Open Sans" w:cs="Open Sans"/>
          <w:sz w:val="20"/>
          <w:szCs w:val="20"/>
        </w:rPr>
        <w:t>,</w:t>
      </w:r>
      <w:r w:rsidRPr="000E055C">
        <w:rPr>
          <w:rFonts w:ascii="Open Sans" w:hAnsi="Open Sans" w:cs="Open Sans"/>
          <w:sz w:val="20"/>
          <w:szCs w:val="20"/>
        </w:rPr>
        <w:t xml:space="preserve"> </w:t>
      </w:r>
      <w:r w:rsidR="000E055C" w:rsidRPr="000E055C">
        <w:rPr>
          <w:rFonts w:ascii="Open Sans" w:hAnsi="Open Sans" w:cs="Open Sans"/>
          <w:sz w:val="20"/>
          <w:szCs w:val="20"/>
        </w:rPr>
        <w:t xml:space="preserve">this seems appropriate, as is the case with interconnector agreements. </w:t>
      </w:r>
    </w:p>
    <w:p w14:paraId="0C12CE1A" w14:textId="145E423E" w:rsidR="000E055C" w:rsidRPr="000E055C" w:rsidRDefault="000E055C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0E055C">
        <w:rPr>
          <w:rFonts w:ascii="Open Sans" w:hAnsi="Open Sans" w:cs="Open Sans"/>
          <w:sz w:val="20"/>
          <w:szCs w:val="20"/>
          <w:highlight w:val="yellow"/>
        </w:rPr>
        <w:t>[Further member feedback welcome]</w:t>
      </w:r>
    </w:p>
    <w:p w14:paraId="514CAF59" w14:textId="577D79DD" w:rsidR="00944D3C" w:rsidRPr="00BD7B08" w:rsidRDefault="00944D3C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41CD0F7F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21. What performance incentive could be used to encourage full operation of assets</w:t>
      </w:r>
    </w:p>
    <w:p w14:paraId="72D85A25" w14:textId="77777777" w:rsid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to prevent dispatch distortions around the cap?</w:t>
      </w:r>
    </w:p>
    <w:p w14:paraId="07B0B2BA" w14:textId="77777777" w:rsidR="000E055C" w:rsidRDefault="000E055C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4CAF2568" w14:textId="45A8E12F" w:rsidR="000E055C" w:rsidRPr="00153A67" w:rsidRDefault="006B3A20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153A67">
        <w:rPr>
          <w:rFonts w:ascii="Open Sans" w:hAnsi="Open Sans" w:cs="Open Sans"/>
          <w:sz w:val="20"/>
          <w:szCs w:val="20"/>
        </w:rPr>
        <w:t xml:space="preserve">As we identified in the </w:t>
      </w:r>
      <w:r w:rsidR="00E810FA" w:rsidRPr="00153A67">
        <w:rPr>
          <w:rFonts w:ascii="Open Sans" w:hAnsi="Open Sans" w:cs="Open Sans"/>
          <w:sz w:val="20"/>
          <w:szCs w:val="20"/>
        </w:rPr>
        <w:t>c</w:t>
      </w:r>
      <w:r w:rsidRPr="00153A67">
        <w:rPr>
          <w:rFonts w:ascii="Open Sans" w:hAnsi="Open Sans" w:cs="Open Sans"/>
          <w:sz w:val="20"/>
          <w:szCs w:val="20"/>
        </w:rPr>
        <w:t xml:space="preserve">all for </w:t>
      </w:r>
      <w:r w:rsidR="00E810FA" w:rsidRPr="00153A67">
        <w:rPr>
          <w:rFonts w:ascii="Open Sans" w:hAnsi="Open Sans" w:cs="Open Sans"/>
          <w:sz w:val="20"/>
          <w:szCs w:val="20"/>
        </w:rPr>
        <w:t>evidence,</w:t>
      </w:r>
      <w:r w:rsidRPr="00153A67">
        <w:rPr>
          <w:rFonts w:ascii="Open Sans" w:hAnsi="Open Sans" w:cs="Open Sans"/>
          <w:sz w:val="20"/>
          <w:szCs w:val="20"/>
        </w:rPr>
        <w:t xml:space="preserve"> we </w:t>
      </w:r>
      <w:r w:rsidR="008B29E1" w:rsidRPr="00153A67">
        <w:rPr>
          <w:rFonts w:ascii="Open Sans" w:hAnsi="Open Sans" w:cs="Open Sans"/>
          <w:sz w:val="20"/>
          <w:szCs w:val="20"/>
        </w:rPr>
        <w:t>support a soft-</w:t>
      </w:r>
      <w:r w:rsidR="00483238">
        <w:rPr>
          <w:rFonts w:ascii="Open Sans" w:hAnsi="Open Sans" w:cs="Open Sans"/>
          <w:sz w:val="20"/>
          <w:szCs w:val="20"/>
        </w:rPr>
        <w:t>C</w:t>
      </w:r>
      <w:r w:rsidR="008B29E1" w:rsidRPr="00153A67">
        <w:rPr>
          <w:rFonts w:ascii="Open Sans" w:hAnsi="Open Sans" w:cs="Open Sans"/>
          <w:sz w:val="20"/>
          <w:szCs w:val="20"/>
        </w:rPr>
        <w:t xml:space="preserve">ap approach, which would mean that </w:t>
      </w:r>
      <w:r w:rsidR="00934EE8" w:rsidRPr="00153A67">
        <w:rPr>
          <w:rFonts w:ascii="Open Sans" w:hAnsi="Open Sans" w:cs="Open Sans"/>
          <w:sz w:val="20"/>
          <w:szCs w:val="20"/>
        </w:rPr>
        <w:t xml:space="preserve">assets are still able to respond to market signals, rather </w:t>
      </w:r>
      <w:r w:rsidR="00153A67" w:rsidRPr="00153A67">
        <w:rPr>
          <w:rFonts w:ascii="Open Sans" w:hAnsi="Open Sans" w:cs="Open Sans"/>
          <w:sz w:val="20"/>
          <w:szCs w:val="20"/>
        </w:rPr>
        <w:t>than</w:t>
      </w:r>
      <w:r w:rsidR="00934EE8" w:rsidRPr="00153A67">
        <w:rPr>
          <w:rFonts w:ascii="Open Sans" w:hAnsi="Open Sans" w:cs="Open Sans"/>
          <w:sz w:val="20"/>
          <w:szCs w:val="20"/>
        </w:rPr>
        <w:t xml:space="preserve"> see a cliff edge return of their gross margin above the </w:t>
      </w:r>
      <w:r w:rsidR="00483238">
        <w:rPr>
          <w:rFonts w:ascii="Open Sans" w:hAnsi="Open Sans" w:cs="Open Sans"/>
          <w:sz w:val="20"/>
          <w:szCs w:val="20"/>
        </w:rPr>
        <w:t>C</w:t>
      </w:r>
      <w:r w:rsidR="00934EE8" w:rsidRPr="00153A67">
        <w:rPr>
          <w:rFonts w:ascii="Open Sans" w:hAnsi="Open Sans" w:cs="Open Sans"/>
          <w:sz w:val="20"/>
          <w:szCs w:val="20"/>
        </w:rPr>
        <w:t xml:space="preserve">ap. If designed well, with a clear tapering system, the assets will still maximise their operation above the </w:t>
      </w:r>
      <w:r w:rsidR="00483238">
        <w:rPr>
          <w:rFonts w:ascii="Open Sans" w:hAnsi="Open Sans" w:cs="Open Sans"/>
          <w:sz w:val="20"/>
          <w:szCs w:val="20"/>
        </w:rPr>
        <w:t>C</w:t>
      </w:r>
      <w:r w:rsidR="00934EE8" w:rsidRPr="00153A67">
        <w:rPr>
          <w:rFonts w:ascii="Open Sans" w:hAnsi="Open Sans" w:cs="Open Sans"/>
          <w:sz w:val="20"/>
          <w:szCs w:val="20"/>
        </w:rPr>
        <w:t xml:space="preserve">ap </w:t>
      </w:r>
      <w:r w:rsidR="00153A67" w:rsidRPr="00153A67">
        <w:rPr>
          <w:rFonts w:ascii="Open Sans" w:hAnsi="Open Sans" w:cs="Open Sans"/>
          <w:sz w:val="20"/>
          <w:szCs w:val="20"/>
        </w:rPr>
        <w:t>and prevent dispatch distortions.</w:t>
      </w:r>
    </w:p>
    <w:p w14:paraId="65FF392D" w14:textId="77777777" w:rsidR="006B3A20" w:rsidRPr="00BD7B08" w:rsidRDefault="006B3A20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71072391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22. What performance incentive could be used to encourage full operation of assets</w:t>
      </w:r>
    </w:p>
    <w:p w14:paraId="39EC61B2" w14:textId="77777777" w:rsid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to prevent dispatch distortions relating around the floor?</w:t>
      </w:r>
    </w:p>
    <w:p w14:paraId="3F3BA4A8" w14:textId="77777777" w:rsidR="003B2AE3" w:rsidRDefault="003B2AE3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17D8158E" w14:textId="4D280658" w:rsidR="003B2AE3" w:rsidRPr="00821CBB" w:rsidRDefault="003B2AE3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821CBB">
        <w:rPr>
          <w:rFonts w:ascii="Open Sans" w:hAnsi="Open Sans" w:cs="Open Sans"/>
          <w:sz w:val="20"/>
          <w:szCs w:val="20"/>
        </w:rPr>
        <w:t xml:space="preserve">Building in a minimum return at the </w:t>
      </w:r>
      <w:r w:rsidR="00483238">
        <w:rPr>
          <w:rFonts w:ascii="Open Sans" w:hAnsi="Open Sans" w:cs="Open Sans"/>
          <w:sz w:val="20"/>
          <w:szCs w:val="20"/>
        </w:rPr>
        <w:t>F</w:t>
      </w:r>
      <w:r w:rsidRPr="00821CBB">
        <w:rPr>
          <w:rFonts w:ascii="Open Sans" w:hAnsi="Open Sans" w:cs="Open Sans"/>
          <w:sz w:val="20"/>
          <w:szCs w:val="20"/>
        </w:rPr>
        <w:t xml:space="preserve">loor, if it is reached, would ensure assets are operational to the </w:t>
      </w:r>
      <w:r w:rsidR="008876BF">
        <w:rPr>
          <w:rFonts w:ascii="Open Sans" w:hAnsi="Open Sans" w:cs="Open Sans"/>
          <w:sz w:val="20"/>
          <w:szCs w:val="20"/>
        </w:rPr>
        <w:t>F</w:t>
      </w:r>
      <w:r w:rsidRPr="00821CBB">
        <w:rPr>
          <w:rFonts w:ascii="Open Sans" w:hAnsi="Open Sans" w:cs="Open Sans"/>
          <w:sz w:val="20"/>
          <w:szCs w:val="20"/>
        </w:rPr>
        <w:t xml:space="preserve">loor. Failure to </w:t>
      </w:r>
      <w:r w:rsidR="00E9575A">
        <w:rPr>
          <w:rFonts w:ascii="Open Sans" w:hAnsi="Open Sans" w:cs="Open Sans"/>
          <w:sz w:val="20"/>
          <w:szCs w:val="20"/>
        </w:rPr>
        <w:t>reach</w:t>
      </w:r>
      <w:r w:rsidR="008876BF">
        <w:rPr>
          <w:rFonts w:ascii="Open Sans" w:hAnsi="Open Sans" w:cs="Open Sans"/>
          <w:sz w:val="20"/>
          <w:szCs w:val="20"/>
        </w:rPr>
        <w:t xml:space="preserve"> this</w:t>
      </w:r>
      <w:r w:rsidR="00E9575A">
        <w:rPr>
          <w:rFonts w:ascii="Open Sans" w:hAnsi="Open Sans" w:cs="Open Sans"/>
          <w:sz w:val="20"/>
          <w:szCs w:val="20"/>
        </w:rPr>
        <w:t xml:space="preserve"> </w:t>
      </w:r>
      <w:r w:rsidRPr="00821CBB">
        <w:rPr>
          <w:rFonts w:ascii="Open Sans" w:hAnsi="Open Sans" w:cs="Open Sans"/>
          <w:sz w:val="20"/>
          <w:szCs w:val="20"/>
        </w:rPr>
        <w:t>would mean that</w:t>
      </w:r>
      <w:r w:rsidR="00E9575A">
        <w:rPr>
          <w:rFonts w:ascii="Open Sans" w:hAnsi="Open Sans" w:cs="Open Sans"/>
          <w:sz w:val="20"/>
          <w:szCs w:val="20"/>
        </w:rPr>
        <w:t xml:space="preserve"> a</w:t>
      </w:r>
      <w:r w:rsidRPr="00821CBB">
        <w:rPr>
          <w:rFonts w:ascii="Open Sans" w:hAnsi="Open Sans" w:cs="Open Sans"/>
          <w:sz w:val="20"/>
          <w:szCs w:val="20"/>
        </w:rPr>
        <w:t xml:space="preserve"> </w:t>
      </w:r>
      <w:r w:rsidR="008C2D51" w:rsidRPr="00821CBB">
        <w:rPr>
          <w:rFonts w:ascii="Open Sans" w:hAnsi="Open Sans" w:cs="Open Sans"/>
          <w:sz w:val="20"/>
          <w:szCs w:val="20"/>
        </w:rPr>
        <w:t xml:space="preserve">project would </w:t>
      </w:r>
      <w:r w:rsidR="00821CBB" w:rsidRPr="00821CBB">
        <w:rPr>
          <w:rFonts w:ascii="Open Sans" w:hAnsi="Open Sans" w:cs="Open Sans"/>
          <w:sz w:val="20"/>
          <w:szCs w:val="20"/>
        </w:rPr>
        <w:t>likely</w:t>
      </w:r>
      <w:r w:rsidR="008C2D51" w:rsidRPr="00821CBB">
        <w:rPr>
          <w:rFonts w:ascii="Open Sans" w:hAnsi="Open Sans" w:cs="Open Sans"/>
          <w:sz w:val="20"/>
          <w:szCs w:val="20"/>
        </w:rPr>
        <w:t xml:space="preserve"> not be commercially viable unless operational up to the </w:t>
      </w:r>
      <w:r w:rsidR="008876BF">
        <w:rPr>
          <w:rFonts w:ascii="Open Sans" w:hAnsi="Open Sans" w:cs="Open Sans"/>
          <w:sz w:val="20"/>
          <w:szCs w:val="20"/>
        </w:rPr>
        <w:t>F</w:t>
      </w:r>
      <w:r w:rsidR="008C2D51" w:rsidRPr="00821CBB">
        <w:rPr>
          <w:rFonts w:ascii="Open Sans" w:hAnsi="Open Sans" w:cs="Open Sans"/>
          <w:sz w:val="20"/>
          <w:szCs w:val="20"/>
        </w:rPr>
        <w:t xml:space="preserve">loor. </w:t>
      </w:r>
    </w:p>
    <w:p w14:paraId="6D5FBD25" w14:textId="77777777" w:rsidR="003B2AE3" w:rsidRPr="00BD7B08" w:rsidRDefault="003B2AE3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3C6CB26C" w14:textId="77777777" w:rsid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23. Do you agree with our proposed mitigations, or would you recommend others?</w:t>
      </w:r>
    </w:p>
    <w:p w14:paraId="618F6059" w14:textId="77777777" w:rsidR="00821CBB" w:rsidRDefault="00821CBB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74AB448F" w14:textId="59F131A9" w:rsidR="00821CBB" w:rsidRPr="00082ADA" w:rsidRDefault="00426029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proofErr w:type="gramStart"/>
      <w:r w:rsidRPr="00082ADA">
        <w:rPr>
          <w:rFonts w:ascii="Open Sans" w:hAnsi="Open Sans" w:cs="Open Sans"/>
          <w:sz w:val="20"/>
          <w:szCs w:val="20"/>
        </w:rPr>
        <w:t>In regard to</w:t>
      </w:r>
      <w:proofErr w:type="gramEnd"/>
      <w:r w:rsidR="00BC0F11" w:rsidRPr="00082ADA">
        <w:rPr>
          <w:rFonts w:ascii="Open Sans" w:hAnsi="Open Sans" w:cs="Open Sans"/>
          <w:sz w:val="20"/>
          <w:szCs w:val="20"/>
        </w:rPr>
        <w:t xml:space="preserve"> </w:t>
      </w:r>
      <w:r w:rsidR="0063669A" w:rsidRPr="00082ADA">
        <w:rPr>
          <w:rFonts w:ascii="Open Sans" w:hAnsi="Open Sans" w:cs="Open Sans"/>
          <w:sz w:val="20"/>
          <w:szCs w:val="20"/>
        </w:rPr>
        <w:t>cap distortion,</w:t>
      </w:r>
      <w:r w:rsidR="00143EFC" w:rsidRPr="00082ADA">
        <w:rPr>
          <w:rFonts w:ascii="Open Sans" w:hAnsi="Open Sans" w:cs="Open Sans"/>
          <w:sz w:val="20"/>
          <w:szCs w:val="20"/>
        </w:rPr>
        <w:t xml:space="preserve"> a</w:t>
      </w:r>
      <w:r w:rsidR="0063669A" w:rsidRPr="00082ADA">
        <w:rPr>
          <w:rFonts w:ascii="Open Sans" w:hAnsi="Open Sans" w:cs="Open Sans"/>
          <w:sz w:val="20"/>
          <w:szCs w:val="20"/>
        </w:rPr>
        <w:t xml:space="preserve"> </w:t>
      </w:r>
      <w:r w:rsidR="00143EFC" w:rsidRPr="00082ADA">
        <w:rPr>
          <w:rFonts w:ascii="Open Sans" w:hAnsi="Open Sans" w:cs="Open Sans"/>
          <w:sz w:val="20"/>
          <w:szCs w:val="20"/>
        </w:rPr>
        <w:t xml:space="preserve">performance requirement </w:t>
      </w:r>
      <w:r w:rsidR="00FE70DE" w:rsidRPr="00082ADA">
        <w:rPr>
          <w:rFonts w:ascii="Open Sans" w:hAnsi="Open Sans" w:cs="Open Sans"/>
          <w:sz w:val="20"/>
          <w:szCs w:val="20"/>
        </w:rPr>
        <w:t xml:space="preserve">as a mitigation </w:t>
      </w:r>
      <w:r w:rsidR="001B03F0" w:rsidRPr="00082ADA">
        <w:rPr>
          <w:rFonts w:ascii="Open Sans" w:hAnsi="Open Sans" w:cs="Open Sans"/>
          <w:sz w:val="20"/>
          <w:szCs w:val="20"/>
        </w:rPr>
        <w:t xml:space="preserve">proposal is likely to be redundant </w:t>
      </w:r>
      <w:r w:rsidR="00143EFC" w:rsidRPr="00082ADA">
        <w:rPr>
          <w:rFonts w:ascii="Open Sans" w:hAnsi="Open Sans" w:cs="Open Sans"/>
          <w:sz w:val="20"/>
          <w:szCs w:val="20"/>
        </w:rPr>
        <w:t xml:space="preserve">if you have a sliding soft cap. </w:t>
      </w:r>
      <w:r w:rsidRPr="00082ADA">
        <w:rPr>
          <w:rFonts w:ascii="Open Sans" w:hAnsi="Open Sans" w:cs="Open Sans"/>
          <w:sz w:val="20"/>
          <w:szCs w:val="20"/>
        </w:rPr>
        <w:t xml:space="preserve">Operators will already be incentivised to maximise their operations if they are still able to </w:t>
      </w:r>
      <w:r w:rsidR="00FE70DE" w:rsidRPr="00082ADA">
        <w:rPr>
          <w:rFonts w:ascii="Open Sans" w:hAnsi="Open Sans" w:cs="Open Sans"/>
          <w:sz w:val="20"/>
          <w:szCs w:val="20"/>
        </w:rPr>
        <w:t xml:space="preserve">keep some returns above the cap. </w:t>
      </w:r>
      <w:r w:rsidR="009D1761" w:rsidRPr="00082ADA">
        <w:rPr>
          <w:rFonts w:ascii="Open Sans" w:hAnsi="Open Sans" w:cs="Open Sans"/>
          <w:sz w:val="20"/>
          <w:szCs w:val="20"/>
        </w:rPr>
        <w:t xml:space="preserve">This will be further helped by allowing a multi-year review of gross margin </w:t>
      </w:r>
      <w:r w:rsidR="002E4A67" w:rsidRPr="00082ADA">
        <w:rPr>
          <w:rFonts w:ascii="Open Sans" w:hAnsi="Open Sans" w:cs="Open Sans"/>
          <w:sz w:val="20"/>
          <w:szCs w:val="20"/>
        </w:rPr>
        <w:t>revenue</w:t>
      </w:r>
      <w:r w:rsidR="009D1761" w:rsidRPr="00082ADA">
        <w:rPr>
          <w:rFonts w:ascii="Open Sans" w:hAnsi="Open Sans" w:cs="Open Sans"/>
          <w:sz w:val="20"/>
          <w:szCs w:val="20"/>
        </w:rPr>
        <w:t xml:space="preserve">, </w:t>
      </w:r>
      <w:r w:rsidR="002E4A67" w:rsidRPr="00082ADA">
        <w:rPr>
          <w:rFonts w:ascii="Open Sans" w:hAnsi="Open Sans" w:cs="Open Sans"/>
          <w:sz w:val="20"/>
          <w:szCs w:val="20"/>
        </w:rPr>
        <w:t xml:space="preserve">as periods below the cap will be smoothed out. </w:t>
      </w:r>
    </w:p>
    <w:p w14:paraId="068AD21F" w14:textId="77777777" w:rsidR="002E4A67" w:rsidRPr="00082ADA" w:rsidRDefault="002E4A67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</w:p>
    <w:p w14:paraId="60E9A492" w14:textId="4D46D202" w:rsidR="002E4A67" w:rsidRPr="00082ADA" w:rsidRDefault="004F19D3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proofErr w:type="gramStart"/>
      <w:r w:rsidRPr="00082ADA">
        <w:rPr>
          <w:rFonts w:ascii="Open Sans" w:hAnsi="Open Sans" w:cs="Open Sans"/>
          <w:sz w:val="20"/>
          <w:szCs w:val="20"/>
        </w:rPr>
        <w:t>In regard to</w:t>
      </w:r>
      <w:proofErr w:type="gramEnd"/>
      <w:r w:rsidR="002E4A67" w:rsidRPr="00082ADA">
        <w:rPr>
          <w:rFonts w:ascii="Open Sans" w:hAnsi="Open Sans" w:cs="Open Sans"/>
          <w:sz w:val="20"/>
          <w:szCs w:val="20"/>
        </w:rPr>
        <w:t xml:space="preserve"> </w:t>
      </w:r>
      <w:r w:rsidRPr="00082ADA">
        <w:rPr>
          <w:rFonts w:ascii="Open Sans" w:hAnsi="Open Sans" w:cs="Open Sans"/>
          <w:sz w:val="20"/>
          <w:szCs w:val="20"/>
        </w:rPr>
        <w:t>f</w:t>
      </w:r>
      <w:r w:rsidR="002E4A67" w:rsidRPr="00082ADA">
        <w:rPr>
          <w:rFonts w:ascii="Open Sans" w:hAnsi="Open Sans" w:cs="Open Sans"/>
          <w:sz w:val="20"/>
          <w:szCs w:val="20"/>
        </w:rPr>
        <w:t xml:space="preserve">loor distortions, </w:t>
      </w:r>
      <w:r w:rsidR="00F32792" w:rsidRPr="00082ADA">
        <w:rPr>
          <w:rFonts w:ascii="Open Sans" w:hAnsi="Open Sans" w:cs="Open Sans"/>
          <w:sz w:val="20"/>
          <w:szCs w:val="20"/>
        </w:rPr>
        <w:t xml:space="preserve">we disagree with setting the floor only at the cost of debt </w:t>
      </w:r>
      <w:proofErr w:type="spellStart"/>
      <w:r w:rsidR="00F32792" w:rsidRPr="00082ADA">
        <w:rPr>
          <w:rFonts w:ascii="Open Sans" w:hAnsi="Open Sans" w:cs="Open Sans"/>
          <w:sz w:val="20"/>
          <w:szCs w:val="20"/>
        </w:rPr>
        <w:t>with out</w:t>
      </w:r>
      <w:proofErr w:type="spellEnd"/>
      <w:r w:rsidR="00F32792" w:rsidRPr="00082ADA">
        <w:rPr>
          <w:rFonts w:ascii="Open Sans" w:hAnsi="Open Sans" w:cs="Open Sans"/>
          <w:sz w:val="20"/>
          <w:szCs w:val="20"/>
        </w:rPr>
        <w:t xml:space="preserve"> some form of minimum return.</w:t>
      </w:r>
      <w:r w:rsidR="00DE64D9" w:rsidRPr="00082ADA">
        <w:rPr>
          <w:rFonts w:ascii="Open Sans" w:hAnsi="Open Sans" w:cs="Open Sans"/>
          <w:sz w:val="20"/>
          <w:szCs w:val="20"/>
        </w:rPr>
        <w:t xml:space="preserve"> This may make the mechanism unattractive to </w:t>
      </w:r>
      <w:r w:rsidRPr="00082ADA">
        <w:rPr>
          <w:rFonts w:ascii="Open Sans" w:hAnsi="Open Sans" w:cs="Open Sans"/>
          <w:sz w:val="20"/>
          <w:szCs w:val="20"/>
        </w:rPr>
        <w:t>investors</w:t>
      </w:r>
      <w:r w:rsidR="00DE64D9" w:rsidRPr="00082ADA">
        <w:rPr>
          <w:rFonts w:ascii="Open Sans" w:hAnsi="Open Sans" w:cs="Open Sans"/>
          <w:sz w:val="20"/>
          <w:szCs w:val="20"/>
        </w:rPr>
        <w:t>. As an alternative</w:t>
      </w:r>
      <w:r w:rsidRPr="00082ADA">
        <w:rPr>
          <w:rFonts w:ascii="Open Sans" w:hAnsi="Open Sans" w:cs="Open Sans"/>
          <w:sz w:val="20"/>
          <w:szCs w:val="20"/>
        </w:rPr>
        <w:t>,</w:t>
      </w:r>
      <w:r w:rsidR="007A26D3" w:rsidRPr="00082ADA">
        <w:rPr>
          <w:rFonts w:ascii="Open Sans" w:hAnsi="Open Sans" w:cs="Open Sans"/>
          <w:sz w:val="20"/>
          <w:szCs w:val="20"/>
        </w:rPr>
        <w:t xml:space="preserve"> </w:t>
      </w:r>
      <w:r w:rsidR="001F1D94" w:rsidRPr="00082ADA">
        <w:rPr>
          <w:rFonts w:ascii="Open Sans" w:hAnsi="Open Sans" w:cs="Open Sans"/>
          <w:sz w:val="20"/>
          <w:szCs w:val="20"/>
        </w:rPr>
        <w:t xml:space="preserve">we suggest </w:t>
      </w:r>
      <w:r w:rsidR="007A26D3" w:rsidRPr="00082ADA">
        <w:rPr>
          <w:rFonts w:ascii="Open Sans" w:hAnsi="Open Sans" w:cs="Open Sans"/>
          <w:sz w:val="20"/>
          <w:szCs w:val="20"/>
        </w:rPr>
        <w:t xml:space="preserve">setting </w:t>
      </w:r>
      <w:r w:rsidR="00AB6CEC" w:rsidRPr="00082ADA">
        <w:rPr>
          <w:rFonts w:ascii="Open Sans" w:hAnsi="Open Sans" w:cs="Open Sans"/>
          <w:sz w:val="20"/>
          <w:szCs w:val="20"/>
        </w:rPr>
        <w:t>an</w:t>
      </w:r>
      <w:r w:rsidR="007A26D3" w:rsidRPr="00082ADA">
        <w:rPr>
          <w:rFonts w:ascii="Open Sans" w:hAnsi="Open Sans" w:cs="Open Sans"/>
          <w:sz w:val="20"/>
          <w:szCs w:val="20"/>
        </w:rPr>
        <w:t xml:space="preserve"> </w:t>
      </w:r>
      <w:r w:rsidRPr="00082ADA">
        <w:rPr>
          <w:rFonts w:ascii="Open Sans" w:hAnsi="Open Sans" w:cs="Open Sans"/>
          <w:sz w:val="20"/>
          <w:szCs w:val="20"/>
        </w:rPr>
        <w:t>availability</w:t>
      </w:r>
      <w:r w:rsidR="007A26D3" w:rsidRPr="00082ADA">
        <w:rPr>
          <w:rFonts w:ascii="Open Sans" w:hAnsi="Open Sans" w:cs="Open Sans"/>
          <w:sz w:val="20"/>
          <w:szCs w:val="20"/>
        </w:rPr>
        <w:t xml:space="preserve"> performance requirement that is specifically</w:t>
      </w:r>
      <w:r w:rsidRPr="00082ADA">
        <w:rPr>
          <w:rFonts w:ascii="Open Sans" w:hAnsi="Open Sans" w:cs="Open Sans"/>
          <w:sz w:val="20"/>
          <w:szCs w:val="20"/>
        </w:rPr>
        <w:t xml:space="preserve"> related</w:t>
      </w:r>
      <w:r w:rsidR="007A26D3" w:rsidRPr="00082ADA">
        <w:rPr>
          <w:rFonts w:ascii="Open Sans" w:hAnsi="Open Sans" w:cs="Open Sans"/>
          <w:sz w:val="20"/>
          <w:szCs w:val="20"/>
        </w:rPr>
        <w:t xml:space="preserve"> to this minimum return</w:t>
      </w:r>
      <w:r w:rsidR="00086C40" w:rsidRPr="00082ADA">
        <w:rPr>
          <w:rFonts w:ascii="Open Sans" w:hAnsi="Open Sans" w:cs="Open Sans"/>
          <w:sz w:val="20"/>
          <w:szCs w:val="20"/>
        </w:rPr>
        <w:t xml:space="preserve"> (as opposed to the whole debt calculation)</w:t>
      </w:r>
      <w:r w:rsidR="007A26D3" w:rsidRPr="00082ADA">
        <w:rPr>
          <w:rFonts w:ascii="Open Sans" w:hAnsi="Open Sans" w:cs="Open Sans"/>
          <w:sz w:val="20"/>
          <w:szCs w:val="20"/>
        </w:rPr>
        <w:t xml:space="preserve"> </w:t>
      </w:r>
      <w:r w:rsidR="00086C40" w:rsidRPr="00082ADA">
        <w:rPr>
          <w:rFonts w:ascii="Open Sans" w:hAnsi="Open Sans" w:cs="Open Sans"/>
          <w:sz w:val="20"/>
          <w:szCs w:val="20"/>
        </w:rPr>
        <w:t xml:space="preserve">portion of the floor. Applying the performance requirement to the return would also avoid the </w:t>
      </w:r>
      <w:r w:rsidR="004545F3" w:rsidRPr="00082ADA">
        <w:rPr>
          <w:rFonts w:ascii="Open Sans" w:hAnsi="Open Sans" w:cs="Open Sans"/>
          <w:sz w:val="20"/>
          <w:szCs w:val="20"/>
        </w:rPr>
        <w:t xml:space="preserve">performance requirement being seen a significant policy risk to investors, who may raise concerns if factors beyond </w:t>
      </w:r>
      <w:proofErr w:type="spellStart"/>
      <w:r w:rsidR="004545F3" w:rsidRPr="00082ADA">
        <w:rPr>
          <w:rFonts w:ascii="Open Sans" w:hAnsi="Open Sans" w:cs="Open Sans"/>
          <w:sz w:val="20"/>
          <w:szCs w:val="20"/>
        </w:rPr>
        <w:t>there</w:t>
      </w:r>
      <w:proofErr w:type="spellEnd"/>
      <w:r w:rsidR="004545F3" w:rsidRPr="00082ADA">
        <w:rPr>
          <w:rFonts w:ascii="Open Sans" w:hAnsi="Open Sans" w:cs="Open Sans"/>
          <w:sz w:val="20"/>
          <w:szCs w:val="20"/>
        </w:rPr>
        <w:t xml:space="preserve"> control means that a site is unable to operate as expected </w:t>
      </w:r>
      <w:r w:rsidR="00082ADA" w:rsidRPr="00082ADA">
        <w:rPr>
          <w:rFonts w:ascii="Open Sans" w:hAnsi="Open Sans" w:cs="Open Sans"/>
          <w:sz w:val="20"/>
          <w:szCs w:val="20"/>
        </w:rPr>
        <w:t>and</w:t>
      </w:r>
      <w:r w:rsidR="004545F3" w:rsidRPr="00082ADA">
        <w:rPr>
          <w:rFonts w:ascii="Open Sans" w:hAnsi="Open Sans" w:cs="Open Sans"/>
          <w:sz w:val="20"/>
          <w:szCs w:val="20"/>
        </w:rPr>
        <w:t xml:space="preserve"> they wouldn’t be able to get a return even on their debt. </w:t>
      </w:r>
    </w:p>
    <w:p w14:paraId="4FCE9282" w14:textId="77777777" w:rsidR="002E4A67" w:rsidRDefault="002E4A67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316AB2DF" w14:textId="77777777" w:rsidR="00821CBB" w:rsidRPr="00BD7B08" w:rsidRDefault="00821CBB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31059B06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24. Have we identified relevant operational risks associated with creating an LDES</w:t>
      </w:r>
    </w:p>
    <w:p w14:paraId="3F18FB17" w14:textId="77777777" w:rsid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investment scheme?</w:t>
      </w:r>
    </w:p>
    <w:p w14:paraId="4D360E1E" w14:textId="77777777" w:rsidR="00082ADA" w:rsidRDefault="00082ADA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55A063C4" w14:textId="3E1427BE" w:rsidR="00082ADA" w:rsidRPr="004B3939" w:rsidRDefault="007F794A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4B3939">
        <w:rPr>
          <w:rFonts w:ascii="Open Sans" w:hAnsi="Open Sans" w:cs="Open Sans"/>
          <w:sz w:val="20"/>
          <w:szCs w:val="20"/>
        </w:rPr>
        <w:t xml:space="preserve">Yes, we agree with the </w:t>
      </w:r>
      <w:r w:rsidR="004B3939" w:rsidRPr="004B3939">
        <w:rPr>
          <w:rFonts w:ascii="Open Sans" w:hAnsi="Open Sans" w:cs="Open Sans"/>
          <w:sz w:val="20"/>
          <w:szCs w:val="20"/>
        </w:rPr>
        <w:t>operational and gaming risks identified</w:t>
      </w:r>
      <w:r w:rsidR="005D681D">
        <w:rPr>
          <w:rFonts w:ascii="Open Sans" w:hAnsi="Open Sans" w:cs="Open Sans"/>
          <w:sz w:val="20"/>
          <w:szCs w:val="20"/>
        </w:rPr>
        <w:t>. Although we</w:t>
      </w:r>
      <w:r w:rsidR="00D07C35">
        <w:rPr>
          <w:rFonts w:ascii="Open Sans" w:hAnsi="Open Sans" w:cs="Open Sans"/>
          <w:sz w:val="20"/>
          <w:szCs w:val="20"/>
        </w:rPr>
        <w:t xml:space="preserve"> </w:t>
      </w:r>
      <w:r w:rsidR="00AF4943">
        <w:rPr>
          <w:rFonts w:ascii="Open Sans" w:hAnsi="Open Sans" w:cs="Open Sans"/>
          <w:sz w:val="20"/>
          <w:szCs w:val="20"/>
        </w:rPr>
        <w:t xml:space="preserve">suspect that </w:t>
      </w:r>
      <w:r w:rsidR="005D681D">
        <w:rPr>
          <w:rFonts w:ascii="Open Sans" w:hAnsi="Open Sans" w:cs="Open Sans"/>
          <w:sz w:val="20"/>
          <w:szCs w:val="20"/>
        </w:rPr>
        <w:t>after some time</w:t>
      </w:r>
      <w:r w:rsidR="00AF4943">
        <w:rPr>
          <w:rFonts w:ascii="Open Sans" w:hAnsi="Open Sans" w:cs="Open Sans"/>
          <w:sz w:val="20"/>
          <w:szCs w:val="20"/>
        </w:rPr>
        <w:t xml:space="preserve"> of the scheme being in operation</w:t>
      </w:r>
      <w:r w:rsidR="0018178E">
        <w:rPr>
          <w:rFonts w:ascii="Open Sans" w:hAnsi="Open Sans" w:cs="Open Sans"/>
          <w:sz w:val="20"/>
          <w:szCs w:val="20"/>
        </w:rPr>
        <w:t xml:space="preserve">, </w:t>
      </w:r>
      <w:r w:rsidR="005D681D">
        <w:rPr>
          <w:rFonts w:ascii="Open Sans" w:hAnsi="Open Sans" w:cs="Open Sans"/>
          <w:sz w:val="20"/>
          <w:szCs w:val="20"/>
        </w:rPr>
        <w:t>G</w:t>
      </w:r>
      <w:r w:rsidR="0018178E">
        <w:rPr>
          <w:rFonts w:ascii="Open Sans" w:hAnsi="Open Sans" w:cs="Open Sans"/>
          <w:sz w:val="20"/>
          <w:szCs w:val="20"/>
        </w:rPr>
        <w:t>overnment will be better place</w:t>
      </w:r>
      <w:r w:rsidR="005D681D">
        <w:rPr>
          <w:rFonts w:ascii="Open Sans" w:hAnsi="Open Sans" w:cs="Open Sans"/>
          <w:sz w:val="20"/>
          <w:szCs w:val="20"/>
        </w:rPr>
        <w:t>d</w:t>
      </w:r>
      <w:r w:rsidR="0018178E">
        <w:rPr>
          <w:rFonts w:ascii="Open Sans" w:hAnsi="Open Sans" w:cs="Open Sans"/>
          <w:sz w:val="20"/>
          <w:szCs w:val="20"/>
        </w:rPr>
        <w:t xml:space="preserve"> to </w:t>
      </w:r>
      <w:r w:rsidR="00613B14">
        <w:rPr>
          <w:rFonts w:ascii="Open Sans" w:hAnsi="Open Sans" w:cs="Open Sans"/>
          <w:sz w:val="20"/>
          <w:szCs w:val="20"/>
        </w:rPr>
        <w:t>assess</w:t>
      </w:r>
      <w:r w:rsidR="004C5221">
        <w:rPr>
          <w:rFonts w:ascii="Open Sans" w:hAnsi="Open Sans" w:cs="Open Sans"/>
          <w:sz w:val="20"/>
          <w:szCs w:val="20"/>
        </w:rPr>
        <w:t xml:space="preserve"> </w:t>
      </w:r>
      <w:r w:rsidR="0018178E">
        <w:rPr>
          <w:rFonts w:ascii="Open Sans" w:hAnsi="Open Sans" w:cs="Open Sans"/>
          <w:sz w:val="20"/>
          <w:szCs w:val="20"/>
        </w:rPr>
        <w:t xml:space="preserve">the real risk </w:t>
      </w:r>
      <w:r w:rsidR="004C5221">
        <w:rPr>
          <w:rFonts w:ascii="Open Sans" w:hAnsi="Open Sans" w:cs="Open Sans"/>
          <w:sz w:val="20"/>
          <w:szCs w:val="20"/>
        </w:rPr>
        <w:t>of</w:t>
      </w:r>
      <w:r w:rsidR="0018178E">
        <w:rPr>
          <w:rFonts w:ascii="Open Sans" w:hAnsi="Open Sans" w:cs="Open Sans"/>
          <w:sz w:val="20"/>
          <w:szCs w:val="20"/>
        </w:rPr>
        <w:t xml:space="preserve"> gaming and whether mitigations are really required. </w:t>
      </w:r>
    </w:p>
    <w:p w14:paraId="26EEC89A" w14:textId="77777777" w:rsidR="004B3939" w:rsidRDefault="004B3939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3C6566E4" w14:textId="716E137E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25. Are our proposed mitigations sufficient for mitigating against the operational</w:t>
      </w:r>
    </w:p>
    <w:p w14:paraId="192901E3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risks, like gaming? Please provide your reasoning.</w:t>
      </w:r>
    </w:p>
    <w:p w14:paraId="5EDC9973" w14:textId="77777777" w:rsidR="004B3939" w:rsidRDefault="004B3939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47B68DC6" w14:textId="690E8B73" w:rsidR="004B3939" w:rsidRDefault="004B3939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433D34">
        <w:rPr>
          <w:rFonts w:ascii="Open Sans" w:hAnsi="Open Sans" w:cs="Open Sans"/>
          <w:sz w:val="20"/>
          <w:szCs w:val="20"/>
        </w:rPr>
        <w:t>We not</w:t>
      </w:r>
      <w:r w:rsidR="00B0318C" w:rsidRPr="00433D34">
        <w:rPr>
          <w:rFonts w:ascii="Open Sans" w:hAnsi="Open Sans" w:cs="Open Sans"/>
          <w:sz w:val="20"/>
          <w:szCs w:val="20"/>
        </w:rPr>
        <w:t xml:space="preserve">e </w:t>
      </w:r>
      <w:r w:rsidRPr="00433D34">
        <w:rPr>
          <w:rFonts w:ascii="Open Sans" w:hAnsi="Open Sans" w:cs="Open Sans"/>
          <w:sz w:val="20"/>
          <w:szCs w:val="20"/>
        </w:rPr>
        <w:t xml:space="preserve">that the </w:t>
      </w:r>
      <w:r w:rsidR="006A7593" w:rsidRPr="00433D34">
        <w:rPr>
          <w:rFonts w:ascii="Open Sans" w:hAnsi="Open Sans" w:cs="Open Sans"/>
          <w:sz w:val="20"/>
          <w:szCs w:val="20"/>
        </w:rPr>
        <w:t xml:space="preserve">banning of a vertically integrated offtake and supply agreements </w:t>
      </w:r>
      <w:r w:rsidR="00B0318C" w:rsidRPr="00433D34">
        <w:rPr>
          <w:rFonts w:ascii="Open Sans" w:hAnsi="Open Sans" w:cs="Open Sans"/>
          <w:sz w:val="20"/>
          <w:szCs w:val="20"/>
        </w:rPr>
        <w:t xml:space="preserve">are </w:t>
      </w:r>
      <w:r w:rsidR="006A7593" w:rsidRPr="00433D34">
        <w:rPr>
          <w:rFonts w:ascii="Open Sans" w:hAnsi="Open Sans" w:cs="Open Sans"/>
          <w:sz w:val="20"/>
          <w:szCs w:val="20"/>
        </w:rPr>
        <w:t xml:space="preserve">unlikely </w:t>
      </w:r>
      <w:r w:rsidR="00B0318C" w:rsidRPr="00433D34">
        <w:rPr>
          <w:rFonts w:ascii="Open Sans" w:hAnsi="Open Sans" w:cs="Open Sans"/>
          <w:sz w:val="20"/>
          <w:szCs w:val="20"/>
        </w:rPr>
        <w:t>to be effective</w:t>
      </w:r>
      <w:r w:rsidR="00183112" w:rsidRPr="00433D34">
        <w:rPr>
          <w:rFonts w:ascii="Open Sans" w:hAnsi="Open Sans" w:cs="Open Sans"/>
          <w:sz w:val="20"/>
          <w:szCs w:val="20"/>
        </w:rPr>
        <w:t xml:space="preserve">, as companies will likely sleeve returns through an </w:t>
      </w:r>
      <w:r w:rsidR="00DB70AC" w:rsidRPr="00433D34">
        <w:rPr>
          <w:rFonts w:ascii="Open Sans" w:hAnsi="Open Sans" w:cs="Open Sans"/>
          <w:sz w:val="20"/>
          <w:szCs w:val="20"/>
        </w:rPr>
        <w:t xml:space="preserve">external company and bring it back in at a small cost. It is unlikely </w:t>
      </w:r>
      <w:r w:rsidR="005B563B" w:rsidRPr="00433D34">
        <w:rPr>
          <w:rFonts w:ascii="Open Sans" w:hAnsi="Open Sans" w:cs="Open Sans"/>
          <w:sz w:val="20"/>
          <w:szCs w:val="20"/>
        </w:rPr>
        <w:t xml:space="preserve">to </w:t>
      </w:r>
      <w:r w:rsidR="00C5008F" w:rsidRPr="00433D34">
        <w:rPr>
          <w:rFonts w:ascii="Open Sans" w:hAnsi="Open Sans" w:cs="Open Sans"/>
          <w:sz w:val="20"/>
          <w:szCs w:val="20"/>
        </w:rPr>
        <w:t xml:space="preserve">dramatically reduce the impact of gaming. </w:t>
      </w:r>
    </w:p>
    <w:p w14:paraId="7EE16358" w14:textId="77777777" w:rsidR="00785C3D" w:rsidRDefault="00785C3D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</w:p>
    <w:p w14:paraId="35A578AF" w14:textId="35879514" w:rsidR="00785C3D" w:rsidRPr="00433D34" w:rsidRDefault="00785C3D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There are also worries about the timeframes involved in transparency requirements</w:t>
      </w:r>
      <w:r w:rsidR="00C45AF4">
        <w:rPr>
          <w:rFonts w:ascii="Open Sans" w:hAnsi="Open Sans" w:cs="Open Sans"/>
          <w:sz w:val="20"/>
          <w:szCs w:val="20"/>
        </w:rPr>
        <w:t xml:space="preserve">. It is possible </w:t>
      </w:r>
      <w:r w:rsidR="00BD6934">
        <w:rPr>
          <w:rFonts w:ascii="Open Sans" w:hAnsi="Open Sans" w:cs="Open Sans"/>
          <w:sz w:val="20"/>
          <w:szCs w:val="20"/>
        </w:rPr>
        <w:t xml:space="preserve">that </w:t>
      </w:r>
      <w:r w:rsidR="00C45AF4">
        <w:rPr>
          <w:rFonts w:ascii="Open Sans" w:hAnsi="Open Sans" w:cs="Open Sans"/>
          <w:sz w:val="20"/>
          <w:szCs w:val="20"/>
        </w:rPr>
        <w:t>this could create</w:t>
      </w:r>
      <w:r w:rsidR="00BD6934">
        <w:rPr>
          <w:rFonts w:ascii="Open Sans" w:hAnsi="Open Sans" w:cs="Open Sans"/>
          <w:sz w:val="20"/>
          <w:szCs w:val="20"/>
        </w:rPr>
        <w:t xml:space="preserve"> a situation where a firm wh</w:t>
      </w:r>
      <w:r w:rsidR="00B25C84">
        <w:rPr>
          <w:rFonts w:ascii="Open Sans" w:hAnsi="Open Sans" w:cs="Open Sans"/>
          <w:sz w:val="20"/>
          <w:szCs w:val="20"/>
        </w:rPr>
        <w:t>ich</w:t>
      </w:r>
      <w:r w:rsidR="00BD6934">
        <w:rPr>
          <w:rFonts w:ascii="Open Sans" w:hAnsi="Open Sans" w:cs="Open Sans"/>
          <w:sz w:val="20"/>
          <w:szCs w:val="20"/>
        </w:rPr>
        <w:t xml:space="preserve"> has</w:t>
      </w:r>
      <w:r w:rsidR="003C4F89">
        <w:rPr>
          <w:rFonts w:ascii="Open Sans" w:hAnsi="Open Sans" w:cs="Open Sans"/>
          <w:sz w:val="20"/>
          <w:szCs w:val="20"/>
        </w:rPr>
        <w:t xml:space="preserve"> unknowingly</w:t>
      </w:r>
      <w:r w:rsidR="00BD6934">
        <w:rPr>
          <w:rFonts w:ascii="Open Sans" w:hAnsi="Open Sans" w:cs="Open Sans"/>
          <w:sz w:val="20"/>
          <w:szCs w:val="20"/>
        </w:rPr>
        <w:t xml:space="preserve"> been operating</w:t>
      </w:r>
      <w:r w:rsidR="003C4F89">
        <w:rPr>
          <w:rFonts w:ascii="Open Sans" w:hAnsi="Open Sans" w:cs="Open Sans"/>
          <w:sz w:val="20"/>
          <w:szCs w:val="20"/>
        </w:rPr>
        <w:t xml:space="preserve"> incorrectly</w:t>
      </w:r>
      <w:r w:rsidR="00BD6934">
        <w:rPr>
          <w:rFonts w:ascii="Open Sans" w:hAnsi="Open Sans" w:cs="Open Sans"/>
          <w:sz w:val="20"/>
          <w:szCs w:val="20"/>
        </w:rPr>
        <w:t xml:space="preserve"> for </w:t>
      </w:r>
      <w:r w:rsidR="003C4F89">
        <w:rPr>
          <w:rFonts w:ascii="Open Sans" w:hAnsi="Open Sans" w:cs="Open Sans"/>
          <w:sz w:val="20"/>
          <w:szCs w:val="20"/>
        </w:rPr>
        <w:t>several</w:t>
      </w:r>
      <w:r w:rsidR="00BD6934">
        <w:rPr>
          <w:rFonts w:ascii="Open Sans" w:hAnsi="Open Sans" w:cs="Open Sans"/>
          <w:sz w:val="20"/>
          <w:szCs w:val="20"/>
        </w:rPr>
        <w:t xml:space="preserve"> years</w:t>
      </w:r>
      <w:r w:rsidR="00B25C84">
        <w:rPr>
          <w:rFonts w:ascii="Open Sans" w:hAnsi="Open Sans" w:cs="Open Sans"/>
          <w:sz w:val="20"/>
          <w:szCs w:val="20"/>
        </w:rPr>
        <w:t>, is then</w:t>
      </w:r>
      <w:r w:rsidR="00FC5340">
        <w:rPr>
          <w:rFonts w:ascii="Open Sans" w:hAnsi="Open Sans" w:cs="Open Sans"/>
          <w:sz w:val="20"/>
          <w:szCs w:val="20"/>
        </w:rPr>
        <w:t xml:space="preserve"> reproached by Government</w:t>
      </w:r>
      <w:r w:rsidR="00292600">
        <w:rPr>
          <w:rFonts w:ascii="Open Sans" w:hAnsi="Open Sans" w:cs="Open Sans"/>
          <w:sz w:val="20"/>
          <w:szCs w:val="20"/>
        </w:rPr>
        <w:t>, or the scheme regulator</w:t>
      </w:r>
      <w:r w:rsidR="006A7370">
        <w:rPr>
          <w:rFonts w:ascii="Open Sans" w:hAnsi="Open Sans" w:cs="Open Sans"/>
          <w:sz w:val="20"/>
          <w:szCs w:val="20"/>
        </w:rPr>
        <w:t xml:space="preserve">, </w:t>
      </w:r>
      <w:r w:rsidR="004641CE">
        <w:rPr>
          <w:rFonts w:ascii="Open Sans" w:hAnsi="Open Sans" w:cs="Open Sans"/>
          <w:sz w:val="20"/>
          <w:szCs w:val="20"/>
        </w:rPr>
        <w:t>who then</w:t>
      </w:r>
      <w:r w:rsidR="006A7370">
        <w:rPr>
          <w:rFonts w:ascii="Open Sans" w:hAnsi="Open Sans" w:cs="Open Sans"/>
          <w:sz w:val="20"/>
          <w:szCs w:val="20"/>
        </w:rPr>
        <w:t xml:space="preserve"> may seek repayment</w:t>
      </w:r>
      <w:proofErr w:type="gramStart"/>
      <w:r w:rsidR="006A7370">
        <w:rPr>
          <w:rFonts w:ascii="Open Sans" w:hAnsi="Open Sans" w:cs="Open Sans"/>
          <w:sz w:val="20"/>
          <w:szCs w:val="20"/>
        </w:rPr>
        <w:t xml:space="preserve">. </w:t>
      </w:r>
      <w:r w:rsidR="00E07F34">
        <w:rPr>
          <w:rFonts w:ascii="Open Sans" w:hAnsi="Open Sans" w:cs="Open Sans"/>
          <w:sz w:val="20"/>
          <w:szCs w:val="20"/>
        </w:rPr>
        <w:t>.</w:t>
      </w:r>
      <w:proofErr w:type="gramEnd"/>
      <w:r w:rsidR="00E07F34">
        <w:rPr>
          <w:rFonts w:ascii="Open Sans" w:hAnsi="Open Sans" w:cs="Open Sans"/>
          <w:sz w:val="20"/>
          <w:szCs w:val="20"/>
        </w:rPr>
        <w:t xml:space="preserve"> This could create a significant policy risk for developers</w:t>
      </w:r>
      <w:r w:rsidR="008D72B6">
        <w:rPr>
          <w:rFonts w:ascii="Open Sans" w:hAnsi="Open Sans" w:cs="Open Sans"/>
          <w:sz w:val="20"/>
          <w:szCs w:val="20"/>
        </w:rPr>
        <w:t xml:space="preserve">, as well as being onerous on the site operator. </w:t>
      </w:r>
    </w:p>
    <w:p w14:paraId="5FE5E1C2" w14:textId="77777777" w:rsidR="00C5008F" w:rsidRPr="00433D34" w:rsidRDefault="00C5008F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</w:p>
    <w:p w14:paraId="1FE5A73E" w14:textId="32BA6F38" w:rsidR="00917B27" w:rsidRPr="00433D34" w:rsidRDefault="00C5008F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433D34">
        <w:rPr>
          <w:rFonts w:ascii="Open Sans" w:hAnsi="Open Sans" w:cs="Open Sans"/>
          <w:sz w:val="20"/>
          <w:szCs w:val="20"/>
        </w:rPr>
        <w:t xml:space="preserve">We also note that there is not </w:t>
      </w:r>
      <w:r w:rsidR="0038648C" w:rsidRPr="00433D34">
        <w:rPr>
          <w:rFonts w:ascii="Open Sans" w:hAnsi="Open Sans" w:cs="Open Sans"/>
          <w:sz w:val="20"/>
          <w:szCs w:val="20"/>
        </w:rPr>
        <w:t>enough</w:t>
      </w:r>
      <w:r w:rsidRPr="00433D34">
        <w:rPr>
          <w:rFonts w:ascii="Open Sans" w:hAnsi="Open Sans" w:cs="Open Sans"/>
          <w:sz w:val="20"/>
          <w:szCs w:val="20"/>
        </w:rPr>
        <w:t xml:space="preserve"> information to properly </w:t>
      </w:r>
      <w:r w:rsidR="00506403" w:rsidRPr="00433D34">
        <w:rPr>
          <w:rFonts w:ascii="Open Sans" w:hAnsi="Open Sans" w:cs="Open Sans"/>
          <w:sz w:val="20"/>
          <w:szCs w:val="20"/>
        </w:rPr>
        <w:t>assess</w:t>
      </w:r>
      <w:r w:rsidRPr="00433D34">
        <w:rPr>
          <w:rFonts w:ascii="Open Sans" w:hAnsi="Open Sans" w:cs="Open Sans"/>
          <w:sz w:val="20"/>
          <w:szCs w:val="20"/>
        </w:rPr>
        <w:t xml:space="preserve"> the proposal of </w:t>
      </w:r>
      <w:r w:rsidR="0038648C" w:rsidRPr="00433D34">
        <w:rPr>
          <w:rFonts w:ascii="Open Sans" w:hAnsi="Open Sans" w:cs="Open Sans"/>
          <w:sz w:val="20"/>
          <w:szCs w:val="20"/>
        </w:rPr>
        <w:t xml:space="preserve">developing a deemed revenue index and as a result, we are unable to </w:t>
      </w:r>
      <w:r w:rsidR="002F4E45" w:rsidRPr="00433D34">
        <w:rPr>
          <w:rFonts w:ascii="Open Sans" w:hAnsi="Open Sans" w:cs="Open Sans"/>
          <w:sz w:val="20"/>
          <w:szCs w:val="20"/>
        </w:rPr>
        <w:t xml:space="preserve">find a shared view across our membership on </w:t>
      </w:r>
      <w:r w:rsidR="006F0B85" w:rsidRPr="00433D34">
        <w:rPr>
          <w:rFonts w:ascii="Open Sans" w:hAnsi="Open Sans" w:cs="Open Sans"/>
          <w:sz w:val="20"/>
          <w:szCs w:val="20"/>
        </w:rPr>
        <w:t xml:space="preserve">whether it is a sensible option. </w:t>
      </w:r>
      <w:r w:rsidR="002F4E45" w:rsidRPr="00433D34">
        <w:rPr>
          <w:rFonts w:ascii="Open Sans" w:hAnsi="Open Sans" w:cs="Open Sans"/>
          <w:sz w:val="20"/>
          <w:szCs w:val="20"/>
        </w:rPr>
        <w:t xml:space="preserve"> While on the face of </w:t>
      </w:r>
      <w:proofErr w:type="gramStart"/>
      <w:r w:rsidR="007023C4">
        <w:rPr>
          <w:rFonts w:ascii="Open Sans" w:hAnsi="Open Sans" w:cs="Open Sans"/>
          <w:sz w:val="20"/>
          <w:szCs w:val="20"/>
        </w:rPr>
        <w:t xml:space="preserve">things, </w:t>
      </w:r>
      <w:r w:rsidR="002F4E45" w:rsidRPr="00433D34">
        <w:rPr>
          <w:rFonts w:ascii="Open Sans" w:hAnsi="Open Sans" w:cs="Open Sans"/>
          <w:sz w:val="20"/>
          <w:szCs w:val="20"/>
        </w:rPr>
        <w:t xml:space="preserve"> this</w:t>
      </w:r>
      <w:proofErr w:type="gramEnd"/>
      <w:r w:rsidR="002F4E45" w:rsidRPr="00433D34">
        <w:rPr>
          <w:rFonts w:ascii="Open Sans" w:hAnsi="Open Sans" w:cs="Open Sans"/>
          <w:sz w:val="20"/>
          <w:szCs w:val="20"/>
        </w:rPr>
        <w:t xml:space="preserve"> could be attractive</w:t>
      </w:r>
      <w:r w:rsidR="00557B29" w:rsidRPr="00433D34">
        <w:rPr>
          <w:rFonts w:ascii="Open Sans" w:hAnsi="Open Sans" w:cs="Open Sans"/>
          <w:sz w:val="20"/>
          <w:szCs w:val="20"/>
        </w:rPr>
        <w:t xml:space="preserve"> </w:t>
      </w:r>
      <w:r w:rsidR="0057419B" w:rsidRPr="00433D34">
        <w:rPr>
          <w:rFonts w:ascii="Open Sans" w:hAnsi="Open Sans" w:cs="Open Sans"/>
          <w:sz w:val="20"/>
          <w:szCs w:val="20"/>
        </w:rPr>
        <w:t>with operators hoping to trade above the average price</w:t>
      </w:r>
      <w:r w:rsidR="007023C4">
        <w:rPr>
          <w:rFonts w:ascii="Open Sans" w:hAnsi="Open Sans" w:cs="Open Sans"/>
          <w:sz w:val="20"/>
          <w:szCs w:val="20"/>
        </w:rPr>
        <w:t>. M</w:t>
      </w:r>
      <w:r w:rsidR="002F4E45" w:rsidRPr="00433D34">
        <w:rPr>
          <w:rFonts w:ascii="Open Sans" w:hAnsi="Open Sans" w:cs="Open Sans"/>
          <w:sz w:val="20"/>
          <w:szCs w:val="20"/>
        </w:rPr>
        <w:t>embers have</w:t>
      </w:r>
      <w:r w:rsidR="0057419B" w:rsidRPr="00433D34">
        <w:rPr>
          <w:rFonts w:ascii="Open Sans" w:hAnsi="Open Sans" w:cs="Open Sans"/>
          <w:sz w:val="20"/>
          <w:szCs w:val="20"/>
        </w:rPr>
        <w:t xml:space="preserve"> also</w:t>
      </w:r>
      <w:r w:rsidR="002F4E45" w:rsidRPr="00433D34">
        <w:rPr>
          <w:rFonts w:ascii="Open Sans" w:hAnsi="Open Sans" w:cs="Open Sans"/>
          <w:sz w:val="20"/>
          <w:szCs w:val="20"/>
        </w:rPr>
        <w:t xml:space="preserve"> raised serious concerns that a deemed approach </w:t>
      </w:r>
      <w:r w:rsidR="00E15419" w:rsidRPr="00433D34">
        <w:rPr>
          <w:rFonts w:ascii="Open Sans" w:hAnsi="Open Sans" w:cs="Open Sans"/>
          <w:sz w:val="20"/>
          <w:szCs w:val="20"/>
        </w:rPr>
        <w:t xml:space="preserve">would </w:t>
      </w:r>
      <w:r w:rsidR="002C1E9B" w:rsidRPr="00433D34">
        <w:rPr>
          <w:rFonts w:ascii="Open Sans" w:hAnsi="Open Sans" w:cs="Open Sans"/>
          <w:sz w:val="20"/>
          <w:szCs w:val="20"/>
        </w:rPr>
        <w:t>require an assumed operating regime to be made in advance</w:t>
      </w:r>
      <w:r w:rsidR="00E442DC" w:rsidRPr="00433D34">
        <w:rPr>
          <w:rFonts w:ascii="Open Sans" w:hAnsi="Open Sans" w:cs="Open Sans"/>
          <w:sz w:val="20"/>
          <w:szCs w:val="20"/>
        </w:rPr>
        <w:t xml:space="preserve">. This would have to be done with </w:t>
      </w:r>
      <w:r w:rsidR="002C1E9B" w:rsidRPr="00433D34">
        <w:rPr>
          <w:rFonts w:ascii="Open Sans" w:hAnsi="Open Sans" w:cs="Open Sans"/>
          <w:sz w:val="20"/>
          <w:szCs w:val="20"/>
        </w:rPr>
        <w:t xml:space="preserve">no </w:t>
      </w:r>
      <w:r w:rsidR="0057419B" w:rsidRPr="00433D34">
        <w:rPr>
          <w:rFonts w:ascii="Open Sans" w:hAnsi="Open Sans" w:cs="Open Sans"/>
          <w:sz w:val="20"/>
          <w:szCs w:val="20"/>
        </w:rPr>
        <w:t>visibility</w:t>
      </w:r>
      <w:r w:rsidR="003B451D" w:rsidRPr="00433D34">
        <w:rPr>
          <w:rFonts w:ascii="Open Sans" w:hAnsi="Open Sans" w:cs="Open Sans"/>
          <w:sz w:val="20"/>
          <w:szCs w:val="20"/>
        </w:rPr>
        <w:t xml:space="preserve"> of market signals or </w:t>
      </w:r>
      <w:r w:rsidR="00557B29" w:rsidRPr="00433D34">
        <w:rPr>
          <w:rFonts w:ascii="Open Sans" w:hAnsi="Open Sans" w:cs="Open Sans"/>
          <w:sz w:val="20"/>
          <w:szCs w:val="20"/>
        </w:rPr>
        <w:t>prices</w:t>
      </w:r>
      <w:r w:rsidR="003B451D" w:rsidRPr="00433D34">
        <w:rPr>
          <w:rFonts w:ascii="Open Sans" w:hAnsi="Open Sans" w:cs="Open Sans"/>
          <w:sz w:val="20"/>
          <w:szCs w:val="20"/>
        </w:rPr>
        <w:t xml:space="preserve">. </w:t>
      </w:r>
      <w:r w:rsidR="0057419B" w:rsidRPr="00433D34">
        <w:rPr>
          <w:rFonts w:ascii="Open Sans" w:hAnsi="Open Sans" w:cs="Open Sans"/>
          <w:sz w:val="20"/>
          <w:szCs w:val="20"/>
        </w:rPr>
        <w:t>Such a</w:t>
      </w:r>
      <w:r w:rsidR="00E442DC" w:rsidRPr="00433D34">
        <w:rPr>
          <w:rFonts w:ascii="Open Sans" w:hAnsi="Open Sans" w:cs="Open Sans"/>
          <w:sz w:val="20"/>
          <w:szCs w:val="20"/>
        </w:rPr>
        <w:t>n</w:t>
      </w:r>
      <w:r w:rsidR="0057419B" w:rsidRPr="00433D34">
        <w:rPr>
          <w:rFonts w:ascii="Open Sans" w:hAnsi="Open Sans" w:cs="Open Sans"/>
          <w:sz w:val="20"/>
          <w:szCs w:val="20"/>
        </w:rPr>
        <w:t xml:space="preserve"> operational regime</w:t>
      </w:r>
      <w:r w:rsidR="003B451D" w:rsidRPr="00433D34">
        <w:rPr>
          <w:rFonts w:ascii="Open Sans" w:hAnsi="Open Sans" w:cs="Open Sans"/>
          <w:sz w:val="20"/>
          <w:szCs w:val="20"/>
        </w:rPr>
        <w:t xml:space="preserve"> would be impossible to model</w:t>
      </w:r>
      <w:r w:rsidR="00646426" w:rsidRPr="00433D34">
        <w:rPr>
          <w:rFonts w:ascii="Open Sans" w:hAnsi="Open Sans" w:cs="Open Sans"/>
          <w:sz w:val="20"/>
          <w:szCs w:val="20"/>
        </w:rPr>
        <w:t xml:space="preserve"> and result in removing the market signals that are essential for maximising the benefits of </w:t>
      </w:r>
      <w:r w:rsidR="004B40F0">
        <w:rPr>
          <w:rFonts w:ascii="Open Sans" w:hAnsi="Open Sans" w:cs="Open Sans"/>
          <w:sz w:val="20"/>
          <w:szCs w:val="20"/>
        </w:rPr>
        <w:t>L</w:t>
      </w:r>
      <w:r w:rsidR="00646426" w:rsidRPr="00433D34">
        <w:rPr>
          <w:rFonts w:ascii="Open Sans" w:hAnsi="Open Sans" w:cs="Open Sans"/>
          <w:sz w:val="20"/>
          <w:szCs w:val="20"/>
        </w:rPr>
        <w:t xml:space="preserve">ong Duration </w:t>
      </w:r>
      <w:r w:rsidR="0057419B" w:rsidRPr="00433D34">
        <w:rPr>
          <w:rFonts w:ascii="Open Sans" w:hAnsi="Open Sans" w:cs="Open Sans"/>
          <w:sz w:val="20"/>
          <w:szCs w:val="20"/>
        </w:rPr>
        <w:t>E</w:t>
      </w:r>
      <w:r w:rsidR="00646426" w:rsidRPr="00433D34">
        <w:rPr>
          <w:rFonts w:ascii="Open Sans" w:hAnsi="Open Sans" w:cs="Open Sans"/>
          <w:sz w:val="20"/>
          <w:szCs w:val="20"/>
        </w:rPr>
        <w:t>nergy Storage</w:t>
      </w:r>
      <w:r w:rsidR="00557B29" w:rsidRPr="00433D34">
        <w:rPr>
          <w:rFonts w:ascii="Open Sans" w:hAnsi="Open Sans" w:cs="Open Sans"/>
          <w:sz w:val="20"/>
          <w:szCs w:val="20"/>
        </w:rPr>
        <w:t>.</w:t>
      </w:r>
      <w:r w:rsidR="0057419B" w:rsidRPr="00433D34">
        <w:rPr>
          <w:rFonts w:ascii="Open Sans" w:hAnsi="Open Sans" w:cs="Open Sans"/>
          <w:sz w:val="20"/>
          <w:szCs w:val="20"/>
        </w:rPr>
        <w:t xml:space="preserve"> This may</w:t>
      </w:r>
      <w:r w:rsidR="004B40F0">
        <w:rPr>
          <w:rFonts w:ascii="Open Sans" w:hAnsi="Open Sans" w:cs="Open Sans"/>
          <w:sz w:val="20"/>
          <w:szCs w:val="20"/>
        </w:rPr>
        <w:t xml:space="preserve"> </w:t>
      </w:r>
      <w:r w:rsidR="0057419B" w:rsidRPr="00433D34">
        <w:rPr>
          <w:rFonts w:ascii="Open Sans" w:hAnsi="Open Sans" w:cs="Open Sans"/>
          <w:sz w:val="20"/>
          <w:szCs w:val="20"/>
        </w:rPr>
        <w:t xml:space="preserve">be mitigated by using </w:t>
      </w:r>
      <w:r w:rsidR="00917B27" w:rsidRPr="00433D34">
        <w:rPr>
          <w:rFonts w:ascii="Open Sans" w:hAnsi="Open Sans" w:cs="Open Sans"/>
          <w:sz w:val="20"/>
          <w:szCs w:val="20"/>
        </w:rPr>
        <w:t xml:space="preserve">site specific data and actuals, but this is likely to be </w:t>
      </w:r>
      <w:r w:rsidR="0063755B" w:rsidRPr="00433D34">
        <w:rPr>
          <w:rFonts w:ascii="Open Sans" w:hAnsi="Open Sans" w:cs="Open Sans"/>
          <w:sz w:val="20"/>
          <w:szCs w:val="20"/>
        </w:rPr>
        <w:t xml:space="preserve">highly </w:t>
      </w:r>
      <w:r w:rsidR="00917B27" w:rsidRPr="00433D34">
        <w:rPr>
          <w:rFonts w:ascii="Open Sans" w:hAnsi="Open Sans" w:cs="Open Sans"/>
          <w:sz w:val="20"/>
          <w:szCs w:val="20"/>
        </w:rPr>
        <w:t xml:space="preserve">complex and may not be worth the effort. </w:t>
      </w:r>
    </w:p>
    <w:p w14:paraId="69A650A6" w14:textId="77777777" w:rsidR="00917B27" w:rsidRPr="00433D34" w:rsidRDefault="00917B27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</w:p>
    <w:p w14:paraId="183AA8F5" w14:textId="6C6D5D06" w:rsidR="00C5008F" w:rsidRPr="00433D34" w:rsidRDefault="00917B27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433D34">
        <w:rPr>
          <w:rFonts w:ascii="Open Sans" w:hAnsi="Open Sans" w:cs="Open Sans"/>
          <w:sz w:val="20"/>
          <w:szCs w:val="20"/>
        </w:rPr>
        <w:t xml:space="preserve">Further detailed modelling is really required of </w:t>
      </w:r>
      <w:r w:rsidR="00433D34" w:rsidRPr="00433D34">
        <w:rPr>
          <w:rFonts w:ascii="Open Sans" w:hAnsi="Open Sans" w:cs="Open Sans"/>
          <w:sz w:val="20"/>
          <w:szCs w:val="20"/>
        </w:rPr>
        <w:t>all</w:t>
      </w:r>
      <w:r w:rsidRPr="00433D34">
        <w:rPr>
          <w:rFonts w:ascii="Open Sans" w:hAnsi="Open Sans" w:cs="Open Sans"/>
          <w:sz w:val="20"/>
          <w:szCs w:val="20"/>
        </w:rPr>
        <w:t xml:space="preserve"> these options before </w:t>
      </w:r>
      <w:r w:rsidR="005F1C10" w:rsidRPr="00433D34">
        <w:rPr>
          <w:rFonts w:ascii="Open Sans" w:hAnsi="Open Sans" w:cs="Open Sans"/>
          <w:sz w:val="20"/>
          <w:szCs w:val="20"/>
        </w:rPr>
        <w:t>industry can be confident in supporting their adoption. DESNZ should consider commission</w:t>
      </w:r>
      <w:r w:rsidR="00AC1CB1">
        <w:rPr>
          <w:rFonts w:ascii="Open Sans" w:hAnsi="Open Sans" w:cs="Open Sans"/>
          <w:sz w:val="20"/>
          <w:szCs w:val="20"/>
        </w:rPr>
        <w:t>ing</w:t>
      </w:r>
      <w:r w:rsidR="005F1C10" w:rsidRPr="00433D34">
        <w:rPr>
          <w:rFonts w:ascii="Open Sans" w:hAnsi="Open Sans" w:cs="Open Sans"/>
          <w:sz w:val="20"/>
          <w:szCs w:val="20"/>
        </w:rPr>
        <w:t xml:space="preserve"> such research to help </w:t>
      </w:r>
      <w:r w:rsidR="00506403" w:rsidRPr="00433D34">
        <w:rPr>
          <w:rFonts w:ascii="Open Sans" w:hAnsi="Open Sans" w:cs="Open Sans"/>
          <w:sz w:val="20"/>
          <w:szCs w:val="20"/>
        </w:rPr>
        <w:t xml:space="preserve">demonstrate the </w:t>
      </w:r>
      <w:r w:rsidR="00433D34" w:rsidRPr="00433D34">
        <w:rPr>
          <w:rFonts w:ascii="Open Sans" w:hAnsi="Open Sans" w:cs="Open Sans"/>
          <w:sz w:val="20"/>
          <w:szCs w:val="20"/>
        </w:rPr>
        <w:t xml:space="preserve">impact of these mitigation proposals. </w:t>
      </w:r>
      <w:r w:rsidR="00506403" w:rsidRPr="00433D34">
        <w:rPr>
          <w:rFonts w:ascii="Open Sans" w:hAnsi="Open Sans" w:cs="Open Sans"/>
          <w:sz w:val="20"/>
          <w:szCs w:val="20"/>
        </w:rPr>
        <w:t xml:space="preserve"> </w:t>
      </w:r>
      <w:r w:rsidR="00557B29" w:rsidRPr="00433D34">
        <w:rPr>
          <w:rFonts w:ascii="Open Sans" w:hAnsi="Open Sans" w:cs="Open Sans"/>
          <w:sz w:val="20"/>
          <w:szCs w:val="20"/>
        </w:rPr>
        <w:t xml:space="preserve"> </w:t>
      </w:r>
    </w:p>
    <w:p w14:paraId="6DD7645C" w14:textId="77777777" w:rsidR="004B3939" w:rsidRDefault="004B3939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553A18C3" w14:textId="4FF7BB40" w:rsid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26. Do you agree that the cap and floor scheme should be allocated administratively?</w:t>
      </w:r>
    </w:p>
    <w:p w14:paraId="0A359831" w14:textId="77777777" w:rsidR="00433D34" w:rsidRDefault="00433D34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4C618FE0" w14:textId="2DC4BD83" w:rsidR="00433D34" w:rsidRPr="005C4A50" w:rsidRDefault="00433D34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5C4A50">
        <w:rPr>
          <w:rFonts w:ascii="Open Sans" w:hAnsi="Open Sans" w:cs="Open Sans"/>
          <w:sz w:val="20"/>
          <w:szCs w:val="20"/>
        </w:rPr>
        <w:lastRenderedPageBreak/>
        <w:t>Yes, we support an administrative allocation process</w:t>
      </w:r>
      <w:r w:rsidR="0016605E">
        <w:rPr>
          <w:rFonts w:ascii="Open Sans" w:hAnsi="Open Sans" w:cs="Open Sans"/>
          <w:sz w:val="20"/>
          <w:szCs w:val="20"/>
        </w:rPr>
        <w:t>.</w:t>
      </w:r>
      <w:r w:rsidRPr="005C4A50">
        <w:rPr>
          <w:rFonts w:ascii="Open Sans" w:hAnsi="Open Sans" w:cs="Open Sans"/>
          <w:sz w:val="20"/>
          <w:szCs w:val="20"/>
        </w:rPr>
        <w:t xml:space="preserve"> </w:t>
      </w:r>
      <w:r w:rsidR="0016605E">
        <w:rPr>
          <w:rFonts w:ascii="Open Sans" w:hAnsi="Open Sans" w:cs="Open Sans"/>
          <w:sz w:val="20"/>
          <w:szCs w:val="20"/>
        </w:rPr>
        <w:t>E</w:t>
      </w:r>
      <w:r w:rsidRPr="005C4A50">
        <w:rPr>
          <w:rFonts w:ascii="Open Sans" w:hAnsi="Open Sans" w:cs="Open Sans"/>
          <w:sz w:val="20"/>
          <w:szCs w:val="20"/>
        </w:rPr>
        <w:t xml:space="preserve">specially given the different </w:t>
      </w:r>
      <w:r w:rsidR="005C4A50" w:rsidRPr="005C4A50">
        <w:rPr>
          <w:rFonts w:ascii="Open Sans" w:hAnsi="Open Sans" w:cs="Open Sans"/>
          <w:sz w:val="20"/>
          <w:szCs w:val="20"/>
        </w:rPr>
        <w:t>types of technologies and operational realities of LDES projects.</w:t>
      </w:r>
    </w:p>
    <w:p w14:paraId="6B42DD1C" w14:textId="77777777" w:rsidR="00433D34" w:rsidRPr="00BD7B08" w:rsidRDefault="00433D34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30D4CCA1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27. Do you agree that length of a cap and floor contract should be based on the</w:t>
      </w:r>
    </w:p>
    <w:p w14:paraId="6EBB0385" w14:textId="77777777" w:rsid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project length?</w:t>
      </w:r>
    </w:p>
    <w:p w14:paraId="59369DE0" w14:textId="77777777" w:rsidR="005C4A50" w:rsidRDefault="005C4A50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5196A2DD" w14:textId="596504E6" w:rsidR="00DF0CED" w:rsidRDefault="005C4A50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C4077F">
        <w:rPr>
          <w:rFonts w:ascii="Open Sans" w:hAnsi="Open Sans" w:cs="Open Sans"/>
          <w:sz w:val="20"/>
          <w:szCs w:val="20"/>
        </w:rPr>
        <w:t>Yes, we</w:t>
      </w:r>
      <w:r w:rsidR="00DF0CED">
        <w:rPr>
          <w:rFonts w:ascii="Open Sans" w:hAnsi="Open Sans" w:cs="Open Sans"/>
          <w:sz w:val="20"/>
          <w:szCs w:val="20"/>
        </w:rPr>
        <w:t xml:space="preserve"> strongly</w:t>
      </w:r>
      <w:r w:rsidRPr="00C4077F">
        <w:rPr>
          <w:rFonts w:ascii="Open Sans" w:hAnsi="Open Sans" w:cs="Open Sans"/>
          <w:sz w:val="20"/>
          <w:szCs w:val="20"/>
        </w:rPr>
        <w:t xml:space="preserve"> welcome this flexibility being proposed. This will help recognise the different </w:t>
      </w:r>
      <w:r w:rsidR="00C4077F" w:rsidRPr="00C4077F">
        <w:rPr>
          <w:rFonts w:ascii="Open Sans" w:hAnsi="Open Sans" w:cs="Open Sans"/>
          <w:sz w:val="20"/>
          <w:szCs w:val="20"/>
        </w:rPr>
        <w:t xml:space="preserve">operating life </w:t>
      </w:r>
      <w:r w:rsidR="00447C88">
        <w:rPr>
          <w:rFonts w:ascii="Open Sans" w:hAnsi="Open Sans" w:cs="Open Sans"/>
          <w:sz w:val="20"/>
          <w:szCs w:val="20"/>
        </w:rPr>
        <w:t xml:space="preserve">expectancies </w:t>
      </w:r>
      <w:r w:rsidR="00C4077F" w:rsidRPr="00C4077F">
        <w:rPr>
          <w:rFonts w:ascii="Open Sans" w:hAnsi="Open Sans" w:cs="Open Sans"/>
          <w:sz w:val="20"/>
          <w:szCs w:val="20"/>
        </w:rPr>
        <w:t xml:space="preserve">of different LDES technologies. It is appropriate </w:t>
      </w:r>
      <w:r w:rsidR="00B60892">
        <w:rPr>
          <w:rFonts w:ascii="Open Sans" w:hAnsi="Open Sans" w:cs="Open Sans"/>
          <w:sz w:val="20"/>
          <w:szCs w:val="20"/>
        </w:rPr>
        <w:t xml:space="preserve">that </w:t>
      </w:r>
      <w:r w:rsidR="00C4077F" w:rsidRPr="00C4077F">
        <w:rPr>
          <w:rFonts w:ascii="Open Sans" w:hAnsi="Open Sans" w:cs="Open Sans"/>
          <w:sz w:val="20"/>
          <w:szCs w:val="20"/>
        </w:rPr>
        <w:t>this</w:t>
      </w:r>
      <w:r w:rsidR="00DF0CED">
        <w:rPr>
          <w:rFonts w:ascii="Open Sans" w:hAnsi="Open Sans" w:cs="Open Sans"/>
          <w:sz w:val="20"/>
          <w:szCs w:val="20"/>
        </w:rPr>
        <w:t xml:space="preserve"> is</w:t>
      </w:r>
      <w:r w:rsidR="00C4077F" w:rsidRPr="00C4077F">
        <w:rPr>
          <w:rFonts w:ascii="Open Sans" w:hAnsi="Open Sans" w:cs="Open Sans"/>
          <w:sz w:val="20"/>
          <w:szCs w:val="20"/>
        </w:rPr>
        <w:t xml:space="preserve"> agreed through the administrative allocation process</w:t>
      </w:r>
      <w:r w:rsidR="00C4077F">
        <w:rPr>
          <w:rFonts w:ascii="Open Sans" w:hAnsi="Open Sans" w:cs="Open Sans"/>
          <w:b/>
          <w:bCs/>
          <w:sz w:val="20"/>
          <w:szCs w:val="20"/>
        </w:rPr>
        <w:t xml:space="preserve">. </w:t>
      </w:r>
    </w:p>
    <w:p w14:paraId="72E68B1A" w14:textId="77777777" w:rsidR="00DF0CED" w:rsidRDefault="00DF0CED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64743647" w14:textId="429939B9" w:rsidR="005C4A50" w:rsidRDefault="00DF0CED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DF0CED">
        <w:rPr>
          <w:rFonts w:ascii="Open Sans" w:hAnsi="Open Sans" w:cs="Open Sans"/>
          <w:sz w:val="20"/>
          <w:szCs w:val="20"/>
        </w:rPr>
        <w:t>We</w:t>
      </w:r>
      <w:r>
        <w:rPr>
          <w:rFonts w:ascii="Open Sans" w:hAnsi="Open Sans" w:cs="Open Sans"/>
          <w:sz w:val="20"/>
          <w:szCs w:val="20"/>
        </w:rPr>
        <w:t xml:space="preserve">, </w:t>
      </w:r>
      <w:r w:rsidRPr="00DF0CED">
        <w:rPr>
          <w:rFonts w:ascii="Open Sans" w:hAnsi="Open Sans" w:cs="Open Sans"/>
          <w:sz w:val="20"/>
          <w:szCs w:val="20"/>
        </w:rPr>
        <w:t>however</w:t>
      </w:r>
      <w:r>
        <w:rPr>
          <w:rFonts w:ascii="Open Sans" w:hAnsi="Open Sans" w:cs="Open Sans"/>
          <w:sz w:val="20"/>
          <w:szCs w:val="20"/>
        </w:rPr>
        <w:t>,</w:t>
      </w:r>
      <w:r w:rsidRPr="00DF0CED">
        <w:rPr>
          <w:rFonts w:ascii="Open Sans" w:hAnsi="Open Sans" w:cs="Open Sans"/>
          <w:sz w:val="20"/>
          <w:szCs w:val="20"/>
        </w:rPr>
        <w:t xml:space="preserve"> note that t</w:t>
      </w:r>
      <w:r w:rsidR="00D37CD9" w:rsidRPr="00CA6ECF">
        <w:rPr>
          <w:rFonts w:ascii="Open Sans" w:hAnsi="Open Sans" w:cs="Open Sans"/>
          <w:sz w:val="20"/>
          <w:szCs w:val="20"/>
        </w:rPr>
        <w:t xml:space="preserve">his will need to </w:t>
      </w:r>
      <w:r w:rsidR="00224596" w:rsidRPr="00CA6ECF">
        <w:rPr>
          <w:rFonts w:ascii="Open Sans" w:hAnsi="Open Sans" w:cs="Open Sans"/>
          <w:sz w:val="20"/>
          <w:szCs w:val="20"/>
        </w:rPr>
        <w:t>consider</w:t>
      </w:r>
      <w:r w:rsidR="00D37CD9" w:rsidRPr="00CA6ECF">
        <w:rPr>
          <w:rFonts w:ascii="Open Sans" w:hAnsi="Open Sans" w:cs="Open Sans"/>
          <w:sz w:val="20"/>
          <w:szCs w:val="20"/>
        </w:rPr>
        <w:t xml:space="preserve"> the intended operation of </w:t>
      </w:r>
      <w:r>
        <w:rPr>
          <w:rFonts w:ascii="Open Sans" w:hAnsi="Open Sans" w:cs="Open Sans"/>
          <w:sz w:val="20"/>
          <w:szCs w:val="20"/>
        </w:rPr>
        <w:t xml:space="preserve">the </w:t>
      </w:r>
      <w:r w:rsidR="00D37CD9" w:rsidRPr="00CA6ECF">
        <w:rPr>
          <w:rFonts w:ascii="Open Sans" w:hAnsi="Open Sans" w:cs="Open Sans"/>
          <w:sz w:val="20"/>
          <w:szCs w:val="20"/>
        </w:rPr>
        <w:t xml:space="preserve">LDES technology, with more frequent cycling possibly having an impact on project life expectancy. If this </w:t>
      </w:r>
      <w:r w:rsidR="00224596" w:rsidRPr="00CA6ECF">
        <w:rPr>
          <w:rFonts w:ascii="Open Sans" w:hAnsi="Open Sans" w:cs="Open Sans"/>
          <w:sz w:val="20"/>
          <w:szCs w:val="20"/>
        </w:rPr>
        <w:t xml:space="preserve">is the </w:t>
      </w:r>
      <w:r w:rsidR="00D37CD9" w:rsidRPr="00CA6ECF">
        <w:rPr>
          <w:rFonts w:ascii="Open Sans" w:hAnsi="Open Sans" w:cs="Open Sans"/>
          <w:sz w:val="20"/>
          <w:szCs w:val="20"/>
        </w:rPr>
        <w:t xml:space="preserve">case, </w:t>
      </w:r>
      <w:r w:rsidR="00B57E2F">
        <w:rPr>
          <w:rFonts w:ascii="Open Sans" w:hAnsi="Open Sans" w:cs="Open Sans"/>
          <w:sz w:val="20"/>
          <w:szCs w:val="20"/>
        </w:rPr>
        <w:t xml:space="preserve">additional </w:t>
      </w:r>
      <w:r w:rsidR="00D37CD9" w:rsidRPr="00CA6ECF">
        <w:rPr>
          <w:rFonts w:ascii="Open Sans" w:hAnsi="Open Sans" w:cs="Open Sans"/>
          <w:sz w:val="20"/>
          <w:szCs w:val="20"/>
        </w:rPr>
        <w:t xml:space="preserve">thought may need to be </w:t>
      </w:r>
      <w:proofErr w:type="gramStart"/>
      <w:r w:rsidR="00D37CD9" w:rsidRPr="00CA6ECF">
        <w:rPr>
          <w:rFonts w:ascii="Open Sans" w:hAnsi="Open Sans" w:cs="Open Sans"/>
          <w:sz w:val="20"/>
          <w:szCs w:val="20"/>
        </w:rPr>
        <w:t>given  if</w:t>
      </w:r>
      <w:proofErr w:type="gramEnd"/>
      <w:r w:rsidR="00D37CD9" w:rsidRPr="00CA6ECF">
        <w:rPr>
          <w:rFonts w:ascii="Open Sans" w:hAnsi="Open Sans" w:cs="Open Sans"/>
          <w:sz w:val="20"/>
          <w:szCs w:val="20"/>
        </w:rPr>
        <w:t xml:space="preserve"> the contract length turns out to be set too long </w:t>
      </w:r>
      <w:r w:rsidR="0057180F" w:rsidRPr="00CA6ECF">
        <w:rPr>
          <w:rFonts w:ascii="Open Sans" w:hAnsi="Open Sans" w:cs="Open Sans"/>
          <w:sz w:val="20"/>
          <w:szCs w:val="20"/>
        </w:rPr>
        <w:t>and</w:t>
      </w:r>
      <w:r w:rsidR="00CA6ECF" w:rsidRPr="00CA6ECF">
        <w:rPr>
          <w:rFonts w:ascii="Open Sans" w:hAnsi="Open Sans" w:cs="Open Sans"/>
          <w:sz w:val="20"/>
          <w:szCs w:val="20"/>
        </w:rPr>
        <w:t>,</w:t>
      </w:r>
      <w:r w:rsidR="0057180F" w:rsidRPr="00CA6ECF">
        <w:rPr>
          <w:rFonts w:ascii="Open Sans" w:hAnsi="Open Sans" w:cs="Open Sans"/>
          <w:sz w:val="20"/>
          <w:szCs w:val="20"/>
        </w:rPr>
        <w:t xml:space="preserve"> due</w:t>
      </w:r>
      <w:r w:rsidR="00D37CD9" w:rsidRPr="00CA6ECF">
        <w:rPr>
          <w:rFonts w:ascii="Open Sans" w:hAnsi="Open Sans" w:cs="Open Sans"/>
          <w:sz w:val="20"/>
          <w:szCs w:val="20"/>
        </w:rPr>
        <w:t xml:space="preserve"> to more frequent use, </w:t>
      </w:r>
      <w:r w:rsidR="0057180F" w:rsidRPr="00CA6ECF">
        <w:rPr>
          <w:rFonts w:ascii="Open Sans" w:hAnsi="Open Sans" w:cs="Open Sans"/>
          <w:sz w:val="20"/>
          <w:szCs w:val="20"/>
        </w:rPr>
        <w:t xml:space="preserve">the project decommissions earlier </w:t>
      </w:r>
      <w:proofErr w:type="spellStart"/>
      <w:r w:rsidR="0057180F" w:rsidRPr="00CA6ECF">
        <w:rPr>
          <w:rFonts w:ascii="Open Sans" w:hAnsi="Open Sans" w:cs="Open Sans"/>
          <w:sz w:val="20"/>
          <w:szCs w:val="20"/>
        </w:rPr>
        <w:t>then</w:t>
      </w:r>
      <w:proofErr w:type="spellEnd"/>
      <w:r w:rsidR="0057180F" w:rsidRPr="00CA6ECF">
        <w:rPr>
          <w:rFonts w:ascii="Open Sans" w:hAnsi="Open Sans" w:cs="Open Sans"/>
          <w:sz w:val="20"/>
          <w:szCs w:val="20"/>
        </w:rPr>
        <w:t xml:space="preserve"> expected. This will be very technology </w:t>
      </w:r>
      <w:proofErr w:type="gramStart"/>
      <w:r w:rsidR="0057180F" w:rsidRPr="00CA6ECF">
        <w:rPr>
          <w:rFonts w:ascii="Open Sans" w:hAnsi="Open Sans" w:cs="Open Sans"/>
          <w:sz w:val="20"/>
          <w:szCs w:val="20"/>
        </w:rPr>
        <w:t xml:space="preserve">dependent  </w:t>
      </w:r>
      <w:r w:rsidR="00B57E2F">
        <w:rPr>
          <w:rFonts w:ascii="Open Sans" w:hAnsi="Open Sans" w:cs="Open Sans"/>
          <w:sz w:val="20"/>
          <w:szCs w:val="20"/>
        </w:rPr>
        <w:t>and</w:t>
      </w:r>
      <w:proofErr w:type="gramEnd"/>
      <w:r w:rsidR="00B57E2F">
        <w:rPr>
          <w:rFonts w:ascii="Open Sans" w:hAnsi="Open Sans" w:cs="Open Sans"/>
          <w:sz w:val="20"/>
          <w:szCs w:val="20"/>
        </w:rPr>
        <w:t xml:space="preserve"> </w:t>
      </w:r>
      <w:r w:rsidR="0057180F" w:rsidRPr="00CA6ECF">
        <w:rPr>
          <w:rFonts w:ascii="Open Sans" w:hAnsi="Open Sans" w:cs="Open Sans"/>
          <w:sz w:val="20"/>
          <w:szCs w:val="20"/>
        </w:rPr>
        <w:t>require bi-lateral negotiation.</w:t>
      </w:r>
      <w:r w:rsidR="0057180F">
        <w:rPr>
          <w:rFonts w:ascii="Open Sans" w:hAnsi="Open Sans" w:cs="Open Sans"/>
          <w:b/>
          <w:bCs/>
          <w:sz w:val="20"/>
          <w:szCs w:val="20"/>
        </w:rPr>
        <w:t xml:space="preserve"> </w:t>
      </w:r>
    </w:p>
    <w:p w14:paraId="6141E0C5" w14:textId="77777777" w:rsidR="005C4A50" w:rsidRPr="00BD7B08" w:rsidRDefault="005C4A50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1782E6A7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28. Do you agree that cap and floor recipients should also be able to participate in</w:t>
      </w:r>
    </w:p>
    <w:p w14:paraId="13D74659" w14:textId="77777777" w:rsid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other electricity markets, such as the CM? Please provide reasoning.</w:t>
      </w:r>
    </w:p>
    <w:p w14:paraId="5A8CC800" w14:textId="77777777" w:rsidR="00C4077F" w:rsidRDefault="00C4077F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66CA6085" w14:textId="216BDB8E" w:rsidR="00C4077F" w:rsidRDefault="00C4077F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C4077F">
        <w:rPr>
          <w:rFonts w:ascii="Open Sans" w:hAnsi="Open Sans" w:cs="Open Sans"/>
          <w:sz w:val="20"/>
          <w:szCs w:val="20"/>
        </w:rPr>
        <w:t xml:space="preserve">Yes, </w:t>
      </w:r>
      <w:r w:rsidR="00FC02D5">
        <w:rPr>
          <w:rFonts w:ascii="Open Sans" w:hAnsi="Open Sans" w:cs="Open Sans"/>
          <w:sz w:val="20"/>
          <w:szCs w:val="20"/>
        </w:rPr>
        <w:t>there is no reason that further services provided by LDES should not also be rewarded</w:t>
      </w:r>
      <w:r w:rsidR="008A43A1">
        <w:rPr>
          <w:rFonts w:ascii="Open Sans" w:hAnsi="Open Sans" w:cs="Open Sans"/>
          <w:sz w:val="20"/>
          <w:szCs w:val="20"/>
        </w:rPr>
        <w:t xml:space="preserve">. </w:t>
      </w:r>
      <w:r w:rsidR="00C936B7">
        <w:rPr>
          <w:rFonts w:ascii="Open Sans" w:hAnsi="Open Sans" w:cs="Open Sans"/>
          <w:sz w:val="20"/>
          <w:szCs w:val="20"/>
        </w:rPr>
        <w:t>Overall,</w:t>
      </w:r>
      <w:r w:rsidR="008A43A1">
        <w:rPr>
          <w:rFonts w:ascii="Open Sans" w:hAnsi="Open Sans" w:cs="Open Sans"/>
          <w:sz w:val="20"/>
          <w:szCs w:val="20"/>
        </w:rPr>
        <w:t xml:space="preserve"> the more revenue streams that LDES </w:t>
      </w:r>
      <w:r w:rsidR="00C936B7">
        <w:rPr>
          <w:rFonts w:ascii="Open Sans" w:hAnsi="Open Sans" w:cs="Open Sans"/>
          <w:sz w:val="20"/>
          <w:szCs w:val="20"/>
        </w:rPr>
        <w:t>can</w:t>
      </w:r>
      <w:r w:rsidR="008A43A1">
        <w:rPr>
          <w:rFonts w:ascii="Open Sans" w:hAnsi="Open Sans" w:cs="Open Sans"/>
          <w:sz w:val="20"/>
          <w:szCs w:val="20"/>
        </w:rPr>
        <w:t xml:space="preserve"> benefit from</w:t>
      </w:r>
      <w:r w:rsidR="00C936B7">
        <w:rPr>
          <w:rFonts w:ascii="Open Sans" w:hAnsi="Open Sans" w:cs="Open Sans"/>
          <w:sz w:val="20"/>
          <w:szCs w:val="20"/>
        </w:rPr>
        <w:t>,</w:t>
      </w:r>
      <w:r w:rsidR="008A43A1">
        <w:rPr>
          <w:rFonts w:ascii="Open Sans" w:hAnsi="Open Sans" w:cs="Open Sans"/>
          <w:sz w:val="20"/>
          <w:szCs w:val="20"/>
        </w:rPr>
        <w:t xml:space="preserve"> the more derisked the </w:t>
      </w:r>
      <w:r w:rsidR="00C936B7">
        <w:rPr>
          <w:rFonts w:ascii="Open Sans" w:hAnsi="Open Sans" w:cs="Open Sans"/>
          <w:sz w:val="20"/>
          <w:szCs w:val="20"/>
        </w:rPr>
        <w:t>F</w:t>
      </w:r>
      <w:r w:rsidR="008A43A1">
        <w:rPr>
          <w:rFonts w:ascii="Open Sans" w:hAnsi="Open Sans" w:cs="Open Sans"/>
          <w:sz w:val="20"/>
          <w:szCs w:val="20"/>
        </w:rPr>
        <w:t xml:space="preserve">loor </w:t>
      </w:r>
      <w:r w:rsidR="00EB3955">
        <w:rPr>
          <w:rFonts w:ascii="Open Sans" w:hAnsi="Open Sans" w:cs="Open Sans"/>
          <w:sz w:val="20"/>
          <w:szCs w:val="20"/>
        </w:rPr>
        <w:t xml:space="preserve">will be. Enabling multiple revenue streams will help the sector to establish itself quickly and ultimately </w:t>
      </w:r>
      <w:r w:rsidR="00294615">
        <w:rPr>
          <w:rFonts w:ascii="Open Sans" w:hAnsi="Open Sans" w:cs="Open Sans"/>
          <w:sz w:val="20"/>
          <w:szCs w:val="20"/>
        </w:rPr>
        <w:t>prove</w:t>
      </w:r>
      <w:r w:rsidR="00EB3955">
        <w:rPr>
          <w:rFonts w:ascii="Open Sans" w:hAnsi="Open Sans" w:cs="Open Sans"/>
          <w:sz w:val="20"/>
          <w:szCs w:val="20"/>
        </w:rPr>
        <w:t xml:space="preserve"> their business model, so </w:t>
      </w:r>
      <w:r w:rsidR="00C936B7">
        <w:rPr>
          <w:rFonts w:ascii="Open Sans" w:hAnsi="Open Sans" w:cs="Open Sans"/>
          <w:sz w:val="20"/>
          <w:szCs w:val="20"/>
        </w:rPr>
        <w:t xml:space="preserve">firms </w:t>
      </w:r>
      <w:r w:rsidR="00EB3955">
        <w:rPr>
          <w:rFonts w:ascii="Open Sans" w:hAnsi="Open Sans" w:cs="Open Sans"/>
          <w:sz w:val="20"/>
          <w:szCs w:val="20"/>
        </w:rPr>
        <w:t xml:space="preserve">are able to move away from government support faster. </w:t>
      </w:r>
    </w:p>
    <w:p w14:paraId="6024F8A8" w14:textId="77777777" w:rsidR="00EB3955" w:rsidRDefault="00EB3955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</w:p>
    <w:p w14:paraId="6CD324C0" w14:textId="114393AD" w:rsidR="00EB3955" w:rsidRPr="00C4077F" w:rsidRDefault="00EB3955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We note that </w:t>
      </w:r>
      <w:r w:rsidR="00956AD8">
        <w:rPr>
          <w:rFonts w:ascii="Open Sans" w:hAnsi="Open Sans" w:cs="Open Sans"/>
          <w:sz w:val="20"/>
          <w:szCs w:val="20"/>
        </w:rPr>
        <w:t xml:space="preserve">involvement in the capacity market will depend on effective reforms to contract length being delivered through the current consultation on how the capacity market </w:t>
      </w:r>
      <w:r w:rsidR="00C60540">
        <w:rPr>
          <w:rFonts w:ascii="Open Sans" w:hAnsi="Open Sans" w:cs="Open Sans"/>
          <w:sz w:val="20"/>
          <w:szCs w:val="20"/>
        </w:rPr>
        <w:t>operates. The one year ahead contract available to interconnectors will not be sufficiently attract</w:t>
      </w:r>
      <w:r w:rsidR="00294615">
        <w:rPr>
          <w:rFonts w:ascii="Open Sans" w:hAnsi="Open Sans" w:cs="Open Sans"/>
          <w:sz w:val="20"/>
          <w:szCs w:val="20"/>
        </w:rPr>
        <w:t>ive to the LDES market</w:t>
      </w:r>
      <w:r w:rsidR="003254C5">
        <w:rPr>
          <w:rFonts w:ascii="Open Sans" w:hAnsi="Open Sans" w:cs="Open Sans"/>
          <w:sz w:val="20"/>
          <w:szCs w:val="20"/>
        </w:rPr>
        <w:t>, so evolution of the CM will be needed before we see significant LDES participation</w:t>
      </w:r>
      <w:r w:rsidR="00294615">
        <w:rPr>
          <w:rFonts w:ascii="Open Sans" w:hAnsi="Open Sans" w:cs="Open Sans"/>
          <w:sz w:val="20"/>
          <w:szCs w:val="20"/>
        </w:rPr>
        <w:t xml:space="preserve">. </w:t>
      </w:r>
    </w:p>
    <w:p w14:paraId="1AFEFB96" w14:textId="77777777" w:rsidR="00C4077F" w:rsidRPr="00BD7B08" w:rsidRDefault="00C4077F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44B28838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29. To what extent could finance be needed from UK Infrastructure Bank or</w:t>
      </w:r>
    </w:p>
    <w:p w14:paraId="1020958D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elsewhere, alongside the cap and floor scheme, to help address barriers to</w:t>
      </w:r>
    </w:p>
    <w:p w14:paraId="4D160775" w14:textId="77777777" w:rsid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investment in LDES?</w:t>
      </w:r>
    </w:p>
    <w:p w14:paraId="54C13271" w14:textId="77777777" w:rsidR="003254C5" w:rsidRPr="00FD5240" w:rsidRDefault="003254C5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</w:p>
    <w:p w14:paraId="2F9A90B9" w14:textId="55D9676D" w:rsidR="00C83103" w:rsidRPr="00FD5240" w:rsidRDefault="00D55C2F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UK Infrastructure Bank</w:t>
      </w:r>
      <w:r w:rsidR="00A64DF9" w:rsidRPr="00FD5240">
        <w:rPr>
          <w:rFonts w:ascii="Open Sans" w:hAnsi="Open Sans" w:cs="Open Sans"/>
          <w:sz w:val="20"/>
          <w:szCs w:val="20"/>
        </w:rPr>
        <w:t xml:space="preserve"> should be focused on addressing the </w:t>
      </w:r>
      <w:r w:rsidR="00DC15B0" w:rsidRPr="00FD5240">
        <w:rPr>
          <w:rFonts w:ascii="Open Sans" w:hAnsi="Open Sans" w:cs="Open Sans"/>
          <w:sz w:val="20"/>
          <w:szCs w:val="20"/>
        </w:rPr>
        <w:t>infrastructure</w:t>
      </w:r>
      <w:r w:rsidR="00A64DF9" w:rsidRPr="00FD5240">
        <w:rPr>
          <w:rFonts w:ascii="Open Sans" w:hAnsi="Open Sans" w:cs="Open Sans"/>
          <w:sz w:val="20"/>
          <w:szCs w:val="20"/>
        </w:rPr>
        <w:t xml:space="preserve"> barriers to the deployment of LDES, as well as broader low carbon generation. </w:t>
      </w:r>
      <w:r w:rsidR="00FD5240" w:rsidRPr="00FD5240">
        <w:rPr>
          <w:rFonts w:ascii="Open Sans" w:hAnsi="Open Sans" w:cs="Open Sans"/>
          <w:sz w:val="20"/>
          <w:szCs w:val="20"/>
        </w:rPr>
        <w:t>Specifically,</w:t>
      </w:r>
      <w:r w:rsidR="00A64DF9" w:rsidRPr="00FD5240">
        <w:rPr>
          <w:rFonts w:ascii="Open Sans" w:hAnsi="Open Sans" w:cs="Open Sans"/>
          <w:sz w:val="20"/>
          <w:szCs w:val="20"/>
        </w:rPr>
        <w:t xml:space="preserve"> this must involve </w:t>
      </w:r>
      <w:r w:rsidR="00DC15B0" w:rsidRPr="00FD5240">
        <w:rPr>
          <w:rFonts w:ascii="Open Sans" w:hAnsi="Open Sans" w:cs="Open Sans"/>
          <w:sz w:val="20"/>
          <w:szCs w:val="20"/>
        </w:rPr>
        <w:t>investment in reinforcement of our power gri</w:t>
      </w:r>
      <w:r w:rsidR="00B13B48" w:rsidRPr="00FD5240">
        <w:rPr>
          <w:rFonts w:ascii="Open Sans" w:hAnsi="Open Sans" w:cs="Open Sans"/>
          <w:sz w:val="20"/>
          <w:szCs w:val="20"/>
        </w:rPr>
        <w:t>d to reduce capacity constraints</w:t>
      </w:r>
      <w:r w:rsidR="00395E06" w:rsidRPr="00FD5240">
        <w:rPr>
          <w:rFonts w:ascii="Open Sans" w:hAnsi="Open Sans" w:cs="Open Sans"/>
          <w:sz w:val="20"/>
          <w:szCs w:val="20"/>
        </w:rPr>
        <w:t>. This will both enable</w:t>
      </w:r>
      <w:r w:rsidR="00B13B48" w:rsidRPr="00FD5240">
        <w:rPr>
          <w:rFonts w:ascii="Open Sans" w:hAnsi="Open Sans" w:cs="Open Sans"/>
          <w:sz w:val="20"/>
          <w:szCs w:val="20"/>
        </w:rPr>
        <w:t xml:space="preserve"> </w:t>
      </w:r>
      <w:r w:rsidR="00FD5240" w:rsidRPr="00FD5240">
        <w:rPr>
          <w:rFonts w:ascii="Open Sans" w:hAnsi="Open Sans" w:cs="Open Sans"/>
          <w:sz w:val="20"/>
          <w:szCs w:val="20"/>
        </w:rPr>
        <w:t xml:space="preserve">new </w:t>
      </w:r>
      <w:r w:rsidR="00395E06" w:rsidRPr="00FD5240">
        <w:rPr>
          <w:rFonts w:ascii="Open Sans" w:hAnsi="Open Sans" w:cs="Open Sans"/>
          <w:sz w:val="20"/>
          <w:szCs w:val="20"/>
        </w:rPr>
        <w:t>connection</w:t>
      </w:r>
      <w:r w:rsidR="00251E82">
        <w:rPr>
          <w:rFonts w:ascii="Open Sans" w:hAnsi="Open Sans" w:cs="Open Sans"/>
          <w:sz w:val="20"/>
          <w:szCs w:val="20"/>
        </w:rPr>
        <w:t>s</w:t>
      </w:r>
      <w:r w:rsidR="00395E06" w:rsidRPr="00FD5240">
        <w:rPr>
          <w:rFonts w:ascii="Open Sans" w:hAnsi="Open Sans" w:cs="Open Sans"/>
          <w:sz w:val="20"/>
          <w:szCs w:val="20"/>
        </w:rPr>
        <w:t xml:space="preserve"> but also, </w:t>
      </w:r>
      <w:r w:rsidR="00B13B48" w:rsidRPr="00FD5240">
        <w:rPr>
          <w:rFonts w:ascii="Open Sans" w:hAnsi="Open Sans" w:cs="Open Sans"/>
          <w:sz w:val="20"/>
          <w:szCs w:val="20"/>
        </w:rPr>
        <w:t xml:space="preserve">as identified in the consultation, </w:t>
      </w:r>
      <w:r w:rsidR="00001D6C">
        <w:rPr>
          <w:rFonts w:ascii="Open Sans" w:hAnsi="Open Sans" w:cs="Open Sans"/>
          <w:sz w:val="20"/>
          <w:szCs w:val="20"/>
        </w:rPr>
        <w:t>help</w:t>
      </w:r>
      <w:r w:rsidR="00B13B48" w:rsidRPr="00FD5240">
        <w:rPr>
          <w:rFonts w:ascii="Open Sans" w:hAnsi="Open Sans" w:cs="Open Sans"/>
          <w:sz w:val="20"/>
          <w:szCs w:val="20"/>
        </w:rPr>
        <w:t xml:space="preserve"> maximise the benefits of LDES</w:t>
      </w:r>
      <w:r w:rsidR="00FD5240" w:rsidRPr="00FD5240">
        <w:rPr>
          <w:rFonts w:ascii="Open Sans" w:hAnsi="Open Sans" w:cs="Open Sans"/>
          <w:sz w:val="20"/>
          <w:szCs w:val="20"/>
        </w:rPr>
        <w:t>.</w:t>
      </w:r>
    </w:p>
    <w:p w14:paraId="5CB82196" w14:textId="77777777" w:rsidR="003254C5" w:rsidRPr="00BD7B08" w:rsidRDefault="003254C5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6128E70C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30. Do you agree that the proposed pre-qualification criteria are reasonable for both</w:t>
      </w:r>
    </w:p>
    <w:p w14:paraId="7934A580" w14:textId="77777777" w:rsid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streams? Please provide your reasoning.</w:t>
      </w:r>
    </w:p>
    <w:p w14:paraId="74ECA67C" w14:textId="77777777" w:rsidR="00CC6C1D" w:rsidRDefault="00CC6C1D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02C50EB1" w14:textId="1EEE37E3" w:rsidR="00CC6C1D" w:rsidRPr="00C55E0E" w:rsidRDefault="00737524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C55E0E">
        <w:rPr>
          <w:rFonts w:ascii="Open Sans" w:hAnsi="Open Sans" w:cs="Open Sans"/>
          <w:sz w:val="20"/>
          <w:szCs w:val="20"/>
        </w:rPr>
        <w:t xml:space="preserve">We agree with most of the pre-qualification </w:t>
      </w:r>
      <w:r w:rsidR="00A3796D" w:rsidRPr="00C55E0E">
        <w:rPr>
          <w:rFonts w:ascii="Open Sans" w:hAnsi="Open Sans" w:cs="Open Sans"/>
          <w:sz w:val="20"/>
          <w:szCs w:val="20"/>
        </w:rPr>
        <w:t>criteria but</w:t>
      </w:r>
      <w:r w:rsidRPr="00C55E0E">
        <w:rPr>
          <w:rFonts w:ascii="Open Sans" w:hAnsi="Open Sans" w:cs="Open Sans"/>
          <w:sz w:val="20"/>
          <w:szCs w:val="20"/>
        </w:rPr>
        <w:t xml:space="preserve"> suggest that </w:t>
      </w:r>
      <w:r w:rsidR="00ED74EC" w:rsidRPr="00C55E0E">
        <w:rPr>
          <w:rFonts w:ascii="Open Sans" w:hAnsi="Open Sans" w:cs="Open Sans"/>
          <w:sz w:val="20"/>
          <w:szCs w:val="20"/>
        </w:rPr>
        <w:t>the process should have more stages. Having an intial, but more lenient, ‘check</w:t>
      </w:r>
      <w:r w:rsidR="00551DC0">
        <w:rPr>
          <w:rFonts w:ascii="Open Sans" w:hAnsi="Open Sans" w:cs="Open Sans"/>
          <w:sz w:val="20"/>
          <w:szCs w:val="20"/>
        </w:rPr>
        <w:t>’</w:t>
      </w:r>
      <w:r w:rsidR="00ED74EC" w:rsidRPr="00C55E0E">
        <w:rPr>
          <w:rFonts w:ascii="Open Sans" w:hAnsi="Open Sans" w:cs="Open Sans"/>
          <w:sz w:val="20"/>
          <w:szCs w:val="20"/>
        </w:rPr>
        <w:t xml:space="preserve"> </w:t>
      </w:r>
      <w:r w:rsidR="00A3796D" w:rsidRPr="00C55E0E">
        <w:rPr>
          <w:rFonts w:ascii="Open Sans" w:hAnsi="Open Sans" w:cs="Open Sans"/>
          <w:sz w:val="20"/>
          <w:szCs w:val="20"/>
        </w:rPr>
        <w:t>phase</w:t>
      </w:r>
      <w:r w:rsidR="00ED74EC" w:rsidRPr="00C55E0E">
        <w:rPr>
          <w:rFonts w:ascii="Open Sans" w:hAnsi="Open Sans" w:cs="Open Sans"/>
          <w:sz w:val="20"/>
          <w:szCs w:val="20"/>
        </w:rPr>
        <w:t xml:space="preserve"> would enable projects to </w:t>
      </w:r>
      <w:r w:rsidR="00E70A95" w:rsidRPr="00C55E0E">
        <w:rPr>
          <w:rFonts w:ascii="Open Sans" w:hAnsi="Open Sans" w:cs="Open Sans"/>
          <w:sz w:val="20"/>
          <w:szCs w:val="20"/>
        </w:rPr>
        <w:t xml:space="preserve">gain confidence and get financiers interested. A final </w:t>
      </w:r>
      <w:r w:rsidR="00713CD0" w:rsidRPr="00C55E0E">
        <w:rPr>
          <w:rFonts w:ascii="Open Sans" w:hAnsi="Open Sans" w:cs="Open Sans"/>
          <w:sz w:val="20"/>
          <w:szCs w:val="20"/>
        </w:rPr>
        <w:t>pre-</w:t>
      </w:r>
      <w:r w:rsidR="00E70A95" w:rsidRPr="00C55E0E">
        <w:rPr>
          <w:rFonts w:ascii="Open Sans" w:hAnsi="Open Sans" w:cs="Open Sans"/>
          <w:sz w:val="20"/>
          <w:szCs w:val="20"/>
        </w:rPr>
        <w:t xml:space="preserve">qualification process could then </w:t>
      </w:r>
      <w:r w:rsidR="00713CD0" w:rsidRPr="00C55E0E">
        <w:rPr>
          <w:rFonts w:ascii="Open Sans" w:hAnsi="Open Sans" w:cs="Open Sans"/>
          <w:sz w:val="20"/>
          <w:szCs w:val="20"/>
        </w:rPr>
        <w:t>ensure final financial close.</w:t>
      </w:r>
    </w:p>
    <w:p w14:paraId="299E9C3C" w14:textId="77777777" w:rsidR="00713CD0" w:rsidRPr="00C55E0E" w:rsidRDefault="00713CD0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</w:p>
    <w:p w14:paraId="5751A850" w14:textId="1B6A940D" w:rsidR="00713CD0" w:rsidRPr="00C55E0E" w:rsidRDefault="00713CD0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C55E0E">
        <w:rPr>
          <w:rFonts w:ascii="Open Sans" w:hAnsi="Open Sans" w:cs="Open Sans"/>
          <w:sz w:val="20"/>
          <w:szCs w:val="20"/>
        </w:rPr>
        <w:t xml:space="preserve">Such a process would also help the </w:t>
      </w:r>
      <w:r w:rsidR="00941046">
        <w:rPr>
          <w:rFonts w:ascii="Open Sans" w:hAnsi="Open Sans" w:cs="Open Sans"/>
          <w:sz w:val="20"/>
          <w:szCs w:val="20"/>
        </w:rPr>
        <w:t>D</w:t>
      </w:r>
      <w:r w:rsidRPr="00C55E0E">
        <w:rPr>
          <w:rFonts w:ascii="Open Sans" w:hAnsi="Open Sans" w:cs="Open Sans"/>
          <w:sz w:val="20"/>
          <w:szCs w:val="20"/>
        </w:rPr>
        <w:t>eveloper and DESNZ respond to changes in market realities. This includes the potential bringing</w:t>
      </w:r>
      <w:r w:rsidR="00B3063C">
        <w:rPr>
          <w:rFonts w:ascii="Open Sans" w:hAnsi="Open Sans" w:cs="Open Sans"/>
          <w:sz w:val="20"/>
          <w:szCs w:val="20"/>
        </w:rPr>
        <w:t>-</w:t>
      </w:r>
      <w:r w:rsidRPr="00C55E0E">
        <w:rPr>
          <w:rFonts w:ascii="Open Sans" w:hAnsi="Open Sans" w:cs="Open Sans"/>
          <w:sz w:val="20"/>
          <w:szCs w:val="20"/>
        </w:rPr>
        <w:t xml:space="preserve">forward </w:t>
      </w:r>
      <w:r w:rsidR="00545AA6">
        <w:rPr>
          <w:rFonts w:ascii="Open Sans" w:hAnsi="Open Sans" w:cs="Open Sans"/>
          <w:sz w:val="20"/>
          <w:szCs w:val="20"/>
        </w:rPr>
        <w:t>of</w:t>
      </w:r>
      <w:r w:rsidRPr="00C55E0E">
        <w:rPr>
          <w:rFonts w:ascii="Open Sans" w:hAnsi="Open Sans" w:cs="Open Sans"/>
          <w:sz w:val="20"/>
          <w:szCs w:val="20"/>
        </w:rPr>
        <w:t xml:space="preserve"> grid connection dates</w:t>
      </w:r>
      <w:r w:rsidR="005D5C81" w:rsidRPr="00C55E0E">
        <w:rPr>
          <w:rFonts w:ascii="Open Sans" w:hAnsi="Open Sans" w:cs="Open Sans"/>
          <w:sz w:val="20"/>
          <w:szCs w:val="20"/>
        </w:rPr>
        <w:t xml:space="preserve">, especially given current transmission and distribution action plans to </w:t>
      </w:r>
      <w:r w:rsidR="00545AA6">
        <w:rPr>
          <w:rFonts w:ascii="Open Sans" w:hAnsi="Open Sans" w:cs="Open Sans"/>
          <w:sz w:val="20"/>
          <w:szCs w:val="20"/>
        </w:rPr>
        <w:t>do this</w:t>
      </w:r>
      <w:r w:rsidR="005D5C81" w:rsidRPr="00C55E0E">
        <w:rPr>
          <w:rFonts w:ascii="Open Sans" w:hAnsi="Open Sans" w:cs="Open Sans"/>
          <w:sz w:val="20"/>
          <w:szCs w:val="20"/>
        </w:rPr>
        <w:t>.</w:t>
      </w:r>
      <w:r w:rsidR="00C55E0E" w:rsidRPr="00C55E0E">
        <w:rPr>
          <w:rFonts w:ascii="Open Sans" w:hAnsi="Open Sans" w:cs="Open Sans"/>
          <w:sz w:val="20"/>
          <w:szCs w:val="20"/>
        </w:rPr>
        <w:t xml:space="preserve"> This includes proposals to prioritise storage </w:t>
      </w:r>
      <w:r w:rsidR="00C55E0E" w:rsidRPr="00C55E0E">
        <w:rPr>
          <w:rFonts w:ascii="Open Sans" w:hAnsi="Open Sans" w:cs="Open Sans"/>
          <w:sz w:val="20"/>
          <w:szCs w:val="20"/>
        </w:rPr>
        <w:lastRenderedPageBreak/>
        <w:t xml:space="preserve">asset connections, recognising the benefits they bring to grid capacity. </w:t>
      </w:r>
      <w:r w:rsidR="005D5C81" w:rsidRPr="00C55E0E">
        <w:rPr>
          <w:rFonts w:ascii="Open Sans" w:hAnsi="Open Sans" w:cs="Open Sans"/>
          <w:sz w:val="20"/>
          <w:szCs w:val="20"/>
        </w:rPr>
        <w:t xml:space="preserve"> For</w:t>
      </w:r>
      <w:r w:rsidR="00C55E0E" w:rsidRPr="00C55E0E">
        <w:rPr>
          <w:rFonts w:ascii="Open Sans" w:hAnsi="Open Sans" w:cs="Open Sans"/>
          <w:sz w:val="20"/>
          <w:szCs w:val="20"/>
        </w:rPr>
        <w:t xml:space="preserve"> </w:t>
      </w:r>
      <w:r w:rsidR="005D5C81" w:rsidRPr="00C55E0E">
        <w:rPr>
          <w:rFonts w:ascii="Open Sans" w:hAnsi="Open Sans" w:cs="Open Sans"/>
          <w:sz w:val="20"/>
          <w:szCs w:val="20"/>
        </w:rPr>
        <w:t xml:space="preserve">this </w:t>
      </w:r>
      <w:r w:rsidR="00A8480F" w:rsidRPr="00C55E0E">
        <w:rPr>
          <w:rFonts w:ascii="Open Sans" w:hAnsi="Open Sans" w:cs="Open Sans"/>
          <w:sz w:val="20"/>
          <w:szCs w:val="20"/>
        </w:rPr>
        <w:t>reason,</w:t>
      </w:r>
      <w:r w:rsidR="005D5C81" w:rsidRPr="00C55E0E">
        <w:rPr>
          <w:rFonts w:ascii="Open Sans" w:hAnsi="Open Sans" w:cs="Open Sans"/>
          <w:sz w:val="20"/>
          <w:szCs w:val="20"/>
        </w:rPr>
        <w:t xml:space="preserve"> </w:t>
      </w:r>
      <w:r w:rsidR="00C55E0E" w:rsidRPr="00C55E0E">
        <w:rPr>
          <w:rFonts w:ascii="Open Sans" w:hAnsi="Open Sans" w:cs="Open Sans"/>
          <w:sz w:val="20"/>
          <w:szCs w:val="20"/>
        </w:rPr>
        <w:t>pre-qualification</w:t>
      </w:r>
      <w:r w:rsidR="005D5C81" w:rsidRPr="00C55E0E">
        <w:rPr>
          <w:rFonts w:ascii="Open Sans" w:hAnsi="Open Sans" w:cs="Open Sans"/>
          <w:sz w:val="20"/>
          <w:szCs w:val="20"/>
        </w:rPr>
        <w:t xml:space="preserve"> should just require a connection </w:t>
      </w:r>
      <w:r w:rsidR="00A3796D" w:rsidRPr="00C55E0E">
        <w:rPr>
          <w:rFonts w:ascii="Open Sans" w:hAnsi="Open Sans" w:cs="Open Sans"/>
          <w:sz w:val="20"/>
          <w:szCs w:val="20"/>
        </w:rPr>
        <w:t xml:space="preserve">offer, but it may not match the expected commissioning date of the project, as it can be expected to be brought forward. </w:t>
      </w:r>
    </w:p>
    <w:p w14:paraId="1B009497" w14:textId="77777777" w:rsidR="00FD5240" w:rsidRPr="00BD7B08" w:rsidRDefault="00FD5240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73BE2026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31. Are there additional pre-qualification criteria that should be considered to</w:t>
      </w:r>
    </w:p>
    <w:p w14:paraId="5FE44D5C" w14:textId="77777777" w:rsid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establish the eligibility of a project?</w:t>
      </w:r>
    </w:p>
    <w:p w14:paraId="1304F2B8" w14:textId="77777777" w:rsidR="00F845DE" w:rsidRDefault="00F845DE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4754C3A7" w14:textId="68B275C9" w:rsidR="00F845DE" w:rsidRPr="00F845DE" w:rsidRDefault="00F845DE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F845DE">
        <w:rPr>
          <w:rFonts w:ascii="Open Sans" w:hAnsi="Open Sans" w:cs="Open Sans"/>
          <w:sz w:val="20"/>
          <w:szCs w:val="20"/>
          <w:highlight w:val="yellow"/>
        </w:rPr>
        <w:t>[member feedback welcome]</w:t>
      </w:r>
    </w:p>
    <w:p w14:paraId="15405BC2" w14:textId="77777777" w:rsidR="00F845DE" w:rsidRPr="00BD7B08" w:rsidRDefault="00F845DE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5478B07E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32. If you have a LDES project in the pipeline, how would these eligibility parameters</w:t>
      </w:r>
    </w:p>
    <w:p w14:paraId="3517A518" w14:textId="77777777" w:rsid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affect your project’s application?</w:t>
      </w:r>
    </w:p>
    <w:p w14:paraId="31C59728" w14:textId="77777777" w:rsidR="007C5D5B" w:rsidRPr="00F845DE" w:rsidRDefault="007C5D5B" w:rsidP="007C5D5B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F845DE">
        <w:rPr>
          <w:rFonts w:ascii="Open Sans" w:hAnsi="Open Sans" w:cs="Open Sans"/>
          <w:sz w:val="20"/>
          <w:szCs w:val="20"/>
          <w:highlight w:val="yellow"/>
        </w:rPr>
        <w:t>[member feedback welcome]</w:t>
      </w:r>
    </w:p>
    <w:p w14:paraId="506E47CE" w14:textId="77777777" w:rsidR="007C5D5B" w:rsidRPr="00BD7B08" w:rsidRDefault="007C5D5B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672562F5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33. What time length would you recommend for conducting reviews of cap/floor</w:t>
      </w:r>
    </w:p>
    <w:p w14:paraId="205237A8" w14:textId="77777777" w:rsid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threshold (e, g, annual or multi-year)?</w:t>
      </w:r>
    </w:p>
    <w:p w14:paraId="1B006AB3" w14:textId="77777777" w:rsidR="007C5D5B" w:rsidRDefault="007C5D5B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756363BD" w14:textId="46A1637F" w:rsidR="000B59CD" w:rsidRPr="004B167F" w:rsidRDefault="000B59CD" w:rsidP="004B167F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4B167F">
        <w:rPr>
          <w:rFonts w:ascii="Open Sans" w:hAnsi="Open Sans" w:cs="Open Sans"/>
          <w:sz w:val="20"/>
          <w:szCs w:val="20"/>
        </w:rPr>
        <w:t xml:space="preserve">We support multi-year reviews, suggesting that a 5 -year period is </w:t>
      </w:r>
      <w:r w:rsidR="00B563E3" w:rsidRPr="004B167F">
        <w:rPr>
          <w:rFonts w:ascii="Open Sans" w:hAnsi="Open Sans" w:cs="Open Sans"/>
          <w:sz w:val="20"/>
          <w:szCs w:val="20"/>
        </w:rPr>
        <w:t>appropriate. Too frequent reviews</w:t>
      </w:r>
      <w:r w:rsidR="004B167F" w:rsidRPr="004B167F">
        <w:rPr>
          <w:rFonts w:ascii="Open Sans" w:hAnsi="Open Sans" w:cs="Open Sans"/>
          <w:sz w:val="20"/>
          <w:szCs w:val="20"/>
        </w:rPr>
        <w:t xml:space="preserve"> could undermine investor confidence and introduce unnecessary </w:t>
      </w:r>
      <w:r w:rsidR="0059125F" w:rsidRPr="004B167F">
        <w:rPr>
          <w:rFonts w:ascii="Open Sans" w:hAnsi="Open Sans" w:cs="Open Sans"/>
          <w:sz w:val="20"/>
          <w:szCs w:val="20"/>
        </w:rPr>
        <w:t>uncertainty</w:t>
      </w:r>
      <w:r w:rsidR="004B167F" w:rsidRPr="004B167F">
        <w:rPr>
          <w:rFonts w:ascii="Open Sans" w:hAnsi="Open Sans" w:cs="Open Sans"/>
          <w:sz w:val="20"/>
          <w:szCs w:val="20"/>
        </w:rPr>
        <w:t xml:space="preserve"> into the scheme.</w:t>
      </w:r>
    </w:p>
    <w:p w14:paraId="725BDBD6" w14:textId="77777777" w:rsidR="007C5D5B" w:rsidRPr="00BD7B08" w:rsidRDefault="007C5D5B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0D2DFC07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34. Do you agree that exceptional event should be considered as part of the review of</w:t>
      </w:r>
    </w:p>
    <w:p w14:paraId="382A63C6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cap/floor? Please provide your reasoning.</w:t>
      </w:r>
    </w:p>
    <w:p w14:paraId="781264D0" w14:textId="77777777" w:rsidR="0059125F" w:rsidRDefault="0059125F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73F63469" w14:textId="6DFAF7BB" w:rsidR="0059125F" w:rsidRPr="001B16E4" w:rsidRDefault="00280CB9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1B16E4">
        <w:rPr>
          <w:rFonts w:ascii="Open Sans" w:hAnsi="Open Sans" w:cs="Open Sans"/>
          <w:sz w:val="20"/>
          <w:szCs w:val="20"/>
        </w:rPr>
        <w:t xml:space="preserve">Yes, however clear rules and thresholds will need to be defined for an exceptional event, so that it is not used </w:t>
      </w:r>
      <w:r w:rsidR="001B16E4">
        <w:rPr>
          <w:rFonts w:ascii="Open Sans" w:hAnsi="Open Sans" w:cs="Open Sans"/>
          <w:sz w:val="20"/>
          <w:szCs w:val="20"/>
        </w:rPr>
        <w:t xml:space="preserve">unfairly or </w:t>
      </w:r>
      <w:r w:rsidR="001B16E4" w:rsidRPr="001B16E4">
        <w:rPr>
          <w:rFonts w:ascii="Open Sans" w:hAnsi="Open Sans" w:cs="Open Sans"/>
          <w:sz w:val="20"/>
          <w:szCs w:val="20"/>
        </w:rPr>
        <w:t>unexpectantly by Government.</w:t>
      </w:r>
    </w:p>
    <w:p w14:paraId="7C35F278" w14:textId="77777777" w:rsidR="0059125F" w:rsidRDefault="0059125F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4D42647E" w14:textId="74B26E14" w:rsid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35. What criteria could a proving period for LDES be based on?</w:t>
      </w:r>
    </w:p>
    <w:p w14:paraId="7B8C0A26" w14:textId="77777777" w:rsidR="001B16E4" w:rsidRDefault="001B16E4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195DD2DA" w14:textId="6A7D083C" w:rsidR="001B16E4" w:rsidRPr="00B60E0F" w:rsidRDefault="001B16E4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B60E0F">
        <w:rPr>
          <w:rFonts w:ascii="Open Sans" w:hAnsi="Open Sans" w:cs="Open Sans"/>
          <w:sz w:val="20"/>
          <w:szCs w:val="20"/>
        </w:rPr>
        <w:t xml:space="preserve">A </w:t>
      </w:r>
      <w:r w:rsidR="003342FC" w:rsidRPr="00B60E0F">
        <w:rPr>
          <w:rFonts w:ascii="Open Sans" w:hAnsi="Open Sans" w:cs="Open Sans"/>
          <w:sz w:val="20"/>
          <w:szCs w:val="20"/>
        </w:rPr>
        <w:t xml:space="preserve">proving period would not be required if a </w:t>
      </w:r>
      <w:r w:rsidR="005618EB" w:rsidRPr="00B60E0F">
        <w:rPr>
          <w:rFonts w:ascii="Open Sans" w:hAnsi="Open Sans" w:cs="Open Sans"/>
          <w:sz w:val="20"/>
          <w:szCs w:val="20"/>
        </w:rPr>
        <w:t>multistage</w:t>
      </w:r>
      <w:r w:rsidR="003342FC" w:rsidRPr="00B60E0F">
        <w:rPr>
          <w:rFonts w:ascii="Open Sans" w:hAnsi="Open Sans" w:cs="Open Sans"/>
          <w:sz w:val="20"/>
          <w:szCs w:val="20"/>
        </w:rPr>
        <w:t xml:space="preserve"> qualification phase was in place. Confidence in the delivery of the project would be </w:t>
      </w:r>
      <w:r w:rsidR="00B60E0F" w:rsidRPr="00B60E0F">
        <w:rPr>
          <w:rFonts w:ascii="Open Sans" w:hAnsi="Open Sans" w:cs="Open Sans"/>
          <w:sz w:val="20"/>
          <w:szCs w:val="20"/>
        </w:rPr>
        <w:t xml:space="preserve">built through the qualification process and effectively prove a worthwhile deliverable project by the point of full qualification. </w:t>
      </w:r>
    </w:p>
    <w:p w14:paraId="13572E81" w14:textId="77777777" w:rsidR="001B16E4" w:rsidRPr="00BD7B08" w:rsidRDefault="001B16E4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07160D25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36. Do you agree that target start dates should be set? If not, please explain why.</w:t>
      </w:r>
    </w:p>
    <w:p w14:paraId="7E5E1FDB" w14:textId="77777777" w:rsidR="008E45F1" w:rsidRDefault="008E45F1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1D36D33F" w14:textId="12A3B4E9" w:rsidR="008E45F1" w:rsidRPr="00015529" w:rsidRDefault="00015529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015529">
        <w:rPr>
          <w:rFonts w:ascii="Open Sans" w:hAnsi="Open Sans" w:cs="Open Sans"/>
          <w:sz w:val="20"/>
          <w:szCs w:val="20"/>
        </w:rPr>
        <w:t xml:space="preserve">No. </w:t>
      </w:r>
    </w:p>
    <w:p w14:paraId="580D279F" w14:textId="77777777" w:rsidR="00015529" w:rsidRDefault="00015529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0DA180F9" w14:textId="25C5F1DC" w:rsidR="00015529" w:rsidRDefault="00015529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E46F78">
        <w:rPr>
          <w:rFonts w:ascii="Open Sans" w:hAnsi="Open Sans" w:cs="Open Sans"/>
          <w:sz w:val="20"/>
          <w:szCs w:val="20"/>
        </w:rPr>
        <w:t xml:space="preserve">This is likely to </w:t>
      </w:r>
      <w:r w:rsidR="004E7B53" w:rsidRPr="00E46F78">
        <w:rPr>
          <w:rFonts w:ascii="Open Sans" w:hAnsi="Open Sans" w:cs="Open Sans"/>
          <w:sz w:val="20"/>
          <w:szCs w:val="20"/>
        </w:rPr>
        <w:t xml:space="preserve">have a detrimental impact on new innovative technologies, as they </w:t>
      </w:r>
      <w:r w:rsidR="00E46F78" w:rsidRPr="00E46F78">
        <w:rPr>
          <w:rFonts w:ascii="Open Sans" w:hAnsi="Open Sans" w:cs="Open Sans"/>
          <w:sz w:val="20"/>
          <w:szCs w:val="20"/>
        </w:rPr>
        <w:t xml:space="preserve">could be </w:t>
      </w:r>
      <w:r w:rsidR="004E7B53" w:rsidRPr="00E46F78">
        <w:rPr>
          <w:rFonts w:ascii="Open Sans" w:hAnsi="Open Sans" w:cs="Open Sans"/>
          <w:sz w:val="20"/>
          <w:szCs w:val="20"/>
        </w:rPr>
        <w:t xml:space="preserve">more </w:t>
      </w:r>
      <w:r w:rsidR="00E46F78" w:rsidRPr="00E46F78">
        <w:rPr>
          <w:rFonts w:ascii="Open Sans" w:hAnsi="Open Sans" w:cs="Open Sans"/>
          <w:sz w:val="20"/>
          <w:szCs w:val="20"/>
        </w:rPr>
        <w:t>susceptible to delays</w:t>
      </w:r>
      <w:r w:rsidR="00E46F78">
        <w:rPr>
          <w:rFonts w:ascii="Open Sans" w:hAnsi="Open Sans" w:cs="Open Sans"/>
          <w:sz w:val="20"/>
          <w:szCs w:val="20"/>
        </w:rPr>
        <w:t xml:space="preserve">. </w:t>
      </w:r>
      <w:r w:rsidR="00300BEB">
        <w:rPr>
          <w:rFonts w:ascii="Open Sans" w:hAnsi="Open Sans" w:cs="Open Sans"/>
          <w:sz w:val="20"/>
          <w:szCs w:val="20"/>
        </w:rPr>
        <w:t xml:space="preserve">This could potentially be very </w:t>
      </w:r>
      <w:r w:rsidR="00172427">
        <w:rPr>
          <w:rFonts w:ascii="Open Sans" w:hAnsi="Open Sans" w:cs="Open Sans"/>
          <w:sz w:val="20"/>
          <w:szCs w:val="20"/>
        </w:rPr>
        <w:t>damaging</w:t>
      </w:r>
      <w:r w:rsidR="00300BEB">
        <w:rPr>
          <w:rFonts w:ascii="Open Sans" w:hAnsi="Open Sans" w:cs="Open Sans"/>
          <w:sz w:val="20"/>
          <w:szCs w:val="20"/>
        </w:rPr>
        <w:t xml:space="preserve"> for investor confidence in the sector i</w:t>
      </w:r>
      <w:r w:rsidR="00172427">
        <w:rPr>
          <w:rFonts w:ascii="Open Sans" w:hAnsi="Open Sans" w:cs="Open Sans"/>
          <w:sz w:val="20"/>
          <w:szCs w:val="20"/>
        </w:rPr>
        <w:t xml:space="preserve">f there is no flexibility and </w:t>
      </w:r>
      <w:r w:rsidR="00300BEB">
        <w:rPr>
          <w:rFonts w:ascii="Open Sans" w:hAnsi="Open Sans" w:cs="Open Sans"/>
          <w:sz w:val="20"/>
          <w:szCs w:val="20"/>
        </w:rPr>
        <w:t xml:space="preserve">debt </w:t>
      </w:r>
      <w:r w:rsidR="00172427">
        <w:rPr>
          <w:rFonts w:ascii="Open Sans" w:hAnsi="Open Sans" w:cs="Open Sans"/>
          <w:sz w:val="20"/>
          <w:szCs w:val="20"/>
        </w:rPr>
        <w:t>cannot</w:t>
      </w:r>
      <w:r w:rsidR="00300BEB">
        <w:rPr>
          <w:rFonts w:ascii="Open Sans" w:hAnsi="Open Sans" w:cs="Open Sans"/>
          <w:sz w:val="20"/>
          <w:szCs w:val="20"/>
        </w:rPr>
        <w:t xml:space="preserve"> be recovered due to </w:t>
      </w:r>
      <w:r w:rsidR="00172427">
        <w:rPr>
          <w:rFonts w:ascii="Open Sans" w:hAnsi="Open Sans" w:cs="Open Sans"/>
          <w:sz w:val="20"/>
          <w:szCs w:val="20"/>
        </w:rPr>
        <w:t xml:space="preserve">development delays. </w:t>
      </w:r>
    </w:p>
    <w:p w14:paraId="6106FDB4" w14:textId="77777777" w:rsidR="00172427" w:rsidRDefault="00172427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</w:p>
    <w:p w14:paraId="7BD478B9" w14:textId="36380423" w:rsidR="00172427" w:rsidRPr="00E46F78" w:rsidRDefault="00172427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This would also need to consider how delays outside of the </w:t>
      </w:r>
      <w:r w:rsidR="00196042">
        <w:rPr>
          <w:rFonts w:ascii="Open Sans" w:hAnsi="Open Sans" w:cs="Open Sans"/>
          <w:sz w:val="20"/>
          <w:szCs w:val="20"/>
        </w:rPr>
        <w:t>developer’s</w:t>
      </w:r>
      <w:r>
        <w:rPr>
          <w:rFonts w:ascii="Open Sans" w:hAnsi="Open Sans" w:cs="Open Sans"/>
          <w:sz w:val="20"/>
          <w:szCs w:val="20"/>
        </w:rPr>
        <w:t xml:space="preserve"> control would be treated </w:t>
      </w:r>
      <w:r w:rsidR="0026326F">
        <w:rPr>
          <w:rFonts w:ascii="Open Sans" w:hAnsi="Open Sans" w:cs="Open Sans"/>
          <w:sz w:val="20"/>
          <w:szCs w:val="20"/>
        </w:rPr>
        <w:t xml:space="preserve">in relation to a target start date. Issues like grid connection and planning delays are </w:t>
      </w:r>
      <w:r w:rsidR="00354602">
        <w:rPr>
          <w:rFonts w:ascii="Open Sans" w:hAnsi="Open Sans" w:cs="Open Sans"/>
          <w:sz w:val="20"/>
          <w:szCs w:val="20"/>
        </w:rPr>
        <w:t>prevalent</w:t>
      </w:r>
      <w:r w:rsidR="0026326F">
        <w:rPr>
          <w:rFonts w:ascii="Open Sans" w:hAnsi="Open Sans" w:cs="Open Sans"/>
          <w:sz w:val="20"/>
          <w:szCs w:val="20"/>
        </w:rPr>
        <w:t xml:space="preserve"> in the industry. While </w:t>
      </w:r>
      <w:r w:rsidR="00196042">
        <w:rPr>
          <w:rFonts w:ascii="Open Sans" w:hAnsi="Open Sans" w:cs="Open Sans"/>
          <w:sz w:val="20"/>
          <w:szCs w:val="20"/>
        </w:rPr>
        <w:t>sudden</w:t>
      </w:r>
      <w:r w:rsidR="0026326F">
        <w:rPr>
          <w:rFonts w:ascii="Open Sans" w:hAnsi="Open Sans" w:cs="Open Sans"/>
          <w:sz w:val="20"/>
          <w:szCs w:val="20"/>
        </w:rPr>
        <w:t xml:space="preserve"> changes in the market realities, as we have seen the economy in the last two years, could well impact expected </w:t>
      </w:r>
      <w:r w:rsidR="00196042">
        <w:rPr>
          <w:rFonts w:ascii="Open Sans" w:hAnsi="Open Sans" w:cs="Open Sans"/>
          <w:sz w:val="20"/>
          <w:szCs w:val="20"/>
        </w:rPr>
        <w:t>CAPEX</w:t>
      </w:r>
      <w:r w:rsidR="0026326F">
        <w:rPr>
          <w:rFonts w:ascii="Open Sans" w:hAnsi="Open Sans" w:cs="Open Sans"/>
          <w:sz w:val="20"/>
          <w:szCs w:val="20"/>
        </w:rPr>
        <w:t xml:space="preserve"> and delay supply chains. Lenience for these factors will need to be considered and built </w:t>
      </w:r>
      <w:r w:rsidR="00196042">
        <w:rPr>
          <w:rFonts w:ascii="Open Sans" w:hAnsi="Open Sans" w:cs="Open Sans"/>
          <w:sz w:val="20"/>
          <w:szCs w:val="20"/>
        </w:rPr>
        <w:t xml:space="preserve">in. </w:t>
      </w:r>
      <w:r w:rsidR="00354602">
        <w:rPr>
          <w:rFonts w:ascii="Open Sans" w:hAnsi="Open Sans" w:cs="Open Sans"/>
          <w:sz w:val="20"/>
          <w:szCs w:val="20"/>
        </w:rPr>
        <w:t>Otherall,</w:t>
      </w:r>
      <w:r w:rsidR="00196042">
        <w:rPr>
          <w:rFonts w:ascii="Open Sans" w:hAnsi="Open Sans" w:cs="Open Sans"/>
          <w:sz w:val="20"/>
          <w:szCs w:val="20"/>
        </w:rPr>
        <w:t xml:space="preserve"> we suggest a target start date is likely to be detrimental rather than drive early delivery. </w:t>
      </w:r>
    </w:p>
    <w:p w14:paraId="5BB90CCE" w14:textId="77777777" w:rsidR="00015529" w:rsidRDefault="00015529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035EDAFB" w14:textId="7BF9120F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37. Are there any other parameters that we should be considering in the design of the</w:t>
      </w:r>
    </w:p>
    <w:p w14:paraId="690375B2" w14:textId="77777777" w:rsid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scheme?</w:t>
      </w:r>
    </w:p>
    <w:p w14:paraId="08B591F4" w14:textId="77777777" w:rsidR="00354602" w:rsidRDefault="00354602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59B022DD" w14:textId="77777777" w:rsidR="00354602" w:rsidRPr="00F845DE" w:rsidRDefault="00354602" w:rsidP="00354602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F845DE">
        <w:rPr>
          <w:rFonts w:ascii="Open Sans" w:hAnsi="Open Sans" w:cs="Open Sans"/>
          <w:sz w:val="20"/>
          <w:szCs w:val="20"/>
          <w:highlight w:val="yellow"/>
        </w:rPr>
        <w:t>[member feedback welcome]</w:t>
      </w:r>
    </w:p>
    <w:p w14:paraId="08665AA5" w14:textId="77777777" w:rsidR="00354602" w:rsidRPr="00BD7B08" w:rsidRDefault="00354602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44C71571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38. What are the important factors for deciding who is the appropriate body to bring</w:t>
      </w:r>
    </w:p>
    <w:p w14:paraId="248E597C" w14:textId="77777777" w:rsid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forward this scheme?</w:t>
      </w:r>
    </w:p>
    <w:p w14:paraId="3045ADF2" w14:textId="2A1D3CFF" w:rsidR="00EB7B82" w:rsidRPr="00EB7B82" w:rsidRDefault="00EB7B82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EB7B82">
        <w:rPr>
          <w:rFonts w:ascii="Open Sans" w:hAnsi="Open Sans" w:cs="Open Sans"/>
          <w:sz w:val="20"/>
          <w:szCs w:val="20"/>
        </w:rPr>
        <w:t>Ultimately</w:t>
      </w:r>
      <w:r w:rsidR="009252CA">
        <w:rPr>
          <w:rFonts w:ascii="Open Sans" w:hAnsi="Open Sans" w:cs="Open Sans"/>
          <w:sz w:val="20"/>
          <w:szCs w:val="20"/>
        </w:rPr>
        <w:t>,</w:t>
      </w:r>
      <w:r w:rsidRPr="00EB7B82">
        <w:rPr>
          <w:rFonts w:ascii="Open Sans" w:hAnsi="Open Sans" w:cs="Open Sans"/>
          <w:sz w:val="20"/>
          <w:szCs w:val="20"/>
        </w:rPr>
        <w:t xml:space="preserve"> sector confidence in the bodies</w:t>
      </w:r>
      <w:r w:rsidR="004679A4">
        <w:rPr>
          <w:rFonts w:ascii="Open Sans" w:hAnsi="Open Sans" w:cs="Open Sans"/>
          <w:sz w:val="20"/>
          <w:szCs w:val="20"/>
        </w:rPr>
        <w:t>’</w:t>
      </w:r>
      <w:r w:rsidRPr="00EB7B82">
        <w:rPr>
          <w:rFonts w:ascii="Open Sans" w:hAnsi="Open Sans" w:cs="Open Sans"/>
          <w:sz w:val="20"/>
          <w:szCs w:val="20"/>
        </w:rPr>
        <w:t xml:space="preserve"> ability to deliver the scheme is critical, as this will be a determining factor when being assessed by </w:t>
      </w:r>
      <w:r>
        <w:rPr>
          <w:rFonts w:ascii="Open Sans" w:hAnsi="Open Sans" w:cs="Open Sans"/>
          <w:sz w:val="20"/>
          <w:szCs w:val="20"/>
        </w:rPr>
        <w:t xml:space="preserve">investors. </w:t>
      </w:r>
      <w:r w:rsidR="00681E45">
        <w:rPr>
          <w:rFonts w:ascii="Open Sans" w:hAnsi="Open Sans" w:cs="Open Sans"/>
          <w:sz w:val="20"/>
          <w:szCs w:val="20"/>
        </w:rPr>
        <w:t xml:space="preserve">Previous poor delivery of government schemes will be considered an investment risk. We note that we have seen examples of this with Ofgem, especially around late payments in the RHI. </w:t>
      </w:r>
    </w:p>
    <w:p w14:paraId="2C144876" w14:textId="77777777" w:rsidR="00EB7B82" w:rsidRPr="00BD7B08" w:rsidRDefault="00EB7B82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040B9DD4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39. Would either of the delivery routes set out affect the investment case for LDES</w:t>
      </w:r>
    </w:p>
    <w:p w14:paraId="4CB26ED5" w14:textId="77777777" w:rsid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projects?</w:t>
      </w:r>
    </w:p>
    <w:p w14:paraId="052BBF63" w14:textId="77777777" w:rsidR="004A5C1C" w:rsidRDefault="00A80F43" w:rsidP="00A80F43">
      <w:pPr>
        <w:jc w:val="both"/>
        <w:rPr>
          <w:rFonts w:ascii="Open Sans" w:hAnsi="Open Sans" w:cs="Open Sans"/>
          <w:sz w:val="20"/>
          <w:szCs w:val="20"/>
        </w:rPr>
      </w:pPr>
      <w:r w:rsidRPr="004A5C1C">
        <w:rPr>
          <w:rFonts w:ascii="Open Sans" w:hAnsi="Open Sans" w:cs="Open Sans"/>
          <w:sz w:val="20"/>
          <w:szCs w:val="20"/>
        </w:rPr>
        <w:t>We do not have a strong preference for delivery route</w:t>
      </w:r>
      <w:r w:rsidR="004A5C1C">
        <w:rPr>
          <w:rFonts w:ascii="Open Sans" w:hAnsi="Open Sans" w:cs="Open Sans"/>
          <w:sz w:val="20"/>
          <w:szCs w:val="20"/>
        </w:rPr>
        <w:t xml:space="preserve">, </w:t>
      </w:r>
      <w:r w:rsidR="009F3753" w:rsidRPr="004A5C1C">
        <w:rPr>
          <w:rFonts w:ascii="Open Sans" w:hAnsi="Open Sans" w:cs="Open Sans"/>
          <w:sz w:val="20"/>
          <w:szCs w:val="20"/>
        </w:rPr>
        <w:t>believing that both provide both ad</w:t>
      </w:r>
      <w:r w:rsidR="006D2031" w:rsidRPr="004A5C1C">
        <w:rPr>
          <w:rFonts w:ascii="Open Sans" w:hAnsi="Open Sans" w:cs="Open Sans"/>
          <w:sz w:val="20"/>
          <w:szCs w:val="20"/>
        </w:rPr>
        <w:t xml:space="preserve">vantages and </w:t>
      </w:r>
      <w:r w:rsidR="00C80D06" w:rsidRPr="004A5C1C">
        <w:rPr>
          <w:rFonts w:ascii="Open Sans" w:hAnsi="Open Sans" w:cs="Open Sans"/>
          <w:sz w:val="20"/>
          <w:szCs w:val="20"/>
        </w:rPr>
        <w:t>disadvantages</w:t>
      </w:r>
      <w:r w:rsidR="006D2031" w:rsidRPr="004A5C1C">
        <w:rPr>
          <w:rFonts w:ascii="Open Sans" w:hAnsi="Open Sans" w:cs="Open Sans"/>
          <w:sz w:val="20"/>
          <w:szCs w:val="20"/>
        </w:rPr>
        <w:t xml:space="preserve">. </w:t>
      </w:r>
    </w:p>
    <w:p w14:paraId="7D529CA0" w14:textId="7A59DD60" w:rsidR="001B15BC" w:rsidRPr="004A5C1C" w:rsidRDefault="006D2031" w:rsidP="00A80F43">
      <w:pPr>
        <w:jc w:val="both"/>
        <w:rPr>
          <w:rFonts w:ascii="Open Sans" w:hAnsi="Open Sans" w:cs="Open Sans"/>
          <w:sz w:val="20"/>
          <w:szCs w:val="20"/>
        </w:rPr>
      </w:pPr>
      <w:r w:rsidRPr="004A5C1C">
        <w:rPr>
          <w:rFonts w:ascii="Open Sans" w:hAnsi="Open Sans" w:cs="Open Sans"/>
          <w:sz w:val="20"/>
          <w:szCs w:val="20"/>
        </w:rPr>
        <w:t xml:space="preserve">Option 1 is slightly preferred with the understanding that Ofgem will have a good understanding of how the </w:t>
      </w:r>
      <w:r w:rsidR="00C80D06" w:rsidRPr="004A5C1C">
        <w:rPr>
          <w:rFonts w:ascii="Open Sans" w:hAnsi="Open Sans" w:cs="Open Sans"/>
          <w:sz w:val="20"/>
          <w:szCs w:val="20"/>
        </w:rPr>
        <w:t>electricity</w:t>
      </w:r>
      <w:r w:rsidRPr="004A5C1C">
        <w:rPr>
          <w:rFonts w:ascii="Open Sans" w:hAnsi="Open Sans" w:cs="Open Sans"/>
          <w:sz w:val="20"/>
          <w:szCs w:val="20"/>
        </w:rPr>
        <w:t xml:space="preserve"> market works, and it </w:t>
      </w:r>
      <w:r w:rsidR="00C80D06" w:rsidRPr="004A5C1C">
        <w:rPr>
          <w:rFonts w:ascii="Open Sans" w:hAnsi="Open Sans" w:cs="Open Sans"/>
          <w:sz w:val="20"/>
          <w:szCs w:val="20"/>
        </w:rPr>
        <w:t>mimics</w:t>
      </w:r>
      <w:r w:rsidRPr="004A5C1C">
        <w:rPr>
          <w:rFonts w:ascii="Open Sans" w:hAnsi="Open Sans" w:cs="Open Sans"/>
          <w:sz w:val="20"/>
          <w:szCs w:val="20"/>
        </w:rPr>
        <w:t xml:space="preserve"> what already happens with the interconnector agreements, demonstrating it works for investment. </w:t>
      </w:r>
    </w:p>
    <w:p w14:paraId="78C6DCA6" w14:textId="5FA64C76" w:rsidR="006D2031" w:rsidRPr="00A80F43" w:rsidRDefault="006D2031" w:rsidP="00A80F43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4A5C1C">
        <w:rPr>
          <w:rFonts w:ascii="Open Sans" w:hAnsi="Open Sans" w:cs="Open Sans"/>
          <w:sz w:val="20"/>
          <w:szCs w:val="20"/>
        </w:rPr>
        <w:t xml:space="preserve">However, we </w:t>
      </w:r>
      <w:r w:rsidR="00C80D06" w:rsidRPr="004A5C1C">
        <w:rPr>
          <w:rFonts w:ascii="Open Sans" w:hAnsi="Open Sans" w:cs="Open Sans"/>
          <w:sz w:val="20"/>
          <w:szCs w:val="20"/>
        </w:rPr>
        <w:t>note</w:t>
      </w:r>
      <w:r w:rsidRPr="004A5C1C">
        <w:rPr>
          <w:rFonts w:ascii="Open Sans" w:hAnsi="Open Sans" w:cs="Open Sans"/>
          <w:sz w:val="20"/>
          <w:szCs w:val="20"/>
        </w:rPr>
        <w:t xml:space="preserve"> that option 2, is also </w:t>
      </w:r>
      <w:r w:rsidR="00C80D06" w:rsidRPr="004A5C1C">
        <w:rPr>
          <w:rFonts w:ascii="Open Sans" w:hAnsi="Open Sans" w:cs="Open Sans"/>
          <w:sz w:val="20"/>
          <w:szCs w:val="20"/>
        </w:rPr>
        <w:t>likely</w:t>
      </w:r>
      <w:r w:rsidRPr="004A5C1C">
        <w:rPr>
          <w:rFonts w:ascii="Open Sans" w:hAnsi="Open Sans" w:cs="Open Sans"/>
          <w:sz w:val="20"/>
          <w:szCs w:val="20"/>
        </w:rPr>
        <w:t xml:space="preserve"> to be investable</w:t>
      </w:r>
      <w:r w:rsidR="00950785">
        <w:rPr>
          <w:rFonts w:ascii="Open Sans" w:hAnsi="Open Sans" w:cs="Open Sans"/>
          <w:sz w:val="20"/>
          <w:szCs w:val="20"/>
        </w:rPr>
        <w:t>,</w:t>
      </w:r>
      <w:r w:rsidRPr="004A5C1C">
        <w:rPr>
          <w:rFonts w:ascii="Open Sans" w:hAnsi="Open Sans" w:cs="Open Sans"/>
          <w:sz w:val="20"/>
          <w:szCs w:val="20"/>
        </w:rPr>
        <w:t xml:space="preserve"> given it would be</w:t>
      </w:r>
      <w:r w:rsidR="00C80D06" w:rsidRPr="004A5C1C">
        <w:rPr>
          <w:rFonts w:ascii="Open Sans" w:hAnsi="Open Sans" w:cs="Open Sans"/>
          <w:sz w:val="20"/>
          <w:szCs w:val="20"/>
        </w:rPr>
        <w:t xml:space="preserve"> backed by a government</w:t>
      </w:r>
      <w:r w:rsidR="004A5C1C" w:rsidRPr="004A5C1C">
        <w:rPr>
          <w:rFonts w:ascii="Open Sans" w:hAnsi="Open Sans" w:cs="Open Sans"/>
          <w:sz w:val="20"/>
          <w:szCs w:val="20"/>
        </w:rPr>
        <w:t xml:space="preserve">, and potentially private law </w:t>
      </w:r>
      <w:r w:rsidR="00C80D06" w:rsidRPr="004A5C1C">
        <w:rPr>
          <w:rFonts w:ascii="Open Sans" w:hAnsi="Open Sans" w:cs="Open Sans"/>
          <w:sz w:val="20"/>
          <w:szCs w:val="20"/>
        </w:rPr>
        <w:t>contract</w:t>
      </w:r>
      <w:r w:rsidR="00950785">
        <w:rPr>
          <w:rFonts w:ascii="Open Sans" w:hAnsi="Open Sans" w:cs="Open Sans"/>
          <w:sz w:val="20"/>
          <w:szCs w:val="20"/>
        </w:rPr>
        <w:t>s</w:t>
      </w:r>
      <w:r w:rsidR="004A5C1C" w:rsidRPr="004A5C1C">
        <w:rPr>
          <w:rFonts w:ascii="Open Sans" w:hAnsi="Open Sans" w:cs="Open Sans"/>
          <w:sz w:val="20"/>
          <w:szCs w:val="20"/>
        </w:rPr>
        <w:t xml:space="preserve"> which </w:t>
      </w:r>
      <w:proofErr w:type="gramStart"/>
      <w:r w:rsidR="00950785">
        <w:rPr>
          <w:rFonts w:ascii="Open Sans" w:hAnsi="Open Sans" w:cs="Open Sans"/>
          <w:sz w:val="20"/>
          <w:szCs w:val="20"/>
        </w:rPr>
        <w:t xml:space="preserve">are </w:t>
      </w:r>
      <w:r w:rsidR="004A5C1C" w:rsidRPr="004A5C1C">
        <w:rPr>
          <w:rFonts w:ascii="Open Sans" w:hAnsi="Open Sans" w:cs="Open Sans"/>
          <w:sz w:val="20"/>
          <w:szCs w:val="20"/>
        </w:rPr>
        <w:t xml:space="preserve"> also</w:t>
      </w:r>
      <w:proofErr w:type="gramEnd"/>
      <w:r w:rsidR="004A5C1C" w:rsidRPr="004A5C1C">
        <w:rPr>
          <w:rFonts w:ascii="Open Sans" w:hAnsi="Open Sans" w:cs="Open Sans"/>
          <w:sz w:val="20"/>
          <w:szCs w:val="20"/>
        </w:rPr>
        <w:t xml:space="preserve"> seen as attractive</w:t>
      </w:r>
      <w:r w:rsidR="004A5C1C">
        <w:rPr>
          <w:rFonts w:ascii="Open Sans" w:hAnsi="Open Sans" w:cs="Open Sans"/>
          <w:b/>
          <w:bCs/>
          <w:sz w:val="20"/>
          <w:szCs w:val="20"/>
        </w:rPr>
        <w:t xml:space="preserve">. </w:t>
      </w:r>
    </w:p>
    <w:p w14:paraId="38601B23" w14:textId="77777777" w:rsidR="001B15BC" w:rsidRPr="00BD7B08" w:rsidRDefault="001B15BC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7452D0A5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40. Are there any additional benefits or risks to a delivery route that have not been</w:t>
      </w:r>
    </w:p>
    <w:p w14:paraId="281B4008" w14:textId="77777777" w:rsid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identified?</w:t>
      </w:r>
    </w:p>
    <w:p w14:paraId="2B56DB6E" w14:textId="77777777" w:rsidR="005A3626" w:rsidRDefault="005A3626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5A134C80" w14:textId="0A7E8619" w:rsidR="005A3626" w:rsidRDefault="00210DE9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We note a </w:t>
      </w:r>
      <w:r w:rsidR="0094388E">
        <w:rPr>
          <w:rFonts w:ascii="Open Sans" w:hAnsi="Open Sans" w:cs="Open Sans"/>
          <w:sz w:val="20"/>
          <w:szCs w:val="20"/>
        </w:rPr>
        <w:t>potentially</w:t>
      </w:r>
      <w:r>
        <w:rPr>
          <w:rFonts w:ascii="Open Sans" w:hAnsi="Open Sans" w:cs="Open Sans"/>
          <w:sz w:val="20"/>
          <w:szCs w:val="20"/>
        </w:rPr>
        <w:t xml:space="preserve"> higher political risk with delivery via a CfD and funded through a </w:t>
      </w:r>
      <w:r w:rsidR="0043727E">
        <w:rPr>
          <w:rFonts w:ascii="Open Sans" w:hAnsi="Open Sans" w:cs="Open Sans"/>
          <w:sz w:val="20"/>
          <w:szCs w:val="20"/>
        </w:rPr>
        <w:t xml:space="preserve">supplier levy. This has clear implications for consumer bills that may create higher risks for delivery. </w:t>
      </w:r>
    </w:p>
    <w:p w14:paraId="4230ED75" w14:textId="77777777" w:rsidR="0043727E" w:rsidRDefault="0043727E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</w:p>
    <w:p w14:paraId="5F891C41" w14:textId="01AC68E9" w:rsidR="0043727E" w:rsidRDefault="0043727E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We also note that the existing CfD legislation is potentially now being used for a wide range of different support schemes, including the hydrogen and CCS business models. This </w:t>
      </w:r>
      <w:proofErr w:type="gramStart"/>
      <w:r>
        <w:rPr>
          <w:rFonts w:ascii="Open Sans" w:hAnsi="Open Sans" w:cs="Open Sans"/>
          <w:sz w:val="20"/>
          <w:szCs w:val="20"/>
        </w:rPr>
        <w:t>in itself could</w:t>
      </w:r>
      <w:proofErr w:type="gramEnd"/>
      <w:r>
        <w:rPr>
          <w:rFonts w:ascii="Open Sans" w:hAnsi="Open Sans" w:cs="Open Sans"/>
          <w:sz w:val="20"/>
          <w:szCs w:val="20"/>
        </w:rPr>
        <w:t xml:space="preserve"> create a risk of over diluting that base legislation model. </w:t>
      </w:r>
    </w:p>
    <w:p w14:paraId="4B6C331A" w14:textId="77777777" w:rsidR="005A3626" w:rsidRPr="00BD7B08" w:rsidRDefault="005A3626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38743093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 xml:space="preserve">41. Do you believe </w:t>
      </w:r>
      <w:proofErr w:type="spellStart"/>
      <w:r w:rsidRPr="00BD7B08">
        <w:rPr>
          <w:rFonts w:ascii="Open Sans" w:hAnsi="Open Sans" w:cs="Open Sans"/>
          <w:b/>
          <w:bCs/>
          <w:sz w:val="20"/>
          <w:szCs w:val="20"/>
        </w:rPr>
        <w:t>TNUoS</w:t>
      </w:r>
      <w:proofErr w:type="spellEnd"/>
      <w:r w:rsidRPr="00BD7B08">
        <w:rPr>
          <w:rFonts w:ascii="Open Sans" w:hAnsi="Open Sans" w:cs="Open Sans"/>
          <w:b/>
          <w:bCs/>
          <w:sz w:val="20"/>
          <w:szCs w:val="20"/>
        </w:rPr>
        <w:t xml:space="preserve"> charges should be used if the scheme is administered by</w:t>
      </w:r>
    </w:p>
    <w:p w14:paraId="5C783DAF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Ofgem (option 1)? If not, please provide your reasoning and/or an alternate</w:t>
      </w:r>
    </w:p>
    <w:p w14:paraId="0BE34AF4" w14:textId="77777777" w:rsid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method.</w:t>
      </w:r>
    </w:p>
    <w:p w14:paraId="149D9F20" w14:textId="77777777" w:rsidR="005A3626" w:rsidRDefault="005A3626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5FB0223C" w14:textId="29EE8A7C" w:rsidR="005A3626" w:rsidRPr="00265B73" w:rsidRDefault="005A3626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265B73">
        <w:rPr>
          <w:rFonts w:ascii="Open Sans" w:hAnsi="Open Sans" w:cs="Open Sans"/>
          <w:sz w:val="20"/>
          <w:szCs w:val="20"/>
        </w:rPr>
        <w:t>Yes</w:t>
      </w:r>
      <w:r w:rsidR="00252567">
        <w:rPr>
          <w:rFonts w:ascii="Open Sans" w:hAnsi="Open Sans" w:cs="Open Sans"/>
          <w:sz w:val="20"/>
          <w:szCs w:val="20"/>
        </w:rPr>
        <w:t>,</w:t>
      </w:r>
      <w:r w:rsidRPr="00265B73">
        <w:rPr>
          <w:rFonts w:ascii="Open Sans" w:hAnsi="Open Sans" w:cs="Open Sans"/>
          <w:sz w:val="20"/>
          <w:szCs w:val="20"/>
        </w:rPr>
        <w:t xml:space="preserve"> we would support </w:t>
      </w:r>
      <w:proofErr w:type="spellStart"/>
      <w:r w:rsidRPr="00265B73">
        <w:rPr>
          <w:rFonts w:ascii="Open Sans" w:hAnsi="Open Sans" w:cs="Open Sans"/>
          <w:sz w:val="20"/>
          <w:szCs w:val="20"/>
        </w:rPr>
        <w:t>TNUoS</w:t>
      </w:r>
      <w:proofErr w:type="spellEnd"/>
      <w:r w:rsidRPr="00265B73">
        <w:rPr>
          <w:rFonts w:ascii="Open Sans" w:hAnsi="Open Sans" w:cs="Open Sans"/>
          <w:sz w:val="20"/>
          <w:szCs w:val="20"/>
        </w:rPr>
        <w:t xml:space="preserve"> being used, it being an established delivery ro</w:t>
      </w:r>
      <w:r w:rsidR="00265B73" w:rsidRPr="00265B73">
        <w:rPr>
          <w:rFonts w:ascii="Open Sans" w:hAnsi="Open Sans" w:cs="Open Sans"/>
          <w:sz w:val="20"/>
          <w:szCs w:val="20"/>
        </w:rPr>
        <w:t xml:space="preserve">ute for the interconnector contract. </w:t>
      </w:r>
    </w:p>
    <w:p w14:paraId="3750FDCB" w14:textId="77777777" w:rsidR="005A3626" w:rsidRPr="00BD7B08" w:rsidRDefault="005A3626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29BF2718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42. Do you believe a supplier obligation levy should be used if the scheme is</w:t>
      </w:r>
    </w:p>
    <w:p w14:paraId="254B7CE4" w14:textId="77777777" w:rsidR="00BD7B08" w:rsidRPr="00BD7B08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administered using a CfD style approach (option 2)? If not, please provide your</w:t>
      </w:r>
    </w:p>
    <w:p w14:paraId="0C888F2A" w14:textId="5C030101" w:rsidR="00EA4C4D" w:rsidRDefault="00BD7B08" w:rsidP="00BD7B08">
      <w:pPr>
        <w:pStyle w:val="ListParagraph"/>
        <w:ind w:left="-142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BD7B08">
        <w:rPr>
          <w:rFonts w:ascii="Open Sans" w:hAnsi="Open Sans" w:cs="Open Sans"/>
          <w:b/>
          <w:bCs/>
          <w:sz w:val="20"/>
          <w:szCs w:val="20"/>
        </w:rPr>
        <w:t>reasoning and/or an alternate method</w:t>
      </w:r>
    </w:p>
    <w:p w14:paraId="25A56DF6" w14:textId="77777777" w:rsidR="00265B73" w:rsidRPr="00210DE9" w:rsidRDefault="00265B73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</w:p>
    <w:p w14:paraId="43AE70A4" w14:textId="0BBD865B" w:rsidR="00265B73" w:rsidRPr="00210DE9" w:rsidRDefault="00265B73" w:rsidP="00BD7B08">
      <w:pPr>
        <w:pStyle w:val="ListParagraph"/>
        <w:ind w:left="-142"/>
        <w:jc w:val="both"/>
        <w:rPr>
          <w:rFonts w:ascii="Open Sans" w:hAnsi="Open Sans" w:cs="Open Sans"/>
          <w:sz w:val="20"/>
          <w:szCs w:val="20"/>
        </w:rPr>
      </w:pPr>
      <w:r w:rsidRPr="00210DE9">
        <w:rPr>
          <w:rFonts w:ascii="Open Sans" w:hAnsi="Open Sans" w:cs="Open Sans"/>
          <w:sz w:val="20"/>
          <w:szCs w:val="20"/>
        </w:rPr>
        <w:t>Yes</w:t>
      </w:r>
      <w:r w:rsidR="00252567">
        <w:rPr>
          <w:rFonts w:ascii="Open Sans" w:hAnsi="Open Sans" w:cs="Open Sans"/>
          <w:sz w:val="20"/>
          <w:szCs w:val="20"/>
        </w:rPr>
        <w:t>,</w:t>
      </w:r>
      <w:r w:rsidRPr="00210DE9">
        <w:rPr>
          <w:rFonts w:ascii="Open Sans" w:hAnsi="Open Sans" w:cs="Open Sans"/>
          <w:sz w:val="20"/>
          <w:szCs w:val="20"/>
        </w:rPr>
        <w:t xml:space="preserve"> a supplier obligation could be used if </w:t>
      </w:r>
      <w:r w:rsidR="00210DE9" w:rsidRPr="00210DE9">
        <w:rPr>
          <w:rFonts w:ascii="Open Sans" w:hAnsi="Open Sans" w:cs="Open Sans"/>
          <w:sz w:val="20"/>
          <w:szCs w:val="20"/>
        </w:rPr>
        <w:t>administered</w:t>
      </w:r>
      <w:r w:rsidRPr="00210DE9">
        <w:rPr>
          <w:rFonts w:ascii="Open Sans" w:hAnsi="Open Sans" w:cs="Open Sans"/>
          <w:sz w:val="20"/>
          <w:szCs w:val="20"/>
        </w:rPr>
        <w:t xml:space="preserve"> via</w:t>
      </w:r>
      <w:r w:rsidR="00210DE9" w:rsidRPr="00210DE9">
        <w:rPr>
          <w:rFonts w:ascii="Open Sans" w:hAnsi="Open Sans" w:cs="Open Sans"/>
          <w:sz w:val="20"/>
          <w:szCs w:val="20"/>
        </w:rPr>
        <w:t xml:space="preserve"> a</w:t>
      </w:r>
      <w:r w:rsidRPr="00210DE9">
        <w:rPr>
          <w:rFonts w:ascii="Open Sans" w:hAnsi="Open Sans" w:cs="Open Sans"/>
          <w:sz w:val="20"/>
          <w:szCs w:val="20"/>
        </w:rPr>
        <w:t xml:space="preserve"> CfD, although </w:t>
      </w:r>
      <w:r w:rsidR="00210DE9" w:rsidRPr="00210DE9">
        <w:rPr>
          <w:rFonts w:ascii="Open Sans" w:hAnsi="Open Sans" w:cs="Open Sans"/>
          <w:sz w:val="20"/>
          <w:szCs w:val="20"/>
        </w:rPr>
        <w:t xml:space="preserve">acknowledge </w:t>
      </w:r>
      <w:r w:rsidRPr="00210DE9">
        <w:rPr>
          <w:rFonts w:ascii="Open Sans" w:hAnsi="Open Sans" w:cs="Open Sans"/>
          <w:sz w:val="20"/>
          <w:szCs w:val="20"/>
        </w:rPr>
        <w:t xml:space="preserve">this has its own political risks associated with it and may </w:t>
      </w:r>
      <w:r w:rsidR="00210DE9" w:rsidRPr="00210DE9">
        <w:rPr>
          <w:rFonts w:ascii="Open Sans" w:hAnsi="Open Sans" w:cs="Open Sans"/>
          <w:sz w:val="20"/>
          <w:szCs w:val="20"/>
        </w:rPr>
        <w:t xml:space="preserve">be more difficult to get parliamentary approval. </w:t>
      </w:r>
    </w:p>
    <w:sectPr w:rsidR="00265B73" w:rsidRPr="00210DE9" w:rsidSect="008E52C1">
      <w:footerReference w:type="default" r:id="rId17"/>
      <w:pgSz w:w="11906" w:h="16838"/>
      <w:pgMar w:top="39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3125E" w14:textId="77777777" w:rsidR="008E52C1" w:rsidRDefault="008E52C1" w:rsidP="003B4EDB">
      <w:pPr>
        <w:spacing w:after="0" w:line="240" w:lineRule="auto"/>
      </w:pPr>
      <w:r>
        <w:separator/>
      </w:r>
    </w:p>
  </w:endnote>
  <w:endnote w:type="continuationSeparator" w:id="0">
    <w:p w14:paraId="19DC7295" w14:textId="77777777" w:rsidR="008E52C1" w:rsidRDefault="008E52C1" w:rsidP="003B4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82F60" w14:textId="69103BC9" w:rsidR="009E357F" w:rsidRDefault="009E357F" w:rsidP="00570102">
    <w:pPr>
      <w:pStyle w:val="Footer"/>
      <w:tabs>
        <w:tab w:val="center" w:pos="3402"/>
        <w:tab w:val="right" w:pos="9072"/>
      </w:tabs>
      <w:rPr>
        <w:rFonts w:ascii="Open Sans" w:hAnsi="Open Sans" w:cs="Open Sans"/>
        <w:b/>
        <w:bCs/>
        <w:color w:val="999999"/>
        <w:sz w:val="14"/>
        <w:szCs w:val="20"/>
      </w:rPr>
    </w:pPr>
  </w:p>
  <w:p w14:paraId="22A9611E" w14:textId="77777777" w:rsidR="009E357F" w:rsidRDefault="009E357F" w:rsidP="00570102">
    <w:pPr>
      <w:pStyle w:val="Footer"/>
      <w:tabs>
        <w:tab w:val="center" w:pos="3402"/>
        <w:tab w:val="right" w:pos="9072"/>
      </w:tabs>
      <w:rPr>
        <w:rFonts w:ascii="Open Sans" w:hAnsi="Open Sans" w:cs="Open Sans"/>
        <w:b/>
        <w:bCs/>
        <w:color w:val="999999"/>
        <w:sz w:val="14"/>
        <w:szCs w:val="20"/>
      </w:rPr>
    </w:pPr>
  </w:p>
  <w:p w14:paraId="578DA578" w14:textId="365B5673" w:rsidR="00570102" w:rsidRPr="00B41593" w:rsidRDefault="00570102" w:rsidP="00570102">
    <w:pPr>
      <w:pStyle w:val="Footer"/>
      <w:tabs>
        <w:tab w:val="center" w:pos="3402"/>
        <w:tab w:val="right" w:pos="9072"/>
      </w:tabs>
      <w:rPr>
        <w:rFonts w:ascii="Open Sans" w:hAnsi="Open Sans" w:cs="Open Sans"/>
        <w:b/>
        <w:bCs/>
        <w:color w:val="999999"/>
        <w:sz w:val="14"/>
        <w:szCs w:val="20"/>
      </w:rPr>
    </w:pPr>
    <w:r w:rsidRPr="00B41593">
      <w:rPr>
        <w:rFonts w:ascii="Open Sans" w:hAnsi="Open Sans" w:cs="Open Sans"/>
        <w:b/>
        <w:bCs/>
        <w:color w:val="999999"/>
        <w:sz w:val="14"/>
        <w:szCs w:val="20"/>
      </w:rPr>
      <w:t>York House,</w:t>
    </w:r>
    <w:r w:rsidRPr="00B41593">
      <w:rPr>
        <w:rFonts w:ascii="Open Sans" w:hAnsi="Open Sans" w:cs="Open Sans"/>
        <w:b/>
        <w:bCs/>
        <w:color w:val="999999"/>
        <w:sz w:val="14"/>
        <w:szCs w:val="20"/>
      </w:rPr>
      <w:tab/>
      <w:t xml:space="preserve">                 Tel: 020 7925 3570</w:t>
    </w:r>
    <w:r w:rsidRPr="00B41593">
      <w:rPr>
        <w:rFonts w:ascii="Open Sans" w:hAnsi="Open Sans" w:cs="Open Sans"/>
        <w:b/>
        <w:bCs/>
        <w:color w:val="999999"/>
        <w:sz w:val="14"/>
        <w:szCs w:val="20"/>
      </w:rPr>
      <w:tab/>
    </w:r>
    <w:r w:rsidRPr="00B41593">
      <w:rPr>
        <w:rFonts w:ascii="Open Sans" w:hAnsi="Open Sans" w:cs="Open Sans"/>
        <w:b/>
        <w:bCs/>
        <w:color w:val="999999"/>
        <w:sz w:val="14"/>
        <w:szCs w:val="20"/>
      </w:rPr>
      <w:tab/>
    </w:r>
    <w:hyperlink r:id="rId1" w:history="1">
      <w:r w:rsidRPr="00B41593">
        <w:rPr>
          <w:rStyle w:val="Hyperlink"/>
          <w:rFonts w:ascii="Open Sans" w:hAnsi="Open Sans" w:cs="Open Sans"/>
          <w:b/>
          <w:bCs/>
          <w:sz w:val="14"/>
          <w:szCs w:val="20"/>
        </w:rPr>
        <w:t>http://www.r-e-a.net/</w:t>
      </w:r>
    </w:hyperlink>
  </w:p>
  <w:p w14:paraId="7011C9A7" w14:textId="77777777" w:rsidR="00570102" w:rsidRPr="00B41593" w:rsidRDefault="00570102" w:rsidP="00570102">
    <w:pPr>
      <w:rPr>
        <w:rFonts w:ascii="Open Sans" w:hAnsi="Open Sans" w:cs="Open Sans"/>
        <w:b/>
        <w:bCs/>
        <w:color w:val="999999"/>
        <w:sz w:val="14"/>
        <w:szCs w:val="20"/>
      </w:rPr>
    </w:pPr>
    <w:r w:rsidRPr="00B41593">
      <w:rPr>
        <w:rFonts w:ascii="Open Sans" w:hAnsi="Open Sans" w:cs="Open Sans"/>
        <w:b/>
        <w:bCs/>
        <w:color w:val="999999"/>
        <w:sz w:val="14"/>
        <w:szCs w:val="20"/>
      </w:rPr>
      <w:t>23 Kingsway</w:t>
    </w:r>
  </w:p>
  <w:p w14:paraId="7571FC6F" w14:textId="77777777" w:rsidR="00570102" w:rsidRPr="00B41593" w:rsidRDefault="00570102" w:rsidP="00570102">
    <w:pPr>
      <w:rPr>
        <w:rFonts w:ascii="Open Sans" w:hAnsi="Open Sans" w:cs="Open Sans"/>
        <w:b/>
        <w:bCs/>
        <w:sz w:val="20"/>
        <w:szCs w:val="20"/>
      </w:rPr>
    </w:pPr>
    <w:r w:rsidRPr="00B41593">
      <w:rPr>
        <w:rFonts w:ascii="Open Sans" w:hAnsi="Open Sans" w:cs="Open Sans"/>
        <w:b/>
        <w:bCs/>
        <w:color w:val="999999"/>
        <w:sz w:val="14"/>
        <w:szCs w:val="20"/>
      </w:rPr>
      <w:t xml:space="preserve">London, WC2B 6UJ  </w:t>
    </w:r>
  </w:p>
  <w:p w14:paraId="4F2AC342" w14:textId="1A10CD69" w:rsidR="00570102" w:rsidRDefault="005701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E5DB0" w14:textId="77777777" w:rsidR="008E52C1" w:rsidRDefault="008E52C1" w:rsidP="003B4EDB">
      <w:pPr>
        <w:spacing w:after="0" w:line="240" w:lineRule="auto"/>
      </w:pPr>
      <w:r>
        <w:separator/>
      </w:r>
    </w:p>
  </w:footnote>
  <w:footnote w:type="continuationSeparator" w:id="0">
    <w:p w14:paraId="5E1924D5" w14:textId="77777777" w:rsidR="008E52C1" w:rsidRDefault="008E52C1" w:rsidP="003B4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5EFC"/>
    <w:multiLevelType w:val="hybridMultilevel"/>
    <w:tmpl w:val="5802B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D214CE"/>
    <w:multiLevelType w:val="hybridMultilevel"/>
    <w:tmpl w:val="C67AB7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FC2C58"/>
    <w:multiLevelType w:val="hybridMultilevel"/>
    <w:tmpl w:val="B726E0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FE6D31"/>
    <w:multiLevelType w:val="hybridMultilevel"/>
    <w:tmpl w:val="D848D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C6798E"/>
    <w:multiLevelType w:val="hybridMultilevel"/>
    <w:tmpl w:val="E7A2B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D0292"/>
    <w:multiLevelType w:val="hybridMultilevel"/>
    <w:tmpl w:val="1084D8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A40CB"/>
    <w:multiLevelType w:val="hybridMultilevel"/>
    <w:tmpl w:val="6226E94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E3405"/>
    <w:multiLevelType w:val="hybridMultilevel"/>
    <w:tmpl w:val="67B055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9F2416"/>
    <w:multiLevelType w:val="hybridMultilevel"/>
    <w:tmpl w:val="4CE69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91FEE"/>
    <w:multiLevelType w:val="hybridMultilevel"/>
    <w:tmpl w:val="2E5CF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F19FE"/>
    <w:multiLevelType w:val="hybridMultilevel"/>
    <w:tmpl w:val="833280C2"/>
    <w:lvl w:ilvl="0" w:tplc="E5DA6DE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595F59"/>
    <w:multiLevelType w:val="hybridMultilevel"/>
    <w:tmpl w:val="11C28B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8723D7"/>
    <w:multiLevelType w:val="hybridMultilevel"/>
    <w:tmpl w:val="4B1033A6"/>
    <w:lvl w:ilvl="0" w:tplc="89FC2AEE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BC5095"/>
    <w:multiLevelType w:val="hybridMultilevel"/>
    <w:tmpl w:val="7A4E5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37386"/>
    <w:multiLevelType w:val="hybridMultilevel"/>
    <w:tmpl w:val="77E64A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355C31"/>
    <w:multiLevelType w:val="hybridMultilevel"/>
    <w:tmpl w:val="28EC4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A1327"/>
    <w:multiLevelType w:val="hybridMultilevel"/>
    <w:tmpl w:val="EEEA0A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6E306F"/>
    <w:multiLevelType w:val="hybridMultilevel"/>
    <w:tmpl w:val="7B8AE3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1474519">
    <w:abstractNumId w:val="5"/>
  </w:num>
  <w:num w:numId="2" w16cid:durableId="1534808085">
    <w:abstractNumId w:val="10"/>
  </w:num>
  <w:num w:numId="3" w16cid:durableId="504639318">
    <w:abstractNumId w:val="8"/>
  </w:num>
  <w:num w:numId="4" w16cid:durableId="586689054">
    <w:abstractNumId w:val="2"/>
  </w:num>
  <w:num w:numId="5" w16cid:durableId="1120999414">
    <w:abstractNumId w:val="17"/>
  </w:num>
  <w:num w:numId="6" w16cid:durableId="1551452990">
    <w:abstractNumId w:val="11"/>
  </w:num>
  <w:num w:numId="7" w16cid:durableId="1379402791">
    <w:abstractNumId w:val="16"/>
  </w:num>
  <w:num w:numId="8" w16cid:durableId="1062824062">
    <w:abstractNumId w:val="14"/>
  </w:num>
  <w:num w:numId="9" w16cid:durableId="572546257">
    <w:abstractNumId w:val="0"/>
  </w:num>
  <w:num w:numId="10" w16cid:durableId="299313021">
    <w:abstractNumId w:val="3"/>
  </w:num>
  <w:num w:numId="11" w16cid:durableId="360209043">
    <w:abstractNumId w:val="1"/>
  </w:num>
  <w:num w:numId="12" w16cid:durableId="298538018">
    <w:abstractNumId w:val="15"/>
  </w:num>
  <w:num w:numId="13" w16cid:durableId="896670446">
    <w:abstractNumId w:val="13"/>
  </w:num>
  <w:num w:numId="14" w16cid:durableId="1652980712">
    <w:abstractNumId w:val="9"/>
  </w:num>
  <w:num w:numId="15" w16cid:durableId="1386445059">
    <w:abstractNumId w:val="7"/>
  </w:num>
  <w:num w:numId="16" w16cid:durableId="336542701">
    <w:abstractNumId w:val="4"/>
  </w:num>
  <w:num w:numId="17" w16cid:durableId="1480611570">
    <w:abstractNumId w:val="12"/>
  </w:num>
  <w:num w:numId="18" w16cid:durableId="12561359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AE"/>
    <w:rsid w:val="00001D6C"/>
    <w:rsid w:val="0000392F"/>
    <w:rsid w:val="0001120C"/>
    <w:rsid w:val="00015529"/>
    <w:rsid w:val="00024D76"/>
    <w:rsid w:val="00033702"/>
    <w:rsid w:val="000374C2"/>
    <w:rsid w:val="00037720"/>
    <w:rsid w:val="000402CC"/>
    <w:rsid w:val="00040D6E"/>
    <w:rsid w:val="00043A24"/>
    <w:rsid w:val="00055852"/>
    <w:rsid w:val="000755D5"/>
    <w:rsid w:val="000808CF"/>
    <w:rsid w:val="00082ADA"/>
    <w:rsid w:val="000855F6"/>
    <w:rsid w:val="00085D12"/>
    <w:rsid w:val="00086C40"/>
    <w:rsid w:val="0009546D"/>
    <w:rsid w:val="00095FB5"/>
    <w:rsid w:val="0009653F"/>
    <w:rsid w:val="00096683"/>
    <w:rsid w:val="000B59CD"/>
    <w:rsid w:val="000B59D3"/>
    <w:rsid w:val="000C7789"/>
    <w:rsid w:val="000D3EF0"/>
    <w:rsid w:val="000E055C"/>
    <w:rsid w:val="000E34CA"/>
    <w:rsid w:val="000F51A2"/>
    <w:rsid w:val="001030D2"/>
    <w:rsid w:val="00103512"/>
    <w:rsid w:val="00107019"/>
    <w:rsid w:val="001072A3"/>
    <w:rsid w:val="001078F8"/>
    <w:rsid w:val="001104A9"/>
    <w:rsid w:val="0011303A"/>
    <w:rsid w:val="0012108E"/>
    <w:rsid w:val="00121778"/>
    <w:rsid w:val="00124158"/>
    <w:rsid w:val="0013005E"/>
    <w:rsid w:val="0013256B"/>
    <w:rsid w:val="00143EFC"/>
    <w:rsid w:val="001456DC"/>
    <w:rsid w:val="00152A14"/>
    <w:rsid w:val="00153A67"/>
    <w:rsid w:val="00155B3A"/>
    <w:rsid w:val="0016605E"/>
    <w:rsid w:val="001713A2"/>
    <w:rsid w:val="00172427"/>
    <w:rsid w:val="0017431F"/>
    <w:rsid w:val="00174470"/>
    <w:rsid w:val="00175AB7"/>
    <w:rsid w:val="001802A3"/>
    <w:rsid w:val="0018178E"/>
    <w:rsid w:val="00182587"/>
    <w:rsid w:val="00183112"/>
    <w:rsid w:val="00191DC6"/>
    <w:rsid w:val="00192573"/>
    <w:rsid w:val="00196042"/>
    <w:rsid w:val="001A110A"/>
    <w:rsid w:val="001A2E25"/>
    <w:rsid w:val="001B03F0"/>
    <w:rsid w:val="001B15BC"/>
    <w:rsid w:val="001B16E4"/>
    <w:rsid w:val="001B1EB9"/>
    <w:rsid w:val="001B4495"/>
    <w:rsid w:val="001B4A0B"/>
    <w:rsid w:val="001C1CBC"/>
    <w:rsid w:val="001C45A1"/>
    <w:rsid w:val="001C45F2"/>
    <w:rsid w:val="001C5549"/>
    <w:rsid w:val="001C7E1B"/>
    <w:rsid w:val="001D4956"/>
    <w:rsid w:val="001D4BD7"/>
    <w:rsid w:val="001E31DE"/>
    <w:rsid w:val="001E6460"/>
    <w:rsid w:val="001E7C08"/>
    <w:rsid w:val="001F0D8B"/>
    <w:rsid w:val="001F196D"/>
    <w:rsid w:val="001F1D94"/>
    <w:rsid w:val="00206363"/>
    <w:rsid w:val="002068B2"/>
    <w:rsid w:val="0020709C"/>
    <w:rsid w:val="00207FF1"/>
    <w:rsid w:val="00210DE9"/>
    <w:rsid w:val="00213378"/>
    <w:rsid w:val="0022228C"/>
    <w:rsid w:val="00222E95"/>
    <w:rsid w:val="002242C3"/>
    <w:rsid w:val="00224596"/>
    <w:rsid w:val="002245A9"/>
    <w:rsid w:val="00226610"/>
    <w:rsid w:val="00230440"/>
    <w:rsid w:val="0023131C"/>
    <w:rsid w:val="00240682"/>
    <w:rsid w:val="00244F93"/>
    <w:rsid w:val="00251E82"/>
    <w:rsid w:val="00252567"/>
    <w:rsid w:val="00253F37"/>
    <w:rsid w:val="002607E6"/>
    <w:rsid w:val="00260A84"/>
    <w:rsid w:val="0026326F"/>
    <w:rsid w:val="00264C35"/>
    <w:rsid w:val="00265B73"/>
    <w:rsid w:val="00267C54"/>
    <w:rsid w:val="00270AF0"/>
    <w:rsid w:val="00273701"/>
    <w:rsid w:val="00274359"/>
    <w:rsid w:val="00276273"/>
    <w:rsid w:val="00280CB9"/>
    <w:rsid w:val="00282D15"/>
    <w:rsid w:val="00292600"/>
    <w:rsid w:val="00294615"/>
    <w:rsid w:val="002C1E9B"/>
    <w:rsid w:val="002C269F"/>
    <w:rsid w:val="002D06B5"/>
    <w:rsid w:val="002D75BD"/>
    <w:rsid w:val="002E1EF3"/>
    <w:rsid w:val="002E2AF4"/>
    <w:rsid w:val="002E31B3"/>
    <w:rsid w:val="002E393F"/>
    <w:rsid w:val="002E4A67"/>
    <w:rsid w:val="002F47AD"/>
    <w:rsid w:val="002F4E45"/>
    <w:rsid w:val="00300BEB"/>
    <w:rsid w:val="003058D5"/>
    <w:rsid w:val="003067CE"/>
    <w:rsid w:val="00306B37"/>
    <w:rsid w:val="00314421"/>
    <w:rsid w:val="0031450F"/>
    <w:rsid w:val="003254C5"/>
    <w:rsid w:val="00326F1B"/>
    <w:rsid w:val="00331BF1"/>
    <w:rsid w:val="00331F05"/>
    <w:rsid w:val="0033246B"/>
    <w:rsid w:val="003342FC"/>
    <w:rsid w:val="00335EF3"/>
    <w:rsid w:val="003403FB"/>
    <w:rsid w:val="003463F0"/>
    <w:rsid w:val="00354602"/>
    <w:rsid w:val="003610D0"/>
    <w:rsid w:val="00361387"/>
    <w:rsid w:val="003626A0"/>
    <w:rsid w:val="00366E87"/>
    <w:rsid w:val="00366EAE"/>
    <w:rsid w:val="003754FC"/>
    <w:rsid w:val="003767BF"/>
    <w:rsid w:val="003776AB"/>
    <w:rsid w:val="00382141"/>
    <w:rsid w:val="0038648C"/>
    <w:rsid w:val="00390EB6"/>
    <w:rsid w:val="00394694"/>
    <w:rsid w:val="00395E06"/>
    <w:rsid w:val="003971C2"/>
    <w:rsid w:val="003A105C"/>
    <w:rsid w:val="003A2481"/>
    <w:rsid w:val="003A550C"/>
    <w:rsid w:val="003A5B69"/>
    <w:rsid w:val="003B2AE3"/>
    <w:rsid w:val="003B451D"/>
    <w:rsid w:val="003B4EDB"/>
    <w:rsid w:val="003C12F8"/>
    <w:rsid w:val="003C4A7F"/>
    <w:rsid w:val="003C4F89"/>
    <w:rsid w:val="003D0A37"/>
    <w:rsid w:val="003D4A2F"/>
    <w:rsid w:val="003D65D0"/>
    <w:rsid w:val="003E3EC9"/>
    <w:rsid w:val="003F1F17"/>
    <w:rsid w:val="003F245B"/>
    <w:rsid w:val="003F40E3"/>
    <w:rsid w:val="003F6398"/>
    <w:rsid w:val="003F6D36"/>
    <w:rsid w:val="00401D83"/>
    <w:rsid w:val="00412338"/>
    <w:rsid w:val="00425D28"/>
    <w:rsid w:val="00426029"/>
    <w:rsid w:val="00432AF0"/>
    <w:rsid w:val="00433D34"/>
    <w:rsid w:val="00434402"/>
    <w:rsid w:val="0043727E"/>
    <w:rsid w:val="00447C88"/>
    <w:rsid w:val="00451EF2"/>
    <w:rsid w:val="004545F3"/>
    <w:rsid w:val="004641CE"/>
    <w:rsid w:val="004669DC"/>
    <w:rsid w:val="004679A4"/>
    <w:rsid w:val="00470751"/>
    <w:rsid w:val="0047145A"/>
    <w:rsid w:val="00473045"/>
    <w:rsid w:val="00476860"/>
    <w:rsid w:val="00477B13"/>
    <w:rsid w:val="00480C0F"/>
    <w:rsid w:val="00483238"/>
    <w:rsid w:val="004A542C"/>
    <w:rsid w:val="004A5C1C"/>
    <w:rsid w:val="004A6A43"/>
    <w:rsid w:val="004B136F"/>
    <w:rsid w:val="004B167F"/>
    <w:rsid w:val="004B3939"/>
    <w:rsid w:val="004B40F0"/>
    <w:rsid w:val="004C12B5"/>
    <w:rsid w:val="004C4869"/>
    <w:rsid w:val="004C51B9"/>
    <w:rsid w:val="004C5221"/>
    <w:rsid w:val="004C6EF8"/>
    <w:rsid w:val="004C7D78"/>
    <w:rsid w:val="004D04FF"/>
    <w:rsid w:val="004D66E4"/>
    <w:rsid w:val="004D7C39"/>
    <w:rsid w:val="004E3B23"/>
    <w:rsid w:val="004E7B53"/>
    <w:rsid w:val="004F12B4"/>
    <w:rsid w:val="004F141A"/>
    <w:rsid w:val="004F19D3"/>
    <w:rsid w:val="005008A7"/>
    <w:rsid w:val="00502F2E"/>
    <w:rsid w:val="005041D6"/>
    <w:rsid w:val="00506403"/>
    <w:rsid w:val="00510013"/>
    <w:rsid w:val="00511B34"/>
    <w:rsid w:val="00514CEA"/>
    <w:rsid w:val="005232A8"/>
    <w:rsid w:val="00531DFC"/>
    <w:rsid w:val="00535647"/>
    <w:rsid w:val="005423FC"/>
    <w:rsid w:val="00545AA6"/>
    <w:rsid w:val="005461CD"/>
    <w:rsid w:val="00546F10"/>
    <w:rsid w:val="00551DC0"/>
    <w:rsid w:val="00552C58"/>
    <w:rsid w:val="00554664"/>
    <w:rsid w:val="00557B29"/>
    <w:rsid w:val="005618EB"/>
    <w:rsid w:val="0056514F"/>
    <w:rsid w:val="00570102"/>
    <w:rsid w:val="00570DD7"/>
    <w:rsid w:val="0057180F"/>
    <w:rsid w:val="005735B8"/>
    <w:rsid w:val="0057419B"/>
    <w:rsid w:val="00580462"/>
    <w:rsid w:val="00586896"/>
    <w:rsid w:val="0059115B"/>
    <w:rsid w:val="0059125F"/>
    <w:rsid w:val="00593788"/>
    <w:rsid w:val="00594E6C"/>
    <w:rsid w:val="005A3626"/>
    <w:rsid w:val="005B008B"/>
    <w:rsid w:val="005B3518"/>
    <w:rsid w:val="005B563B"/>
    <w:rsid w:val="005B67C1"/>
    <w:rsid w:val="005C1B0A"/>
    <w:rsid w:val="005C4A50"/>
    <w:rsid w:val="005D5C81"/>
    <w:rsid w:val="005D681D"/>
    <w:rsid w:val="005E121E"/>
    <w:rsid w:val="005F0464"/>
    <w:rsid w:val="005F1C10"/>
    <w:rsid w:val="005F2CBB"/>
    <w:rsid w:val="00600A7B"/>
    <w:rsid w:val="006030FB"/>
    <w:rsid w:val="00606EA7"/>
    <w:rsid w:val="0061060B"/>
    <w:rsid w:val="006106FA"/>
    <w:rsid w:val="00613B14"/>
    <w:rsid w:val="0062360B"/>
    <w:rsid w:val="00623669"/>
    <w:rsid w:val="0063086C"/>
    <w:rsid w:val="00632976"/>
    <w:rsid w:val="0063669A"/>
    <w:rsid w:val="0063755B"/>
    <w:rsid w:val="0064492E"/>
    <w:rsid w:val="00646134"/>
    <w:rsid w:val="00646426"/>
    <w:rsid w:val="006553EA"/>
    <w:rsid w:val="0066159F"/>
    <w:rsid w:val="00661C1D"/>
    <w:rsid w:val="0067058B"/>
    <w:rsid w:val="006754E8"/>
    <w:rsid w:val="00681E45"/>
    <w:rsid w:val="00683DF4"/>
    <w:rsid w:val="006840C2"/>
    <w:rsid w:val="00691C1B"/>
    <w:rsid w:val="006A269D"/>
    <w:rsid w:val="006A44E8"/>
    <w:rsid w:val="006A7370"/>
    <w:rsid w:val="006A7593"/>
    <w:rsid w:val="006B3A20"/>
    <w:rsid w:val="006B4A1C"/>
    <w:rsid w:val="006B52A8"/>
    <w:rsid w:val="006B5AFF"/>
    <w:rsid w:val="006B7CF4"/>
    <w:rsid w:val="006C0864"/>
    <w:rsid w:val="006C4920"/>
    <w:rsid w:val="006C749F"/>
    <w:rsid w:val="006D1355"/>
    <w:rsid w:val="006D1DA3"/>
    <w:rsid w:val="006D2031"/>
    <w:rsid w:val="006F0B85"/>
    <w:rsid w:val="006F4EEF"/>
    <w:rsid w:val="006F500B"/>
    <w:rsid w:val="007023C4"/>
    <w:rsid w:val="00706DCD"/>
    <w:rsid w:val="00713CD0"/>
    <w:rsid w:val="0071402A"/>
    <w:rsid w:val="00714D21"/>
    <w:rsid w:val="00714F4D"/>
    <w:rsid w:val="0072631C"/>
    <w:rsid w:val="00735DA8"/>
    <w:rsid w:val="00736E77"/>
    <w:rsid w:val="00737524"/>
    <w:rsid w:val="007437AF"/>
    <w:rsid w:val="00746F02"/>
    <w:rsid w:val="0075052E"/>
    <w:rsid w:val="00754EFB"/>
    <w:rsid w:val="007616FE"/>
    <w:rsid w:val="00764CF8"/>
    <w:rsid w:val="00765E5F"/>
    <w:rsid w:val="007744B6"/>
    <w:rsid w:val="00785C3D"/>
    <w:rsid w:val="007A26D3"/>
    <w:rsid w:val="007A59CF"/>
    <w:rsid w:val="007C23A4"/>
    <w:rsid w:val="007C5D5B"/>
    <w:rsid w:val="007F794A"/>
    <w:rsid w:val="00804A3A"/>
    <w:rsid w:val="0080671E"/>
    <w:rsid w:val="00806D96"/>
    <w:rsid w:val="00810FE7"/>
    <w:rsid w:val="00812FC7"/>
    <w:rsid w:val="00815991"/>
    <w:rsid w:val="00821CBB"/>
    <w:rsid w:val="0082477A"/>
    <w:rsid w:val="00825B5E"/>
    <w:rsid w:val="00831ADF"/>
    <w:rsid w:val="008336A8"/>
    <w:rsid w:val="00846202"/>
    <w:rsid w:val="00851A9C"/>
    <w:rsid w:val="00862A90"/>
    <w:rsid w:val="0086457F"/>
    <w:rsid w:val="00867AEE"/>
    <w:rsid w:val="00883C7F"/>
    <w:rsid w:val="008876BF"/>
    <w:rsid w:val="00897A63"/>
    <w:rsid w:val="008A43A1"/>
    <w:rsid w:val="008A4F69"/>
    <w:rsid w:val="008B29E1"/>
    <w:rsid w:val="008C1450"/>
    <w:rsid w:val="008C2D51"/>
    <w:rsid w:val="008C3A1A"/>
    <w:rsid w:val="008C404F"/>
    <w:rsid w:val="008D72B6"/>
    <w:rsid w:val="008E45F1"/>
    <w:rsid w:val="008E52C1"/>
    <w:rsid w:val="008E63EA"/>
    <w:rsid w:val="008F4D54"/>
    <w:rsid w:val="00901A9E"/>
    <w:rsid w:val="00910F10"/>
    <w:rsid w:val="00913C27"/>
    <w:rsid w:val="00917B27"/>
    <w:rsid w:val="0092123D"/>
    <w:rsid w:val="00922D6A"/>
    <w:rsid w:val="00924F82"/>
    <w:rsid w:val="009252CA"/>
    <w:rsid w:val="0092548F"/>
    <w:rsid w:val="00932938"/>
    <w:rsid w:val="00933143"/>
    <w:rsid w:val="00933345"/>
    <w:rsid w:val="00933348"/>
    <w:rsid w:val="00934EE8"/>
    <w:rsid w:val="00936C76"/>
    <w:rsid w:val="00941046"/>
    <w:rsid w:val="0094388E"/>
    <w:rsid w:val="0094423D"/>
    <w:rsid w:val="00944D3C"/>
    <w:rsid w:val="00950785"/>
    <w:rsid w:val="00950D52"/>
    <w:rsid w:val="009569C9"/>
    <w:rsid w:val="00956AD8"/>
    <w:rsid w:val="00970083"/>
    <w:rsid w:val="00971018"/>
    <w:rsid w:val="0097184E"/>
    <w:rsid w:val="009906A9"/>
    <w:rsid w:val="00991C4B"/>
    <w:rsid w:val="00992D39"/>
    <w:rsid w:val="009A57EC"/>
    <w:rsid w:val="009B17D9"/>
    <w:rsid w:val="009B3291"/>
    <w:rsid w:val="009B753F"/>
    <w:rsid w:val="009C10A2"/>
    <w:rsid w:val="009C12FC"/>
    <w:rsid w:val="009C3869"/>
    <w:rsid w:val="009C7499"/>
    <w:rsid w:val="009D1761"/>
    <w:rsid w:val="009E169B"/>
    <w:rsid w:val="009E357F"/>
    <w:rsid w:val="009F3753"/>
    <w:rsid w:val="009F43BD"/>
    <w:rsid w:val="009F64AE"/>
    <w:rsid w:val="009F72A1"/>
    <w:rsid w:val="00A02A78"/>
    <w:rsid w:val="00A050E1"/>
    <w:rsid w:val="00A12448"/>
    <w:rsid w:val="00A1533D"/>
    <w:rsid w:val="00A17E08"/>
    <w:rsid w:val="00A23FB8"/>
    <w:rsid w:val="00A3796D"/>
    <w:rsid w:val="00A44E37"/>
    <w:rsid w:val="00A51484"/>
    <w:rsid w:val="00A64DF9"/>
    <w:rsid w:val="00A72FCF"/>
    <w:rsid w:val="00A742F4"/>
    <w:rsid w:val="00A80F43"/>
    <w:rsid w:val="00A8480F"/>
    <w:rsid w:val="00A86D2B"/>
    <w:rsid w:val="00A87927"/>
    <w:rsid w:val="00A9654B"/>
    <w:rsid w:val="00AA71E4"/>
    <w:rsid w:val="00AB6CEC"/>
    <w:rsid w:val="00AC1CB1"/>
    <w:rsid w:val="00AC257D"/>
    <w:rsid w:val="00AC72F4"/>
    <w:rsid w:val="00AD09AE"/>
    <w:rsid w:val="00AD4CB7"/>
    <w:rsid w:val="00AE7440"/>
    <w:rsid w:val="00AF0BF8"/>
    <w:rsid w:val="00AF1966"/>
    <w:rsid w:val="00AF1B35"/>
    <w:rsid w:val="00AF2C56"/>
    <w:rsid w:val="00AF37BB"/>
    <w:rsid w:val="00AF4943"/>
    <w:rsid w:val="00AF55D2"/>
    <w:rsid w:val="00AF6A28"/>
    <w:rsid w:val="00B0094E"/>
    <w:rsid w:val="00B00C96"/>
    <w:rsid w:val="00B0318C"/>
    <w:rsid w:val="00B0497F"/>
    <w:rsid w:val="00B13B48"/>
    <w:rsid w:val="00B25C84"/>
    <w:rsid w:val="00B3063C"/>
    <w:rsid w:val="00B31766"/>
    <w:rsid w:val="00B3521F"/>
    <w:rsid w:val="00B353D6"/>
    <w:rsid w:val="00B36CD5"/>
    <w:rsid w:val="00B41593"/>
    <w:rsid w:val="00B5021E"/>
    <w:rsid w:val="00B563E3"/>
    <w:rsid w:val="00B578B0"/>
    <w:rsid w:val="00B57E2F"/>
    <w:rsid w:val="00B60892"/>
    <w:rsid w:val="00B60E0F"/>
    <w:rsid w:val="00B70262"/>
    <w:rsid w:val="00B710EC"/>
    <w:rsid w:val="00B80AD6"/>
    <w:rsid w:val="00B81DFD"/>
    <w:rsid w:val="00B841D8"/>
    <w:rsid w:val="00B86C4E"/>
    <w:rsid w:val="00B93312"/>
    <w:rsid w:val="00B96BB8"/>
    <w:rsid w:val="00B96DBD"/>
    <w:rsid w:val="00BA07C0"/>
    <w:rsid w:val="00BA3269"/>
    <w:rsid w:val="00BA4979"/>
    <w:rsid w:val="00BB27A3"/>
    <w:rsid w:val="00BC0F11"/>
    <w:rsid w:val="00BC1072"/>
    <w:rsid w:val="00BC1BC3"/>
    <w:rsid w:val="00BC56CE"/>
    <w:rsid w:val="00BC62A8"/>
    <w:rsid w:val="00BD2718"/>
    <w:rsid w:val="00BD314E"/>
    <w:rsid w:val="00BD3DE9"/>
    <w:rsid w:val="00BD6934"/>
    <w:rsid w:val="00BD7B08"/>
    <w:rsid w:val="00BE069A"/>
    <w:rsid w:val="00BF1D7E"/>
    <w:rsid w:val="00C029E0"/>
    <w:rsid w:val="00C02DB2"/>
    <w:rsid w:val="00C12625"/>
    <w:rsid w:val="00C20032"/>
    <w:rsid w:val="00C2712F"/>
    <w:rsid w:val="00C32D8C"/>
    <w:rsid w:val="00C33CDA"/>
    <w:rsid w:val="00C347B3"/>
    <w:rsid w:val="00C3651E"/>
    <w:rsid w:val="00C4077F"/>
    <w:rsid w:val="00C42C27"/>
    <w:rsid w:val="00C4509D"/>
    <w:rsid w:val="00C453CF"/>
    <w:rsid w:val="00C45AF4"/>
    <w:rsid w:val="00C46663"/>
    <w:rsid w:val="00C5008F"/>
    <w:rsid w:val="00C53A45"/>
    <w:rsid w:val="00C55E0E"/>
    <w:rsid w:val="00C56086"/>
    <w:rsid w:val="00C565ED"/>
    <w:rsid w:val="00C60540"/>
    <w:rsid w:val="00C80D06"/>
    <w:rsid w:val="00C83103"/>
    <w:rsid w:val="00C84B08"/>
    <w:rsid w:val="00C860E2"/>
    <w:rsid w:val="00C91027"/>
    <w:rsid w:val="00C911F4"/>
    <w:rsid w:val="00C915E9"/>
    <w:rsid w:val="00C936B7"/>
    <w:rsid w:val="00CA01BF"/>
    <w:rsid w:val="00CA2410"/>
    <w:rsid w:val="00CA2EA8"/>
    <w:rsid w:val="00CA4D95"/>
    <w:rsid w:val="00CA5770"/>
    <w:rsid w:val="00CA6ECF"/>
    <w:rsid w:val="00CB4100"/>
    <w:rsid w:val="00CB472E"/>
    <w:rsid w:val="00CC2C8A"/>
    <w:rsid w:val="00CC6C1D"/>
    <w:rsid w:val="00CD07EE"/>
    <w:rsid w:val="00CD1F48"/>
    <w:rsid w:val="00CD2026"/>
    <w:rsid w:val="00CD3EA1"/>
    <w:rsid w:val="00CF7C65"/>
    <w:rsid w:val="00D062D2"/>
    <w:rsid w:val="00D077E3"/>
    <w:rsid w:val="00D07C35"/>
    <w:rsid w:val="00D2288A"/>
    <w:rsid w:val="00D26BC4"/>
    <w:rsid w:val="00D336D9"/>
    <w:rsid w:val="00D33EB5"/>
    <w:rsid w:val="00D37CD9"/>
    <w:rsid w:val="00D45826"/>
    <w:rsid w:val="00D4588F"/>
    <w:rsid w:val="00D511E0"/>
    <w:rsid w:val="00D5217A"/>
    <w:rsid w:val="00D55C2F"/>
    <w:rsid w:val="00D62BE1"/>
    <w:rsid w:val="00D64CE3"/>
    <w:rsid w:val="00D64FB7"/>
    <w:rsid w:val="00D703B4"/>
    <w:rsid w:val="00D8317D"/>
    <w:rsid w:val="00D90189"/>
    <w:rsid w:val="00DA0D9C"/>
    <w:rsid w:val="00DA74AA"/>
    <w:rsid w:val="00DB4180"/>
    <w:rsid w:val="00DB437A"/>
    <w:rsid w:val="00DB6BB2"/>
    <w:rsid w:val="00DB70AC"/>
    <w:rsid w:val="00DC15B0"/>
    <w:rsid w:val="00DC221C"/>
    <w:rsid w:val="00DC71D0"/>
    <w:rsid w:val="00DE64D9"/>
    <w:rsid w:val="00DF0CED"/>
    <w:rsid w:val="00E03D3E"/>
    <w:rsid w:val="00E03E7F"/>
    <w:rsid w:val="00E07F34"/>
    <w:rsid w:val="00E15419"/>
    <w:rsid w:val="00E2256D"/>
    <w:rsid w:val="00E309AE"/>
    <w:rsid w:val="00E33E00"/>
    <w:rsid w:val="00E427C3"/>
    <w:rsid w:val="00E442DC"/>
    <w:rsid w:val="00E46DB5"/>
    <w:rsid w:val="00E46F78"/>
    <w:rsid w:val="00E47FC4"/>
    <w:rsid w:val="00E5099C"/>
    <w:rsid w:val="00E530C7"/>
    <w:rsid w:val="00E5348A"/>
    <w:rsid w:val="00E55909"/>
    <w:rsid w:val="00E60D5F"/>
    <w:rsid w:val="00E70A95"/>
    <w:rsid w:val="00E70FAD"/>
    <w:rsid w:val="00E7263D"/>
    <w:rsid w:val="00E740B1"/>
    <w:rsid w:val="00E810FA"/>
    <w:rsid w:val="00E82872"/>
    <w:rsid w:val="00E83351"/>
    <w:rsid w:val="00E836BF"/>
    <w:rsid w:val="00E909AD"/>
    <w:rsid w:val="00E90CDA"/>
    <w:rsid w:val="00E9575A"/>
    <w:rsid w:val="00EA44D9"/>
    <w:rsid w:val="00EA4C4D"/>
    <w:rsid w:val="00EA591D"/>
    <w:rsid w:val="00EB3955"/>
    <w:rsid w:val="00EB7B82"/>
    <w:rsid w:val="00EC595C"/>
    <w:rsid w:val="00ED45EF"/>
    <w:rsid w:val="00ED5F97"/>
    <w:rsid w:val="00ED74EC"/>
    <w:rsid w:val="00EE4279"/>
    <w:rsid w:val="00EE4C03"/>
    <w:rsid w:val="00EF0BD0"/>
    <w:rsid w:val="00EF1456"/>
    <w:rsid w:val="00F1084C"/>
    <w:rsid w:val="00F12A6F"/>
    <w:rsid w:val="00F15B86"/>
    <w:rsid w:val="00F26258"/>
    <w:rsid w:val="00F32792"/>
    <w:rsid w:val="00F37C31"/>
    <w:rsid w:val="00F44744"/>
    <w:rsid w:val="00F46660"/>
    <w:rsid w:val="00F46D82"/>
    <w:rsid w:val="00F5137F"/>
    <w:rsid w:val="00F541C9"/>
    <w:rsid w:val="00F55F30"/>
    <w:rsid w:val="00F56664"/>
    <w:rsid w:val="00F6038F"/>
    <w:rsid w:val="00F6381B"/>
    <w:rsid w:val="00F66B5A"/>
    <w:rsid w:val="00F71C57"/>
    <w:rsid w:val="00F727D4"/>
    <w:rsid w:val="00F845DE"/>
    <w:rsid w:val="00F955D0"/>
    <w:rsid w:val="00FA0B14"/>
    <w:rsid w:val="00FA2163"/>
    <w:rsid w:val="00FA21BD"/>
    <w:rsid w:val="00FA2F3F"/>
    <w:rsid w:val="00FC02D5"/>
    <w:rsid w:val="00FC0360"/>
    <w:rsid w:val="00FC3524"/>
    <w:rsid w:val="00FC5340"/>
    <w:rsid w:val="00FC6ED3"/>
    <w:rsid w:val="00FC7A05"/>
    <w:rsid w:val="00FD5240"/>
    <w:rsid w:val="00FD7005"/>
    <w:rsid w:val="00FD7F5E"/>
    <w:rsid w:val="00FE4E27"/>
    <w:rsid w:val="00FE70DE"/>
    <w:rsid w:val="00FF29EB"/>
    <w:rsid w:val="00FF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F2E7D"/>
  <w15:chartTrackingRefBased/>
  <w15:docId w15:val="{1E029CE4-3715-48E9-AEA5-5EFADBCC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9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E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EDB"/>
  </w:style>
  <w:style w:type="paragraph" w:styleId="Footer">
    <w:name w:val="footer"/>
    <w:basedOn w:val="Normal"/>
    <w:link w:val="FooterChar"/>
    <w:uiPriority w:val="99"/>
    <w:unhideWhenUsed/>
    <w:rsid w:val="003B4E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EDB"/>
  </w:style>
  <w:style w:type="character" w:styleId="Hyperlink">
    <w:name w:val="Hyperlink"/>
    <w:basedOn w:val="DefaultParagraphFont"/>
    <w:uiPriority w:val="99"/>
    <w:unhideWhenUsed/>
    <w:rsid w:val="0057010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32D8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32D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6BC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6381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66B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6B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6B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B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nergy-storage.news/over-4gwh-of-long-duration-energy-storage-selected-through-tender-in-new-south-wales-australia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-e-a.net/resources/rea-longer-duration-energy-storage-repor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-e-a.net/resources/rea-longer-duration-energy-storage-repor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gov.uk/government/publications/evidence-gathering-thermal-energy-storag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cusercontent.com/57981e55e365722b7bb40867b/files/9d746eba-8b92-f2fb-b956-13dfbc7b4e54/FINAL_Thermal_energy_storage_briefing_document_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-e-a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b28fe2-aad7-446e-968d-b56429c2090b">
      <Terms xmlns="http://schemas.microsoft.com/office/infopath/2007/PartnerControls"/>
    </lcf76f155ced4ddcb4097134ff3c332f>
    <TaxCatchAll xmlns="3bbbe167-487c-408d-acef-8d2427bd1be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67B921FA26845A467BC387B1CB75F" ma:contentTypeVersion="15" ma:contentTypeDescription="Create a new document." ma:contentTypeScope="" ma:versionID="9930edceeac99d9c502635eaaaca2646">
  <xsd:schema xmlns:xsd="http://www.w3.org/2001/XMLSchema" xmlns:xs="http://www.w3.org/2001/XMLSchema" xmlns:p="http://schemas.microsoft.com/office/2006/metadata/properties" xmlns:ns2="08b28fe2-aad7-446e-968d-b56429c2090b" xmlns:ns3="3bbbe167-487c-408d-acef-8d2427bd1be5" targetNamespace="http://schemas.microsoft.com/office/2006/metadata/properties" ma:root="true" ma:fieldsID="a5341fb8250472aaa169c552ffb5a282" ns2:_="" ns3:_="">
    <xsd:import namespace="08b28fe2-aad7-446e-968d-b56429c2090b"/>
    <xsd:import namespace="3bbbe167-487c-408d-acef-8d2427bd1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8fe2-aad7-446e-968d-b56429c20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30c0f61-5948-43bc-a271-85f0a6a647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be167-487c-408d-acef-8d2427bd1b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1515b0-2a35-4da5-8b7e-44c2b7a78b9d}" ma:internalName="TaxCatchAll" ma:showField="CatchAllData" ma:web="3bbbe167-487c-408d-acef-8d2427bd1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5912A6-50D8-43A0-8E25-3A4EABC01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F8899-0A8E-4BAA-AA7D-3CAE5F53B1F6}">
  <ds:schemaRefs>
    <ds:schemaRef ds:uri="http://schemas.microsoft.com/office/2006/metadata/properties"/>
    <ds:schemaRef ds:uri="http://schemas.microsoft.com/office/infopath/2007/PartnerControls"/>
    <ds:schemaRef ds:uri="08b28fe2-aad7-446e-968d-b56429c2090b"/>
    <ds:schemaRef ds:uri="3bbbe167-487c-408d-acef-8d2427bd1be5"/>
  </ds:schemaRefs>
</ds:datastoreItem>
</file>

<file path=customXml/itemProps3.xml><?xml version="1.0" encoding="utf-8"?>
<ds:datastoreItem xmlns:ds="http://schemas.openxmlformats.org/officeDocument/2006/customXml" ds:itemID="{4B8449D4-5141-40DE-97AE-F7F495DA1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86F4A4-D338-4B94-83BD-9A4E86F4B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28fe2-aad7-446e-968d-b56429c2090b"/>
    <ds:schemaRef ds:uri="3bbbe167-487c-408d-acef-8d2427bd1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11</Pages>
  <Words>4844</Words>
  <Characters>27613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Adekanle</dc:creator>
  <cp:keywords/>
  <dc:description/>
  <cp:lastModifiedBy>Mark Sommerfeld</cp:lastModifiedBy>
  <cp:revision>550</cp:revision>
  <cp:lastPrinted>2024-02-26T11:57:00Z</cp:lastPrinted>
  <dcterms:created xsi:type="dcterms:W3CDTF">2024-02-23T11:38:00Z</dcterms:created>
  <dcterms:modified xsi:type="dcterms:W3CDTF">2024-02-27T10:44:00Z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0x0101002BF67B921FA26845A467BC387B1CB75F</vt:lpwstr>
  </property>
  <property fmtid="{D5CDD505-2E9C-101B-9397-08002B2CF9AE}" pid="3" name="MediaServiceImageTags">
    <vt:lpwstr/>
  </property>
</Properties>
</file>