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9419" w14:textId="3FAAAAF3" w:rsidR="00C53E10" w:rsidRPr="00E7094F" w:rsidRDefault="00510648" w:rsidP="00510648">
      <w:pPr>
        <w:pStyle w:val="Heading1"/>
        <w:jc w:val="center"/>
        <w:rPr>
          <w:sz w:val="28"/>
          <w:szCs w:val="28"/>
        </w:rPr>
      </w:pPr>
      <w:r w:rsidRPr="00E7094F">
        <w:rPr>
          <w:sz w:val="28"/>
          <w:szCs w:val="28"/>
        </w:rPr>
        <w:t>REA consultation response: Transitional support mechanism for large-scale biomass electricity generators</w:t>
      </w:r>
    </w:p>
    <w:p w14:paraId="450F0452" w14:textId="77777777" w:rsidR="00510648" w:rsidRDefault="00510648" w:rsidP="00510648"/>
    <w:p w14:paraId="2B53F643" w14:textId="206A5C03" w:rsidR="00067737" w:rsidRDefault="00067737" w:rsidP="00067737">
      <w:r>
        <w:t>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w:t>
      </w:r>
      <w:r w:rsidR="00080C04">
        <w:t xml:space="preserve"> </w:t>
      </w:r>
      <w:r>
        <w:t xml:space="preserve">energy trade association in the UK. </w:t>
      </w:r>
    </w:p>
    <w:p w14:paraId="2E8E87B3" w14:textId="77777777" w:rsidR="00080C04" w:rsidRDefault="00080C04" w:rsidP="00067737"/>
    <w:p w14:paraId="3BF0F7E8" w14:textId="2E3C6C25" w:rsidR="00DE51BE" w:rsidRDefault="00067737" w:rsidP="00DE51BE">
      <w:r>
        <w:t>Of further relevance to this consultation, the REA represents the largest group of Biomass Power</w:t>
      </w:r>
      <w:r w:rsidR="00080C04">
        <w:t xml:space="preserve"> </w:t>
      </w:r>
      <w:r>
        <w:t xml:space="preserve">operators in the UK through its member forum, Biomass UK. </w:t>
      </w:r>
      <w:r w:rsidR="006835DB">
        <w:t>This inc</w:t>
      </w:r>
      <w:r w:rsidR="00A45D65">
        <w:t xml:space="preserve">ludes large generators </w:t>
      </w:r>
      <w:r w:rsidR="00EF58DB">
        <w:t>(100 MW+)</w:t>
      </w:r>
      <w:r w:rsidR="006D0980">
        <w:t xml:space="preserve"> </w:t>
      </w:r>
      <w:r w:rsidR="00E86E95">
        <w:t>who are looking for</w:t>
      </w:r>
      <w:r w:rsidR="00BE1CAC">
        <w:t xml:space="preserve"> operational</w:t>
      </w:r>
      <w:r w:rsidR="00E86E95">
        <w:t xml:space="preserve"> certainty </w:t>
      </w:r>
      <w:bookmarkStart w:id="0" w:name="_Int_zyC9c0ti"/>
      <w:r w:rsidR="00E86E95">
        <w:t>in order to</w:t>
      </w:r>
      <w:bookmarkEnd w:id="0"/>
      <w:r w:rsidR="00E86E95">
        <w:t xml:space="preserve"> deliver BECCS. </w:t>
      </w:r>
      <w:bookmarkStart w:id="1" w:name="_Int_UsLjlnnY"/>
      <w:r w:rsidR="00E86E95">
        <w:t>Also</w:t>
      </w:r>
      <w:bookmarkEnd w:id="1"/>
      <w:r w:rsidR="00E86E95">
        <w:t xml:space="preserve"> in our membership </w:t>
      </w:r>
      <w:r w:rsidR="00E5238A">
        <w:t>are</w:t>
      </w:r>
      <w:r w:rsidR="00A45D65">
        <w:t xml:space="preserve"> </w:t>
      </w:r>
      <w:r w:rsidR="00DE51BE">
        <w:t>small</w:t>
      </w:r>
      <w:r w:rsidR="00E5238A">
        <w:t xml:space="preserve"> and medium sized</w:t>
      </w:r>
      <w:r w:rsidR="00DE51BE">
        <w:t xml:space="preserve"> decentralised biomass power generators, typically between 15 – 65 MW in capacity. </w:t>
      </w:r>
      <w:r w:rsidR="00395752">
        <w:t xml:space="preserve">Overall, </w:t>
      </w:r>
      <w:r w:rsidR="006D0980">
        <w:t xml:space="preserve">Sub 100 MW </w:t>
      </w:r>
      <w:r w:rsidR="00263073">
        <w:t xml:space="preserve">biomass power </w:t>
      </w:r>
      <w:r w:rsidR="00352635">
        <w:t>sites</w:t>
      </w:r>
      <w:r w:rsidR="00DE51BE">
        <w:t xml:space="preserve"> account for more than 1</w:t>
      </w:r>
      <w:r w:rsidR="00BF002D">
        <w:t>1</w:t>
      </w:r>
      <w:r w:rsidR="00DE51BE">
        <w:t>00 MW of capacity</w:t>
      </w:r>
      <w:r w:rsidR="00E5238A">
        <w:t xml:space="preserve"> in the UK</w:t>
      </w:r>
      <w:r w:rsidR="00DE51BE">
        <w:t>, making a significant contribution to low-carbon energy supplies, while also providing important grid services within the localised distribution electricity grid</w:t>
      </w:r>
      <w:r w:rsidR="002F1056">
        <w:t xml:space="preserve"> and</w:t>
      </w:r>
      <w:r w:rsidR="00821891">
        <w:t>,</w:t>
      </w:r>
      <w:r w:rsidR="002F1056">
        <w:t xml:space="preserve"> in many cases</w:t>
      </w:r>
      <w:r w:rsidR="00821891">
        <w:t>, essential</w:t>
      </w:r>
      <w:r w:rsidR="002F1056">
        <w:t xml:space="preserve"> waste management capacity </w:t>
      </w:r>
      <w:r w:rsidR="00821891">
        <w:t>diverting waste wood and other biogenic waste streams from landfill</w:t>
      </w:r>
      <w:r w:rsidR="00DE51BE">
        <w:t>.</w:t>
      </w:r>
    </w:p>
    <w:p w14:paraId="5B56D7BB" w14:textId="77777777" w:rsidR="00472BB6" w:rsidRPr="00DE51BE" w:rsidRDefault="00472BB6" w:rsidP="00DE51BE"/>
    <w:p w14:paraId="5245A6C6" w14:textId="77777777" w:rsidR="00941EEE" w:rsidRDefault="00941EEE" w:rsidP="00941EEE">
      <w:pPr>
        <w:pStyle w:val="Heading2"/>
        <w:numPr>
          <w:ilvl w:val="0"/>
          <w:numId w:val="39"/>
        </w:numPr>
      </w:pPr>
      <w:r w:rsidRPr="00941EEE">
        <w:t>Do you think the government should intervene to create a support mechanism to help biomass generators transition to power BECCS?</w:t>
      </w:r>
    </w:p>
    <w:p w14:paraId="276CE02E" w14:textId="77777777" w:rsidR="00941EEE" w:rsidRDefault="00941EEE" w:rsidP="00941EEE">
      <w:pPr>
        <w:pStyle w:val="ListParagraph"/>
      </w:pPr>
    </w:p>
    <w:p w14:paraId="204C0FB0" w14:textId="2BFE367D" w:rsidR="00BC0371" w:rsidRDefault="00A7312F" w:rsidP="00BC0371">
      <w:r>
        <w:t xml:space="preserve">Yes, </w:t>
      </w:r>
      <w:r w:rsidR="006708D6">
        <w:t>the REA believes government should create a mechanism to support biomass generators transition to power BECCS</w:t>
      </w:r>
      <w:r w:rsidR="00AF76A2">
        <w:t xml:space="preserve">. Without such </w:t>
      </w:r>
      <w:r w:rsidR="0072739B">
        <w:t>support</w:t>
      </w:r>
      <w:r w:rsidR="00AF76A2">
        <w:t xml:space="preserve">, </w:t>
      </w:r>
      <w:r w:rsidR="0072739B">
        <w:t>meeting</w:t>
      </w:r>
      <w:r w:rsidR="00D61757">
        <w:t xml:space="preserve"> our carbon budgets and net zero targets, protect</w:t>
      </w:r>
      <w:r w:rsidR="0072739B">
        <w:t>ing</w:t>
      </w:r>
      <w:r w:rsidR="00D61757">
        <w:t xml:space="preserve"> </w:t>
      </w:r>
      <w:r w:rsidR="00D61757" w:rsidRPr="00C320BB">
        <w:rPr>
          <w:rFonts w:asciiTheme="minorHAnsi" w:hAnsiTheme="minorHAnsi" w:cstheme="minorHAnsi"/>
        </w:rPr>
        <w:t>jobs, and ensur</w:t>
      </w:r>
      <w:r w:rsidR="0072739B" w:rsidRPr="00C320BB">
        <w:rPr>
          <w:rFonts w:asciiTheme="minorHAnsi" w:hAnsiTheme="minorHAnsi" w:cstheme="minorHAnsi"/>
        </w:rPr>
        <w:t>ing</w:t>
      </w:r>
      <w:r w:rsidR="00D61757" w:rsidRPr="00C320BB">
        <w:rPr>
          <w:rFonts w:asciiTheme="minorHAnsi" w:hAnsiTheme="minorHAnsi" w:cstheme="minorHAnsi"/>
        </w:rPr>
        <w:t xml:space="preserve"> assets remain operationally viable</w:t>
      </w:r>
      <w:r w:rsidR="0072739B" w:rsidRPr="00C320BB">
        <w:rPr>
          <w:rFonts w:asciiTheme="minorHAnsi" w:hAnsiTheme="minorHAnsi" w:cstheme="minorHAnsi"/>
        </w:rPr>
        <w:t xml:space="preserve"> will </w:t>
      </w:r>
      <w:r w:rsidR="002075EA" w:rsidRPr="00C320BB">
        <w:rPr>
          <w:rFonts w:asciiTheme="minorHAnsi" w:hAnsiTheme="minorHAnsi" w:cstheme="minorHAnsi"/>
        </w:rPr>
        <w:t>be extremely difficult</w:t>
      </w:r>
      <w:r w:rsidR="00D61757" w:rsidRPr="00C320BB">
        <w:rPr>
          <w:rFonts w:asciiTheme="minorHAnsi" w:hAnsiTheme="minorHAnsi" w:cstheme="minorHAnsi"/>
        </w:rPr>
        <w:t xml:space="preserve">. </w:t>
      </w:r>
      <w:r w:rsidR="00BC0371" w:rsidRPr="00C320BB">
        <w:rPr>
          <w:rFonts w:asciiTheme="minorHAnsi" w:hAnsiTheme="minorHAnsi" w:cstheme="minorHAnsi"/>
        </w:rPr>
        <w:t>Ongoing delays to nuclear projects</w:t>
      </w:r>
      <w:r w:rsidR="008D00F3" w:rsidRPr="00C320BB">
        <w:rPr>
          <w:rFonts w:asciiTheme="minorHAnsi" w:hAnsiTheme="minorHAnsi" w:cstheme="minorHAnsi"/>
        </w:rPr>
        <w:t xml:space="preserve"> further</w:t>
      </w:r>
      <w:r w:rsidR="00BC0371" w:rsidRPr="00C320BB">
        <w:rPr>
          <w:rFonts w:asciiTheme="minorHAnsi" w:hAnsiTheme="minorHAnsi" w:cstheme="minorHAnsi"/>
        </w:rPr>
        <w:t xml:space="preserve"> </w:t>
      </w:r>
      <w:r w:rsidR="00431D90" w:rsidRPr="00C320BB">
        <w:rPr>
          <w:rFonts w:asciiTheme="minorHAnsi" w:hAnsiTheme="minorHAnsi" w:cstheme="minorHAnsi"/>
        </w:rPr>
        <w:t xml:space="preserve">underline the importance of </w:t>
      </w:r>
      <w:r w:rsidR="00BC0371" w:rsidRPr="00C320BB">
        <w:rPr>
          <w:rFonts w:asciiTheme="minorHAnsi" w:hAnsiTheme="minorHAnsi" w:cstheme="minorHAnsi"/>
        </w:rPr>
        <w:t>maintaining critical low carbon generation</w:t>
      </w:r>
      <w:r w:rsidR="00077A78" w:rsidRPr="00C320BB">
        <w:rPr>
          <w:rFonts w:asciiTheme="minorHAnsi" w:hAnsiTheme="minorHAnsi" w:cstheme="minorHAnsi"/>
        </w:rPr>
        <w:t xml:space="preserve">, </w:t>
      </w:r>
      <w:r w:rsidR="001465CD" w:rsidRPr="00C320BB">
        <w:rPr>
          <w:rFonts w:asciiTheme="minorHAnsi" w:hAnsiTheme="minorHAnsi" w:cstheme="minorHAnsi"/>
        </w:rPr>
        <w:t>supporting energy</w:t>
      </w:r>
      <w:r w:rsidR="00BC0371" w:rsidRPr="00C320BB">
        <w:rPr>
          <w:rFonts w:asciiTheme="minorHAnsi" w:hAnsiTheme="minorHAnsi" w:cstheme="minorHAnsi"/>
        </w:rPr>
        <w:t xml:space="preserve"> </w:t>
      </w:r>
      <w:r w:rsidR="001465CD" w:rsidRPr="00C320BB">
        <w:rPr>
          <w:rFonts w:asciiTheme="minorHAnsi" w:hAnsiTheme="minorHAnsi" w:cstheme="minorHAnsi"/>
        </w:rPr>
        <w:t>security,</w:t>
      </w:r>
      <w:r w:rsidR="00077A78" w:rsidRPr="00C320BB">
        <w:rPr>
          <w:rFonts w:asciiTheme="minorHAnsi" w:hAnsiTheme="minorHAnsi" w:cstheme="minorHAnsi"/>
        </w:rPr>
        <w:t xml:space="preserve"> and keeping consumer costs down – something biomass </w:t>
      </w:r>
      <w:r w:rsidR="00114840" w:rsidRPr="00C320BB">
        <w:rPr>
          <w:rFonts w:asciiTheme="minorHAnsi" w:hAnsiTheme="minorHAnsi" w:cstheme="minorHAnsi"/>
        </w:rPr>
        <w:t xml:space="preserve">power </w:t>
      </w:r>
      <w:r w:rsidR="00077A78" w:rsidRPr="00C320BB">
        <w:rPr>
          <w:rFonts w:asciiTheme="minorHAnsi" w:hAnsiTheme="minorHAnsi" w:cstheme="minorHAnsi"/>
        </w:rPr>
        <w:t>can deliver</w:t>
      </w:r>
      <w:r w:rsidR="00BC0371" w:rsidRPr="00C320BB">
        <w:rPr>
          <w:rFonts w:asciiTheme="minorHAnsi" w:hAnsiTheme="minorHAnsi" w:cstheme="minorHAnsi"/>
        </w:rPr>
        <w:t xml:space="preserve">. </w:t>
      </w:r>
      <w:r w:rsidR="00EF78AE" w:rsidRPr="00C320BB">
        <w:rPr>
          <w:rFonts w:asciiTheme="minorHAnsi" w:hAnsiTheme="minorHAnsi" w:cstheme="minorHAnsi"/>
        </w:rPr>
        <w:t xml:space="preserve">Further, we know that </w:t>
      </w:r>
      <w:r w:rsidR="00DE7395" w:rsidRPr="00C320BB">
        <w:rPr>
          <w:rFonts w:asciiTheme="minorHAnsi" w:hAnsiTheme="minorHAnsi" w:cstheme="minorHAnsi"/>
        </w:rPr>
        <w:t>to</w:t>
      </w:r>
      <w:r w:rsidR="00EF78AE" w:rsidRPr="00C320BB">
        <w:rPr>
          <w:rFonts w:asciiTheme="minorHAnsi" w:hAnsiTheme="minorHAnsi" w:cstheme="minorHAnsi"/>
        </w:rPr>
        <w:t xml:space="preserve"> get to net zero, negative emissions technolog</w:t>
      </w:r>
      <w:r w:rsidR="0040416E" w:rsidRPr="00C320BB">
        <w:rPr>
          <w:rFonts w:asciiTheme="minorHAnsi" w:hAnsiTheme="minorHAnsi" w:cstheme="minorHAnsi"/>
        </w:rPr>
        <w:t>y is needed</w:t>
      </w:r>
      <w:r w:rsidR="006A14E5" w:rsidRPr="00C320BB">
        <w:rPr>
          <w:rFonts w:asciiTheme="minorHAnsi" w:hAnsiTheme="minorHAnsi" w:cstheme="minorHAnsi"/>
        </w:rPr>
        <w:t>, hence the importance of en</w:t>
      </w:r>
      <w:r w:rsidR="000E381E" w:rsidRPr="00C320BB">
        <w:rPr>
          <w:rFonts w:asciiTheme="minorHAnsi" w:hAnsiTheme="minorHAnsi" w:cstheme="minorHAnsi"/>
        </w:rPr>
        <w:t>suring biomass can transition to BECCS</w:t>
      </w:r>
      <w:r w:rsidR="00F92341" w:rsidRPr="00C320BB">
        <w:rPr>
          <w:rFonts w:asciiTheme="minorHAnsi" w:hAnsiTheme="minorHAnsi" w:cstheme="minorHAnsi"/>
        </w:rPr>
        <w:t xml:space="preserve"> in a timely way</w:t>
      </w:r>
      <w:r w:rsidR="00DB0144" w:rsidRPr="00C320BB">
        <w:rPr>
          <w:rFonts w:asciiTheme="minorHAnsi" w:hAnsiTheme="minorHAnsi" w:cstheme="minorHAnsi"/>
        </w:rPr>
        <w:t xml:space="preserve">, </w:t>
      </w:r>
      <w:r w:rsidR="00F92341" w:rsidRPr="00C320BB">
        <w:rPr>
          <w:rFonts w:asciiTheme="minorHAnsi" w:hAnsiTheme="minorHAnsi" w:cstheme="minorHAnsi"/>
        </w:rPr>
        <w:t>an</w:t>
      </w:r>
      <w:r w:rsidR="009C0E7C" w:rsidRPr="00C320BB">
        <w:rPr>
          <w:rFonts w:asciiTheme="minorHAnsi" w:hAnsiTheme="minorHAnsi" w:cstheme="minorHAnsi"/>
        </w:rPr>
        <w:t>d</w:t>
      </w:r>
      <w:r w:rsidR="00F92341" w:rsidRPr="00C320BB">
        <w:rPr>
          <w:rFonts w:asciiTheme="minorHAnsi" w:hAnsiTheme="minorHAnsi" w:cstheme="minorHAnsi"/>
        </w:rPr>
        <w:t xml:space="preserve"> start delivering</w:t>
      </w:r>
      <w:r w:rsidR="009C0E7C" w:rsidRPr="00C320BB">
        <w:rPr>
          <w:rFonts w:asciiTheme="minorHAnsi" w:hAnsiTheme="minorHAnsi" w:cstheme="minorHAnsi"/>
        </w:rPr>
        <w:t xml:space="preserve"> those critical</w:t>
      </w:r>
      <w:r w:rsidR="00F92341" w:rsidRPr="00C320BB">
        <w:rPr>
          <w:rFonts w:asciiTheme="minorHAnsi" w:hAnsiTheme="minorHAnsi" w:cstheme="minorHAnsi"/>
        </w:rPr>
        <w:t xml:space="preserve"> negative emissions</w:t>
      </w:r>
      <w:r w:rsidR="00433933" w:rsidRPr="00C320BB">
        <w:rPr>
          <w:rFonts w:asciiTheme="minorHAnsi" w:hAnsiTheme="minorHAnsi" w:cstheme="minorHAnsi"/>
        </w:rPr>
        <w:t xml:space="preserve">. This is also aligned with net zero scenarios from the Climate Change Committee (CCC), the International Energy Agency (IEA) and UN IPCC who all identify a critical role for BECCS in delivering carbon removals and enabling the delivery of net zero. </w:t>
      </w:r>
      <w:r w:rsidR="007935E4" w:rsidRPr="00C320BB">
        <w:rPr>
          <w:rFonts w:asciiTheme="minorHAnsi" w:hAnsiTheme="minorHAnsi" w:cstheme="minorHAnsi"/>
        </w:rPr>
        <w:t xml:space="preserve">For these reasons, </w:t>
      </w:r>
      <w:r w:rsidR="00077A78" w:rsidRPr="00C320BB">
        <w:rPr>
          <w:rFonts w:asciiTheme="minorHAnsi" w:hAnsiTheme="minorHAnsi" w:cstheme="minorHAnsi"/>
        </w:rPr>
        <w:t xml:space="preserve">any mechanism designed as </w:t>
      </w:r>
      <w:r w:rsidR="0093097F" w:rsidRPr="00C320BB">
        <w:rPr>
          <w:rFonts w:asciiTheme="minorHAnsi" w:hAnsiTheme="minorHAnsi" w:cstheme="minorHAnsi"/>
        </w:rPr>
        <w:t xml:space="preserve">a bridge to BECCS must </w:t>
      </w:r>
      <w:r w:rsidR="00C459FD" w:rsidRPr="00C320BB">
        <w:rPr>
          <w:rFonts w:asciiTheme="minorHAnsi" w:hAnsiTheme="minorHAnsi" w:cstheme="minorHAnsi"/>
        </w:rPr>
        <w:t>have a focus on maintaining</w:t>
      </w:r>
      <w:r w:rsidR="0093097F" w:rsidRPr="00C320BB">
        <w:rPr>
          <w:rFonts w:asciiTheme="minorHAnsi" w:hAnsiTheme="minorHAnsi" w:cstheme="minorHAnsi"/>
        </w:rPr>
        <w:t xml:space="preserve"> generation</w:t>
      </w:r>
      <w:r w:rsidR="00FB27A3" w:rsidRPr="00C320BB">
        <w:rPr>
          <w:rFonts w:asciiTheme="minorHAnsi" w:hAnsiTheme="minorHAnsi" w:cstheme="minorHAnsi"/>
        </w:rPr>
        <w:t xml:space="preserve"> capacity </w:t>
      </w:r>
      <w:r w:rsidR="00C459FD" w:rsidRPr="00C320BB">
        <w:rPr>
          <w:rFonts w:asciiTheme="minorHAnsi" w:hAnsiTheme="minorHAnsi" w:cstheme="minorHAnsi"/>
        </w:rPr>
        <w:t>at its core.</w:t>
      </w:r>
      <w:r w:rsidR="00C459FD">
        <w:t xml:space="preserve"> </w:t>
      </w:r>
    </w:p>
    <w:p w14:paraId="78EA836B" w14:textId="77777777" w:rsidR="00BC0371" w:rsidRDefault="00BC0371" w:rsidP="00BC0371"/>
    <w:p w14:paraId="3BF7822F" w14:textId="7B771B9A" w:rsidR="00965908" w:rsidRDefault="000D0392" w:rsidP="00965908">
      <w:r>
        <w:t>Most biomass power assets in the UK were originally supported under the Renewable Obligation (RO),</w:t>
      </w:r>
      <w:r w:rsidR="00D5433F">
        <w:t xml:space="preserve"> with many of</w:t>
      </w:r>
      <w:r>
        <w:t xml:space="preserve"> these</w:t>
      </w:r>
      <w:r w:rsidR="00965908">
        <w:t xml:space="preserve"> contracts</w:t>
      </w:r>
      <w:r w:rsidR="009158A6">
        <w:t xml:space="preserve"> </w:t>
      </w:r>
      <w:proofErr w:type="gramStart"/>
      <w:r w:rsidR="00B6083A">
        <w:t>c</w:t>
      </w:r>
      <w:r>
        <w:t>om</w:t>
      </w:r>
      <w:r w:rsidR="00B6083A">
        <w:t>ing</w:t>
      </w:r>
      <w:r>
        <w:t xml:space="preserve"> </w:t>
      </w:r>
      <w:r w:rsidR="00965908">
        <w:t>to an end</w:t>
      </w:r>
      <w:proofErr w:type="gramEnd"/>
      <w:r w:rsidR="00965908">
        <w:t xml:space="preserve"> in 2027</w:t>
      </w:r>
      <w:r>
        <w:t xml:space="preserve">. </w:t>
      </w:r>
      <w:r w:rsidR="00E627E8">
        <w:t xml:space="preserve">As a result of </w:t>
      </w:r>
      <w:r w:rsidR="00E21040">
        <w:t xml:space="preserve">delays beyond the control of BECCS developers – </w:t>
      </w:r>
      <w:r w:rsidR="00834B4A">
        <w:t xml:space="preserve">for example </w:t>
      </w:r>
      <w:r w:rsidR="00216359">
        <w:t>policy</w:t>
      </w:r>
      <w:r w:rsidR="00AD73AD">
        <w:t xml:space="preserve"> delays</w:t>
      </w:r>
      <w:r w:rsidR="00CE4B2C">
        <w:t xml:space="preserve"> for supportive business </w:t>
      </w:r>
      <w:r w:rsidR="00537F1F">
        <w:t>models</w:t>
      </w:r>
      <w:r w:rsidR="00216359">
        <w:t xml:space="preserve">, </w:t>
      </w:r>
      <w:r w:rsidR="00D2429A">
        <w:t xml:space="preserve">delays in the build of </w:t>
      </w:r>
      <w:r w:rsidR="00E21040">
        <w:t>carbon storage facilities</w:t>
      </w:r>
      <w:r w:rsidR="00B36195">
        <w:t xml:space="preserve"> and </w:t>
      </w:r>
      <w:r w:rsidR="00537F1F">
        <w:t xml:space="preserve">the need to establish </w:t>
      </w:r>
      <w:r w:rsidR="00D525D7">
        <w:t>transport and storage (T&amp;S) networks</w:t>
      </w:r>
      <w:r w:rsidR="005F5720">
        <w:t xml:space="preserve"> - </w:t>
      </w:r>
      <w:r w:rsidR="00217521">
        <w:t xml:space="preserve">biomass power sites suitable for retrofitting with BECCS </w:t>
      </w:r>
      <w:r w:rsidR="00400500">
        <w:t xml:space="preserve">are unlikely to be delivered until 2030 onwards, leaving a gap </w:t>
      </w:r>
      <w:r w:rsidR="004A51B1">
        <w:t>between the</w:t>
      </w:r>
      <w:r w:rsidR="00400500">
        <w:t xml:space="preserve"> current RO contracts end</w:t>
      </w:r>
      <w:r w:rsidR="004A51B1">
        <w:t xml:space="preserve">ing </w:t>
      </w:r>
      <w:r w:rsidR="00400500">
        <w:t>in 2027 and the first BECCS units com</w:t>
      </w:r>
      <w:r w:rsidR="004A51B1">
        <w:t>ing</w:t>
      </w:r>
      <w:r w:rsidR="00400500">
        <w:t xml:space="preserve"> online. </w:t>
      </w:r>
      <w:r w:rsidR="00E8421B">
        <w:t xml:space="preserve">Failure to provide transitional arrangements would see these generation assets closed or mothballed. This would undermine </w:t>
      </w:r>
      <w:r w:rsidR="00794211">
        <w:t>the UK’s ability</w:t>
      </w:r>
      <w:r w:rsidR="002A5A91">
        <w:t xml:space="preserve"> to meet decarbonisation targets, as well as disrupt supply chains that are needed to see negative emissions realised. Once shut down, the UK w</w:t>
      </w:r>
      <w:r w:rsidR="00A163BC">
        <w:t>ould</w:t>
      </w:r>
      <w:r w:rsidR="002A5A91">
        <w:t xml:space="preserve"> </w:t>
      </w:r>
      <w:r w:rsidR="003D47B6">
        <w:t xml:space="preserve">find it difficult and expensive to then restart global biomass supply chains </w:t>
      </w:r>
      <w:r w:rsidR="00794211">
        <w:t>or</w:t>
      </w:r>
      <w:r w:rsidR="003D47B6">
        <w:t xml:space="preserve"> </w:t>
      </w:r>
      <w:r w:rsidR="00B02366">
        <w:t xml:space="preserve">attract investment for </w:t>
      </w:r>
      <w:r w:rsidR="00C14A52">
        <w:t>negative emissions</w:t>
      </w:r>
      <w:r w:rsidR="003D47B6">
        <w:t>. Given the need for BECCS</w:t>
      </w:r>
      <w:r w:rsidR="00794211">
        <w:t xml:space="preserve">, keeping existing generation assets operational until BECCS is delivered is the </w:t>
      </w:r>
      <w:r w:rsidR="635AFF0A">
        <w:t>cost-effective</w:t>
      </w:r>
      <w:r w:rsidR="00330A9C">
        <w:t xml:space="preserve"> route to realising net zero. </w:t>
      </w:r>
    </w:p>
    <w:p w14:paraId="613B232E" w14:textId="214A2177" w:rsidR="00FC29F6" w:rsidRDefault="00FC29F6" w:rsidP="00E7094F"/>
    <w:p w14:paraId="190C2FFB" w14:textId="51C2F9E8" w:rsidR="00026B28" w:rsidRDefault="00330A9C" w:rsidP="00E7094F">
      <w:r>
        <w:t xml:space="preserve">However, </w:t>
      </w:r>
      <w:r w:rsidR="00C14A52">
        <w:t>s</w:t>
      </w:r>
      <w:r>
        <w:t>ub 100 MW o</w:t>
      </w:r>
      <w:r w:rsidR="00602FDB">
        <w:t>perators</w:t>
      </w:r>
      <w:r>
        <w:t xml:space="preserve"> also</w:t>
      </w:r>
      <w:r w:rsidR="00602FDB">
        <w:t xml:space="preserve"> need</w:t>
      </w:r>
      <w:r w:rsidR="00BE5263">
        <w:t xml:space="preserve"> </w:t>
      </w:r>
      <w:r w:rsidR="00602FDB">
        <w:t xml:space="preserve">confidence that </w:t>
      </w:r>
      <w:r w:rsidR="00BE5263">
        <w:t xml:space="preserve">government will keep low carbon generation assets </w:t>
      </w:r>
      <w:r w:rsidR="001903FE">
        <w:t>generating</w:t>
      </w:r>
      <w:r>
        <w:t>. W</w:t>
      </w:r>
      <w:r w:rsidR="0033150E">
        <w:t xml:space="preserve">hile </w:t>
      </w:r>
      <w:r w:rsidR="00610D7B">
        <w:t xml:space="preserve">we are pleased </w:t>
      </w:r>
      <w:r w:rsidR="00AB792D">
        <w:t xml:space="preserve">that </w:t>
      </w:r>
      <w:r w:rsidR="00610D7B">
        <w:t>government has launched this consultation</w:t>
      </w:r>
      <w:r>
        <w:t xml:space="preserve"> and are very supportive of seeing transitional arrangements delivered for large-scale biomass </w:t>
      </w:r>
      <w:r>
        <w:lastRenderedPageBreak/>
        <w:t>projects,</w:t>
      </w:r>
      <w:r w:rsidR="00610D7B">
        <w:t xml:space="preserve"> </w:t>
      </w:r>
      <w:r>
        <w:t>government also need</w:t>
      </w:r>
      <w:r w:rsidR="00F460C6">
        <w:t>s</w:t>
      </w:r>
      <w:r>
        <w:t xml:space="preserve"> to provide confidence to </w:t>
      </w:r>
      <w:r w:rsidR="00BD06A5">
        <w:t>generators of all sizes</w:t>
      </w:r>
      <w:r w:rsidR="003519ED">
        <w:t>, particularly given their combined c</w:t>
      </w:r>
      <w:r w:rsidR="00296937">
        <w:t>ontribution to low carbon energy supplies, as set out above.</w:t>
      </w:r>
      <w:r w:rsidR="008A55BE">
        <w:t xml:space="preserve"> This could be </w:t>
      </w:r>
      <w:r w:rsidR="00115C50">
        <w:t>achieved</w:t>
      </w:r>
      <w:r w:rsidR="008A55BE">
        <w:t xml:space="preserve"> by</w:t>
      </w:r>
      <w:r w:rsidR="00115C50">
        <w:t xml:space="preserve"> extending the proposed eligibility criteria to </w:t>
      </w:r>
      <w:r w:rsidR="00730A55">
        <w:t xml:space="preserve">sub </w:t>
      </w:r>
      <w:r w:rsidR="00115C50">
        <w:t>100 MW</w:t>
      </w:r>
      <w:r w:rsidR="005402D7">
        <w:t xml:space="preserve"> biomass</w:t>
      </w:r>
      <w:r w:rsidR="00115C50">
        <w:t xml:space="preserve"> generation. </w:t>
      </w:r>
      <w:r w:rsidR="00CC6E92">
        <w:t xml:space="preserve">We understand </w:t>
      </w:r>
      <w:r w:rsidR="002E4FDF">
        <w:t xml:space="preserve">that timely intervention is needed, </w:t>
      </w:r>
      <w:r w:rsidR="0088662E">
        <w:t xml:space="preserve">so </w:t>
      </w:r>
      <w:r w:rsidR="00496906">
        <w:t xml:space="preserve">pursuing an option that can be </w:t>
      </w:r>
      <w:r w:rsidR="0088662E">
        <w:t>easily</w:t>
      </w:r>
      <w:r w:rsidR="00496906">
        <w:t xml:space="preserve"> </w:t>
      </w:r>
      <w:r w:rsidR="0088662E">
        <w:t xml:space="preserve">and efficiently rolled out is important. </w:t>
      </w:r>
      <w:r w:rsidR="00471631">
        <w:t>W</w:t>
      </w:r>
      <w:r w:rsidR="005C3072">
        <w:t>hile</w:t>
      </w:r>
      <w:r w:rsidR="00711531">
        <w:t xml:space="preserve"> we </w:t>
      </w:r>
      <w:r w:rsidR="005C3072">
        <w:t>do</w:t>
      </w:r>
      <w:r w:rsidR="00711531">
        <w:t xml:space="preserve"> not want </w:t>
      </w:r>
      <w:r w:rsidR="005C3072">
        <w:t>potential eligibility</w:t>
      </w:r>
      <w:r w:rsidR="00711531">
        <w:t xml:space="preserve"> changes to cause further delays, </w:t>
      </w:r>
      <w:r w:rsidR="0070373F">
        <w:t xml:space="preserve">small and medium sized generators need the same guarantees of support, to enable them to make </w:t>
      </w:r>
      <w:r w:rsidR="00471631">
        <w:t xml:space="preserve">critical investment decisions to </w:t>
      </w:r>
      <w:r w:rsidR="008342F4">
        <w:t xml:space="preserve">enable investment decisions </w:t>
      </w:r>
      <w:r w:rsidR="00B02366">
        <w:t>so that capacity is maintained, and where possible</w:t>
      </w:r>
      <w:r w:rsidR="0067464F">
        <w:t>,</w:t>
      </w:r>
      <w:r w:rsidR="00B02366">
        <w:t xml:space="preserve"> a </w:t>
      </w:r>
      <w:r w:rsidR="00471631">
        <w:t>transition to BECCS</w:t>
      </w:r>
      <w:r w:rsidR="00B02366">
        <w:t xml:space="preserve"> is delivered</w:t>
      </w:r>
      <w:r w:rsidR="00471631">
        <w:t xml:space="preserve">. </w:t>
      </w:r>
    </w:p>
    <w:p w14:paraId="01E918CC" w14:textId="77777777" w:rsidR="00FC29F6" w:rsidRDefault="00FC29F6" w:rsidP="009B3EA2">
      <w:pPr>
        <w:pStyle w:val="Heading2"/>
      </w:pPr>
    </w:p>
    <w:p w14:paraId="7C0A61BD" w14:textId="35547C02" w:rsidR="009B3EA2" w:rsidRDefault="009B3EA2" w:rsidP="009B3EA2">
      <w:pPr>
        <w:pStyle w:val="Heading2"/>
        <w:numPr>
          <w:ilvl w:val="0"/>
          <w:numId w:val="39"/>
        </w:numPr>
      </w:pPr>
      <w:r w:rsidRPr="009B3EA2">
        <w:t>Do you agree with the success factors we have identified?</w:t>
      </w:r>
    </w:p>
    <w:p w14:paraId="6A3E04EC" w14:textId="77777777" w:rsidR="00594940" w:rsidRDefault="00594940" w:rsidP="009B3EA2"/>
    <w:p w14:paraId="559308AB" w14:textId="197DEB95" w:rsidR="009219FD" w:rsidRDefault="00D80B17" w:rsidP="009B3EA2">
      <w:r>
        <w:t>Broadly,</w:t>
      </w:r>
      <w:r w:rsidR="00557BD1">
        <w:t xml:space="preserve"> yes. </w:t>
      </w:r>
      <w:r w:rsidR="006571AA">
        <w:t>However,</w:t>
      </w:r>
      <w:r w:rsidR="00BF6284">
        <w:t xml:space="preserve"> we believe</w:t>
      </w:r>
      <w:r w:rsidR="006571AA">
        <w:t xml:space="preserve"> that </w:t>
      </w:r>
      <w:r w:rsidR="00F01F05">
        <w:t>there should be explicit reference to maintaining</w:t>
      </w:r>
      <w:r w:rsidR="0053113B">
        <w:t xml:space="preserve"> biomass</w:t>
      </w:r>
      <w:r w:rsidR="00F01F05">
        <w:t xml:space="preserve"> generation, not just </w:t>
      </w:r>
      <w:r w:rsidR="004F3009">
        <w:t>capacity</w:t>
      </w:r>
      <w:r w:rsidR="00B51EBC">
        <w:t xml:space="preserve"> </w:t>
      </w:r>
      <w:r w:rsidR="00FC3503">
        <w:t>within the success factors.</w:t>
      </w:r>
      <w:r w:rsidR="00E41081">
        <w:t xml:space="preserve"> There are </w:t>
      </w:r>
      <w:r w:rsidR="001B6238">
        <w:t>several</w:t>
      </w:r>
      <w:r w:rsidR="00E41081">
        <w:t xml:space="preserve"> reasons for this. Firstly, i</w:t>
      </w:r>
      <w:r w:rsidR="005A17C8">
        <w:t>n</w:t>
      </w:r>
      <w:r w:rsidR="00E41081">
        <w:t xml:space="preserve"> the</w:t>
      </w:r>
      <w:r w:rsidR="005A17C8">
        <w:t xml:space="preserve"> absence of biomass generati</w:t>
      </w:r>
      <w:r w:rsidR="00E41081">
        <w:t>on</w:t>
      </w:r>
      <w:r w:rsidR="009F7D01">
        <w:t xml:space="preserve"> the UK </w:t>
      </w:r>
      <w:r w:rsidR="00AD0205">
        <w:t>w</w:t>
      </w:r>
      <w:r w:rsidR="00FC3503">
        <w:t>ould</w:t>
      </w:r>
      <w:r w:rsidR="00183B19">
        <w:t>, in the short term,</w:t>
      </w:r>
      <w:r w:rsidR="00AD0205">
        <w:t xml:space="preserve"> </w:t>
      </w:r>
      <w:r w:rsidR="006F7D6A">
        <w:t xml:space="preserve">increase its reliance on gas generation </w:t>
      </w:r>
      <w:r w:rsidR="00730339">
        <w:t>reduc</w:t>
      </w:r>
      <w:r w:rsidR="00605D9A">
        <w:t>ing</w:t>
      </w:r>
      <w:r w:rsidR="00730339">
        <w:t xml:space="preserve"> the resilience of the energy system, impact</w:t>
      </w:r>
      <w:r w:rsidR="00605D9A">
        <w:t>ing</w:t>
      </w:r>
      <w:r w:rsidR="00730339">
        <w:t xml:space="preserve"> </w:t>
      </w:r>
      <w:r w:rsidR="00605D9A">
        <w:t>carbon,</w:t>
      </w:r>
      <w:r w:rsidR="00615D81">
        <w:t xml:space="preserve"> and </w:t>
      </w:r>
      <w:r w:rsidR="009F7D01">
        <w:t xml:space="preserve">potentially </w:t>
      </w:r>
      <w:r w:rsidR="00615D81">
        <w:t>expos</w:t>
      </w:r>
      <w:r w:rsidR="00605D9A">
        <w:t>ing</w:t>
      </w:r>
      <w:r w:rsidR="00615D81">
        <w:t xml:space="preserve"> consumers to </w:t>
      </w:r>
      <w:r w:rsidR="009F7D01">
        <w:t>higher prices</w:t>
      </w:r>
      <w:r w:rsidR="00615D81">
        <w:t xml:space="preserve">. </w:t>
      </w:r>
    </w:p>
    <w:p w14:paraId="48E73765" w14:textId="77777777" w:rsidR="009219FD" w:rsidRDefault="009219FD" w:rsidP="009B3EA2"/>
    <w:p w14:paraId="67F5F6A2" w14:textId="77777777" w:rsidR="009219FD" w:rsidRDefault="00615D81" w:rsidP="009B3EA2">
      <w:r>
        <w:t xml:space="preserve">Secondly, </w:t>
      </w:r>
      <w:r w:rsidR="006028AE">
        <w:t xml:space="preserve">if </w:t>
      </w:r>
      <w:r w:rsidR="00A87F84">
        <w:t xml:space="preserve">the ambition is to </w:t>
      </w:r>
      <w:r w:rsidR="002A45A5">
        <w:t>deliver</w:t>
      </w:r>
      <w:r w:rsidR="00A87F84">
        <w:t xml:space="preserve"> </w:t>
      </w:r>
      <w:r w:rsidR="001E70C0">
        <w:t xml:space="preserve">power </w:t>
      </w:r>
      <w:r w:rsidR="00A87F84">
        <w:t xml:space="preserve">BECCS </w:t>
      </w:r>
      <w:r w:rsidR="00DC03F3">
        <w:t xml:space="preserve">and </w:t>
      </w:r>
      <w:r w:rsidR="00BE6CC6">
        <w:t>achieve</w:t>
      </w:r>
      <w:r w:rsidR="00A774F0">
        <w:t xml:space="preserve"> high reliability, high load factor</w:t>
      </w:r>
      <w:r w:rsidR="00732624">
        <w:t xml:space="preserve">, </w:t>
      </w:r>
      <w:r w:rsidR="002646AE">
        <w:t xml:space="preserve">high </w:t>
      </w:r>
      <w:r w:rsidR="003D58A1">
        <w:t>availability,</w:t>
      </w:r>
      <w:r w:rsidR="00732624">
        <w:t xml:space="preserve"> and negative emissions from biomass power, the</w:t>
      </w:r>
      <w:r w:rsidR="004D2AE8">
        <w:t xml:space="preserve">n the </w:t>
      </w:r>
      <w:r w:rsidR="00732624">
        <w:t>bridging mechanis</w:t>
      </w:r>
      <w:r w:rsidR="004D2AE8">
        <w:t xml:space="preserve">m </w:t>
      </w:r>
      <w:r w:rsidR="00E539B4">
        <w:t>should</w:t>
      </w:r>
      <w:r w:rsidR="004D2AE8">
        <w:t xml:space="preserve"> </w:t>
      </w:r>
      <w:r w:rsidR="00732624">
        <w:t>encourage generation</w:t>
      </w:r>
      <w:r w:rsidR="004D2AE8">
        <w:t xml:space="preserve"> </w:t>
      </w:r>
      <w:r w:rsidR="006204EF">
        <w:t>as this will</w:t>
      </w:r>
      <w:r w:rsidR="00E539B4">
        <w:t xml:space="preserve"> e</w:t>
      </w:r>
      <w:r w:rsidR="00732624">
        <w:t>nsur</w:t>
      </w:r>
      <w:r w:rsidR="00E539B4">
        <w:t xml:space="preserve">e </w:t>
      </w:r>
      <w:r w:rsidR="00732624">
        <w:t xml:space="preserve">the </w:t>
      </w:r>
      <w:r w:rsidR="00521C3E">
        <w:t xml:space="preserve">integrity of the asset remains </w:t>
      </w:r>
      <w:r w:rsidR="004D2AE8">
        <w:t>suitable and ready for power BECCS from 2030 onwards.</w:t>
      </w:r>
      <w:r w:rsidR="00521C3E">
        <w:t xml:space="preserve"> </w:t>
      </w:r>
    </w:p>
    <w:p w14:paraId="1213EED4" w14:textId="77777777" w:rsidR="009219FD" w:rsidRDefault="009219FD" w:rsidP="009B3EA2"/>
    <w:p w14:paraId="386E0128" w14:textId="3CBE3A93" w:rsidR="004919EF" w:rsidRDefault="00910799" w:rsidP="009B3EA2">
      <w:r>
        <w:t>Thirdly, if the mechanis</w:t>
      </w:r>
      <w:r w:rsidR="00B21046">
        <w:t>m fails to</w:t>
      </w:r>
      <w:r>
        <w:t xml:space="preserve"> incentivise</w:t>
      </w:r>
      <w:r w:rsidR="000A7B97">
        <w:t xml:space="preserve"> biomass power</w:t>
      </w:r>
      <w:r>
        <w:t xml:space="preserve"> generation, </w:t>
      </w:r>
      <w:r w:rsidR="00901639">
        <w:t xml:space="preserve">this will result in low load factors which will have a </w:t>
      </w:r>
      <w:r w:rsidR="00AD033C">
        <w:t>knock-on</w:t>
      </w:r>
      <w:r w:rsidR="00901639">
        <w:t xml:space="preserve"> impact on fuel imports to the UK. Once that fuel has diverted to alternative markets, it will be extremely difficult to get the necessary fuel imports back</w:t>
      </w:r>
      <w:r w:rsidR="00AD033C">
        <w:t xml:space="preserve"> for BECCS</w:t>
      </w:r>
      <w:r w:rsidR="00901639">
        <w:t xml:space="preserve">, without paying a premium. </w:t>
      </w:r>
      <w:r w:rsidR="001F37BE">
        <w:t>This reduction in fuel imports would also have an impact on the ability to deliver any of the three scenarios set out in the government’s own biomass strategy</w:t>
      </w:r>
      <w:r w:rsidR="004919EF">
        <w:t xml:space="preserve"> or deliver the governments net zero ambitions</w:t>
      </w:r>
      <w:r w:rsidR="001F37BE">
        <w:t xml:space="preserve">. </w:t>
      </w:r>
    </w:p>
    <w:p w14:paraId="11B73FBF" w14:textId="77777777" w:rsidR="004919EF" w:rsidRDefault="004919EF" w:rsidP="009B3EA2"/>
    <w:p w14:paraId="72AC463E" w14:textId="1B75CFF2" w:rsidR="00732624" w:rsidRDefault="00A217AD" w:rsidP="009B3EA2">
      <w:r>
        <w:t xml:space="preserve">Lastly, </w:t>
      </w:r>
      <w:r w:rsidR="006B5D0F">
        <w:t xml:space="preserve">any delays in generation </w:t>
      </w:r>
      <w:r w:rsidR="002260D0">
        <w:t>between now and 2030 will</w:t>
      </w:r>
      <w:r w:rsidR="00E36A9C">
        <w:t xml:space="preserve"> </w:t>
      </w:r>
      <w:r w:rsidR="00B548B6">
        <w:t>sl</w:t>
      </w:r>
      <w:r w:rsidR="00FA5540">
        <w:t>ow</w:t>
      </w:r>
      <w:r w:rsidR="006B5D0F">
        <w:t xml:space="preserve"> the</w:t>
      </w:r>
      <w:r w:rsidR="00FA5540">
        <w:t xml:space="preserve"> development </w:t>
      </w:r>
      <w:r w:rsidR="006B5D0F">
        <w:t xml:space="preserve">of a negative </w:t>
      </w:r>
      <w:r w:rsidR="005C0314">
        <w:t>emissions market and</w:t>
      </w:r>
      <w:r w:rsidR="00FA5540">
        <w:t xml:space="preserve"> </w:t>
      </w:r>
      <w:r w:rsidR="00E36A9C">
        <w:t xml:space="preserve">require more </w:t>
      </w:r>
      <w:r w:rsidR="002C7407">
        <w:t>government</w:t>
      </w:r>
      <w:r w:rsidR="00E36A9C">
        <w:t xml:space="preserve"> </w:t>
      </w:r>
      <w:r w:rsidR="00FA5540">
        <w:t xml:space="preserve">support for a longer period. </w:t>
      </w:r>
      <w:r w:rsidR="00285B8B">
        <w:t>This would put the</w:t>
      </w:r>
      <w:r w:rsidR="005C0314">
        <w:t xml:space="preserve"> UK </w:t>
      </w:r>
      <w:r w:rsidR="00285B8B">
        <w:t>at</w:t>
      </w:r>
      <w:r w:rsidR="005C0314">
        <w:t xml:space="preserve"> risk </w:t>
      </w:r>
      <w:r w:rsidR="00285B8B">
        <w:t xml:space="preserve">of </w:t>
      </w:r>
      <w:r w:rsidR="00F617A8">
        <w:t xml:space="preserve">missing our net zero targets and </w:t>
      </w:r>
      <w:r w:rsidR="00285B8B">
        <w:t>f</w:t>
      </w:r>
      <w:r w:rsidR="005C0314">
        <w:t xml:space="preserve">alling behind </w:t>
      </w:r>
      <w:r w:rsidR="00285B8B">
        <w:t>competitors when it comes to delivering negative emissions technolog</w:t>
      </w:r>
      <w:r w:rsidR="00712DB2">
        <w:t>ies</w:t>
      </w:r>
      <w:r w:rsidR="00285B8B">
        <w:t xml:space="preserve">. </w:t>
      </w:r>
    </w:p>
    <w:p w14:paraId="2FFE59A2" w14:textId="77777777" w:rsidR="00732624" w:rsidRDefault="00732624" w:rsidP="009B3EA2"/>
    <w:p w14:paraId="280C5F67" w14:textId="5744206B" w:rsidR="00230E21" w:rsidRDefault="009D202A" w:rsidP="009B3EA2">
      <w:r>
        <w:t>We recognise the need to time limit s</w:t>
      </w:r>
      <w:r w:rsidR="00D903E4">
        <w:t>upport</w:t>
      </w:r>
      <w:r>
        <w:t xml:space="preserve"> but would like to see </w:t>
      </w:r>
      <w:r w:rsidR="00D70997">
        <w:t xml:space="preserve">an addition made that recognises that should </w:t>
      </w:r>
      <w:r w:rsidR="00230E21">
        <w:t xml:space="preserve">BECCS deployment be delayed </w:t>
      </w:r>
      <w:r w:rsidR="004111A1">
        <w:t>because of</w:t>
      </w:r>
      <w:r w:rsidR="00230E21">
        <w:t xml:space="preserve"> something</w:t>
      </w:r>
      <w:r w:rsidR="00D903E4">
        <w:t xml:space="preserve"> outside </w:t>
      </w:r>
      <w:r w:rsidR="00230E21">
        <w:t xml:space="preserve">a </w:t>
      </w:r>
      <w:r w:rsidR="00D903E4">
        <w:t>generator</w:t>
      </w:r>
      <w:r w:rsidR="00230E21">
        <w:t>s</w:t>
      </w:r>
      <w:r w:rsidR="00D903E4">
        <w:t xml:space="preserve"> control</w:t>
      </w:r>
      <w:r w:rsidR="00230E21">
        <w:t>, e.g., policy changes</w:t>
      </w:r>
      <w:r w:rsidR="006A2AF0">
        <w:t>/</w:t>
      </w:r>
      <w:r w:rsidR="00CC103C">
        <w:t>changes</w:t>
      </w:r>
      <w:r w:rsidR="00230E21">
        <w:t xml:space="preserve"> or delays within the supply chain, </w:t>
      </w:r>
      <w:r w:rsidR="00BD6A34">
        <w:t>then</w:t>
      </w:r>
      <w:r w:rsidR="00561230">
        <w:t xml:space="preserve"> </w:t>
      </w:r>
      <w:r w:rsidR="00B87296">
        <w:t xml:space="preserve">there </w:t>
      </w:r>
      <w:r w:rsidR="00561230">
        <w:t xml:space="preserve">should be a process for </w:t>
      </w:r>
      <w:r w:rsidR="008E2CCC">
        <w:t>seeing the</w:t>
      </w:r>
      <w:r w:rsidR="00BD6A34">
        <w:t xml:space="preserve"> time limit extended, provided a generator can demonstrate </w:t>
      </w:r>
      <w:r w:rsidR="00856BAD">
        <w:t>delays are beyond their control</w:t>
      </w:r>
      <w:r w:rsidR="00853F8C">
        <w:t xml:space="preserve">. </w:t>
      </w:r>
      <w:r w:rsidR="004111A1">
        <w:t xml:space="preserve">Similarly, </w:t>
      </w:r>
      <w:r w:rsidR="00CC103C">
        <w:t>clarification</w:t>
      </w:r>
      <w:r w:rsidR="004111A1">
        <w:t xml:space="preserve"> is needed around </w:t>
      </w:r>
      <w:r w:rsidR="00CC103C">
        <w:t xml:space="preserve">whether </w:t>
      </w:r>
      <w:r w:rsidR="00460C97">
        <w:t xml:space="preserve">any time limit or </w:t>
      </w:r>
      <w:r w:rsidR="003111AA">
        <w:t>winddown</w:t>
      </w:r>
      <w:r w:rsidR="00460C97">
        <w:t xml:space="preserve"> period</w:t>
      </w:r>
      <w:r w:rsidR="003111AA">
        <w:t xml:space="preserve"> is </w:t>
      </w:r>
      <w:r w:rsidR="00460C97">
        <w:t>anticipated</w:t>
      </w:r>
      <w:r w:rsidR="003111AA">
        <w:t xml:space="preserve"> </w:t>
      </w:r>
      <w:r w:rsidR="00F3665F">
        <w:t xml:space="preserve">before, </w:t>
      </w:r>
      <w:r w:rsidR="00937CEE">
        <w:t>in</w:t>
      </w:r>
      <w:r w:rsidR="00F3665F">
        <w:t xml:space="preserve"> or after </w:t>
      </w:r>
      <w:r w:rsidR="003111AA">
        <w:t>2030</w:t>
      </w:r>
      <w:r w:rsidR="00F3665F">
        <w:t xml:space="preserve">. </w:t>
      </w:r>
      <w:r w:rsidR="00937CEE">
        <w:t>For example,</w:t>
      </w:r>
      <w:r w:rsidR="008E2CCC">
        <w:t xml:space="preserve"> it is welcome </w:t>
      </w:r>
      <w:r w:rsidR="45D9A048">
        <w:t>t</w:t>
      </w:r>
      <w:r w:rsidR="008E2CCC">
        <w:t>hat</w:t>
      </w:r>
      <w:r w:rsidR="006B4371">
        <w:t xml:space="preserve"> reference is given to a BECCS project being delivered and supporting Carbon Budget 6</w:t>
      </w:r>
      <w:r w:rsidR="00084170">
        <w:t xml:space="preserve"> – so presumably for deployment in 2033-2037</w:t>
      </w:r>
      <w:r w:rsidR="00B86207">
        <w:t xml:space="preserve"> -</w:t>
      </w:r>
      <w:r w:rsidR="006B4371">
        <w:t xml:space="preserve"> </w:t>
      </w:r>
      <w:r w:rsidR="00E16866">
        <w:t>but the implication</w:t>
      </w:r>
      <w:r w:rsidR="00B91075">
        <w:t xml:space="preserve">, and current industry expectation, is that </w:t>
      </w:r>
      <w:r w:rsidR="00E16866">
        <w:t>transitional arrangement</w:t>
      </w:r>
      <w:r w:rsidR="00896ED2">
        <w:t>s</w:t>
      </w:r>
      <w:r w:rsidR="00B91075">
        <w:t xml:space="preserve"> will be available for</w:t>
      </w:r>
      <w:r w:rsidR="00E16866">
        <w:t xml:space="preserve"> a generator </w:t>
      </w:r>
      <w:r w:rsidR="007944E6">
        <w:t xml:space="preserve">that </w:t>
      </w:r>
      <w:r w:rsidR="00E16866">
        <w:t xml:space="preserve">has a BECCS project </w:t>
      </w:r>
      <w:r w:rsidR="00A33131">
        <w:t xml:space="preserve">already </w:t>
      </w:r>
      <w:r w:rsidR="00C31FBD">
        <w:t xml:space="preserve">underway for deployment in 2030. </w:t>
      </w:r>
      <w:r w:rsidR="00F93D65">
        <w:t xml:space="preserve">It is important that this factor does not become </w:t>
      </w:r>
      <w:r w:rsidR="002D0EAE">
        <w:t xml:space="preserve">an </w:t>
      </w:r>
      <w:r w:rsidR="73545A77">
        <w:t>unintended</w:t>
      </w:r>
      <w:r w:rsidR="002D0EAE">
        <w:t xml:space="preserve"> barrier to earlier deployment. </w:t>
      </w:r>
      <w:r w:rsidR="00EB75DD">
        <w:t xml:space="preserve">In addition, being able to negotiate </w:t>
      </w:r>
      <w:r w:rsidR="00986E42">
        <w:t xml:space="preserve">the scheme end date </w:t>
      </w:r>
      <w:r w:rsidR="005059B6">
        <w:t xml:space="preserve">on a </w:t>
      </w:r>
      <w:r w:rsidR="00DB0686">
        <w:t>generator-by-generator</w:t>
      </w:r>
      <w:r w:rsidR="005059B6">
        <w:t xml:space="preserve"> basis</w:t>
      </w:r>
      <w:r w:rsidR="00986E42">
        <w:t xml:space="preserve">, to enable those with more modular </w:t>
      </w:r>
      <w:r w:rsidR="005C21DA">
        <w:t xml:space="preserve">projects to benefit for the period needed, </w:t>
      </w:r>
      <w:r w:rsidR="00ED7A7F">
        <w:t>will be</w:t>
      </w:r>
      <w:r w:rsidR="00FE7150">
        <w:t xml:space="preserve"> important</w:t>
      </w:r>
      <w:r w:rsidR="00ED7A7F">
        <w:t xml:space="preserve"> in making</w:t>
      </w:r>
      <w:r w:rsidR="005931EC">
        <w:t xml:space="preserve"> any</w:t>
      </w:r>
      <w:r w:rsidR="00ED7A7F">
        <w:t xml:space="preserve"> support mechanism a success</w:t>
      </w:r>
      <w:r w:rsidR="00FE7150">
        <w:t xml:space="preserve">. </w:t>
      </w:r>
    </w:p>
    <w:p w14:paraId="195530F3" w14:textId="77777777" w:rsidR="00230E21" w:rsidRDefault="00230E21" w:rsidP="009B3EA2"/>
    <w:p w14:paraId="6FDB62C7" w14:textId="0E452C00" w:rsidR="004E283A" w:rsidRDefault="00853F8C" w:rsidP="009B3EA2">
      <w:r>
        <w:t>Finally, a</w:t>
      </w:r>
      <w:r w:rsidR="00627664">
        <w:t>nd a</w:t>
      </w:r>
      <w:r w:rsidR="00214943">
        <w:t>s</w:t>
      </w:r>
      <w:r w:rsidR="00CC7FC4">
        <w:t xml:space="preserve"> recognised by the department, </w:t>
      </w:r>
      <w:r w:rsidR="00DF1151">
        <w:t xml:space="preserve">time </w:t>
      </w:r>
      <w:proofErr w:type="gramStart"/>
      <w:r w:rsidR="00DF1151">
        <w:t>is constrained</w:t>
      </w:r>
      <w:proofErr w:type="gramEnd"/>
      <w:r w:rsidR="00DF1151">
        <w:t xml:space="preserve"> </w:t>
      </w:r>
      <w:r w:rsidR="004E283A">
        <w:t xml:space="preserve">so </w:t>
      </w:r>
      <w:r w:rsidR="00836B60">
        <w:t>options which</w:t>
      </w:r>
      <w:r w:rsidR="004E283A">
        <w:t xml:space="preserve"> can be </w:t>
      </w:r>
      <w:r w:rsidR="00A82BD4">
        <w:t>implemented</w:t>
      </w:r>
      <w:r w:rsidR="00836B60">
        <w:t xml:space="preserve"> </w:t>
      </w:r>
      <w:r w:rsidR="004E283A">
        <w:t xml:space="preserve">quickly </w:t>
      </w:r>
      <w:r w:rsidR="00836B60">
        <w:t>and efficiently</w:t>
      </w:r>
      <w:r w:rsidR="008317B5">
        <w:t xml:space="preserve"> </w:t>
      </w:r>
      <w:r w:rsidR="00241C53">
        <w:t xml:space="preserve">should </w:t>
      </w:r>
      <w:r w:rsidR="004E283A">
        <w:t>be</w:t>
      </w:r>
      <w:r w:rsidR="003E24DC">
        <w:t xml:space="preserve"> considered an additional</w:t>
      </w:r>
      <w:r w:rsidR="00F23C7E">
        <w:t xml:space="preserve"> success</w:t>
      </w:r>
      <w:r w:rsidR="003E24DC">
        <w:t xml:space="preserve"> factor</w:t>
      </w:r>
      <w:r w:rsidR="00E25C0F">
        <w:t xml:space="preserve">. </w:t>
      </w:r>
    </w:p>
    <w:p w14:paraId="6299B92F" w14:textId="77777777" w:rsidR="00A82BD4" w:rsidRDefault="00A82BD4" w:rsidP="009B3EA2"/>
    <w:p w14:paraId="0F967E3E" w14:textId="77D20A3B" w:rsidR="00594940" w:rsidRPr="009B3EA2" w:rsidRDefault="00527567" w:rsidP="009B3EA2">
      <w:r>
        <w:lastRenderedPageBreak/>
        <w:t xml:space="preserve"> </w:t>
      </w:r>
    </w:p>
    <w:p w14:paraId="6581C0AF" w14:textId="1A6DA973" w:rsidR="00E966D0" w:rsidRDefault="009B3EA2" w:rsidP="009B3EA2">
      <w:pPr>
        <w:pStyle w:val="Heading2"/>
        <w:numPr>
          <w:ilvl w:val="0"/>
          <w:numId w:val="39"/>
        </w:numPr>
      </w:pPr>
      <w:r w:rsidRPr="009B3EA2">
        <w:t>Are there additional factors we should consider?</w:t>
      </w:r>
    </w:p>
    <w:p w14:paraId="4DCCA3E9" w14:textId="77777777" w:rsidR="00E966D0" w:rsidRDefault="00E966D0" w:rsidP="009B3EA2">
      <w:pPr>
        <w:pStyle w:val="Heading2"/>
      </w:pPr>
    </w:p>
    <w:p w14:paraId="32F8A15C" w14:textId="0493E0C2" w:rsidR="00310A21" w:rsidRPr="00310A21" w:rsidRDefault="00AA1F33" w:rsidP="00E7094F">
      <w:r>
        <w:t>It is important that g</w:t>
      </w:r>
      <w:r w:rsidR="00E257D9">
        <w:t>overnment</w:t>
      </w:r>
      <w:r>
        <w:t xml:space="preserve"> also</w:t>
      </w:r>
      <w:r w:rsidR="00A962FA" w:rsidRPr="00310A21">
        <w:t xml:space="preserve"> recognise</w:t>
      </w:r>
      <w:r>
        <w:t>s</w:t>
      </w:r>
      <w:r w:rsidR="00A962FA" w:rsidRPr="00310A21">
        <w:t xml:space="preserve"> the wider benefits that Biomass power</w:t>
      </w:r>
      <w:r>
        <w:t xml:space="preserve"> provides</w:t>
      </w:r>
      <w:r w:rsidR="00A962FA" w:rsidRPr="00310A21">
        <w:t xml:space="preserve"> including </w:t>
      </w:r>
      <w:r w:rsidR="0044542D" w:rsidRPr="00310A21">
        <w:t>vital grid services like Black Start</w:t>
      </w:r>
      <w:r w:rsidR="004E7553" w:rsidRPr="00310A21">
        <w:t xml:space="preserve">, should </w:t>
      </w:r>
      <w:r w:rsidR="00B92D00" w:rsidRPr="00310A21">
        <w:t>the</w:t>
      </w:r>
      <w:r w:rsidR="00310A21" w:rsidRPr="00310A21">
        <w:t xml:space="preserve"> GB transmission system partially or completely </w:t>
      </w:r>
      <w:r w:rsidR="003B0870" w:rsidRPr="00310A21">
        <w:t>shut down</w:t>
      </w:r>
      <w:r w:rsidR="003B0870">
        <w:t>. Similarly, every</w:t>
      </w:r>
      <w:r w:rsidR="003B0870" w:rsidRPr="003B0870">
        <w:t xml:space="preserve"> thermal generator in the UK system spins at 3,000 rpm, has inertia, and generates electricity at a frequency of 50 Hz. </w:t>
      </w:r>
      <w:r w:rsidR="003B0870">
        <w:t>This</w:t>
      </w:r>
      <w:r w:rsidR="00E720AF">
        <w:t xml:space="preserve"> system inertia</w:t>
      </w:r>
      <w:r w:rsidR="003B0870">
        <w:t xml:space="preserve"> helps to keep</w:t>
      </w:r>
      <w:r w:rsidR="00E720AF">
        <w:t xml:space="preserve"> the </w:t>
      </w:r>
      <w:r w:rsidR="007764F9">
        <w:t>frequency response stable</w:t>
      </w:r>
      <w:r w:rsidR="000D2168">
        <w:t>, balance the grid</w:t>
      </w:r>
      <w:r w:rsidR="006E6198">
        <w:t>,</w:t>
      </w:r>
      <w:r w:rsidR="000D2168">
        <w:t xml:space="preserve"> and </w:t>
      </w:r>
      <w:r w:rsidR="0075049C">
        <w:t xml:space="preserve">support variable </w:t>
      </w:r>
      <w:r w:rsidR="006E6198">
        <w:t>technologies like wind and solar.</w:t>
      </w:r>
      <w:r w:rsidR="002B1638">
        <w:t xml:space="preserve"> </w:t>
      </w:r>
      <w:r w:rsidR="006E6198">
        <w:t xml:space="preserve"> </w:t>
      </w:r>
      <w:r w:rsidR="00260EEA">
        <w:t xml:space="preserve">These vital grid services </w:t>
      </w:r>
      <w:r w:rsidR="00625513">
        <w:t xml:space="preserve">highlight why maintaining biomass power generation is so important for the </w:t>
      </w:r>
      <w:r w:rsidR="00010753">
        <w:t>whole GB</w:t>
      </w:r>
      <w:r w:rsidR="00625513">
        <w:t xml:space="preserve"> electricity s</w:t>
      </w:r>
      <w:r w:rsidR="00010753">
        <w:t>ystem</w:t>
      </w:r>
      <w:r w:rsidR="005F79BB">
        <w:t xml:space="preserve">, </w:t>
      </w:r>
      <w:r w:rsidR="00625513">
        <w:t xml:space="preserve">supporting other important </w:t>
      </w:r>
      <w:r w:rsidR="00010753">
        <w:t>renewable and low carbon technologie</w:t>
      </w:r>
      <w:r w:rsidR="004C047A">
        <w:t xml:space="preserve">s keep the lights on and </w:t>
      </w:r>
      <w:r w:rsidR="00E257D9">
        <w:t xml:space="preserve">boost our domestic energy resilience. </w:t>
      </w:r>
      <w:r w:rsidR="00010753">
        <w:t xml:space="preserve"> </w:t>
      </w:r>
      <w:r w:rsidR="00DE6B2B">
        <w:t xml:space="preserve"> </w:t>
      </w:r>
    </w:p>
    <w:p w14:paraId="17ED3FD6" w14:textId="77777777" w:rsidR="00310A21" w:rsidRDefault="00310A21" w:rsidP="00E7094F">
      <w:pPr>
        <w:rPr>
          <w:highlight w:val="yellow"/>
        </w:rPr>
      </w:pPr>
    </w:p>
    <w:p w14:paraId="4EF46FFD" w14:textId="12792237" w:rsidR="00487FFB" w:rsidRDefault="00487FFB" w:rsidP="00487FFB">
      <w:pPr>
        <w:pStyle w:val="ListParagraph"/>
        <w:numPr>
          <w:ilvl w:val="0"/>
          <w:numId w:val="39"/>
        </w:numPr>
        <w:rPr>
          <w:b/>
          <w:bCs/>
        </w:rPr>
      </w:pPr>
      <w:r w:rsidRPr="00487FFB">
        <w:rPr>
          <w:b/>
          <w:bCs/>
        </w:rPr>
        <w:t xml:space="preserve">Do you agree with the options above being included as preferred options? If no, please articulate why the option is not suitable and provide evidence where appropriate. </w:t>
      </w:r>
    </w:p>
    <w:p w14:paraId="0A30CA8A" w14:textId="77777777" w:rsidR="00002277" w:rsidRDefault="00002277" w:rsidP="00002277">
      <w:pPr>
        <w:rPr>
          <w:b/>
          <w:bCs/>
        </w:rPr>
      </w:pPr>
    </w:p>
    <w:p w14:paraId="09A7A4D5" w14:textId="5E8187C9" w:rsidR="00002277" w:rsidRPr="00002277" w:rsidRDefault="00002277" w:rsidP="00002277">
      <w:r w:rsidRPr="00002277">
        <w:t>Yes, we believe government has identified the correct options</w:t>
      </w:r>
      <w:r w:rsidR="00173525">
        <w:t>, though</w:t>
      </w:r>
      <w:r w:rsidR="001663CE">
        <w:t xml:space="preserve"> as set out </w:t>
      </w:r>
      <w:r w:rsidR="00011BFF">
        <w:t>previously</w:t>
      </w:r>
      <w:r w:rsidR="001663CE">
        <w:t>,</w:t>
      </w:r>
      <w:r w:rsidR="00173525">
        <w:t xml:space="preserve"> options which can be rolled out quickly would be preferable. </w:t>
      </w:r>
    </w:p>
    <w:p w14:paraId="39800804" w14:textId="77777777" w:rsidR="00487FFB" w:rsidRPr="00487FFB" w:rsidRDefault="00487FFB" w:rsidP="00487FFB">
      <w:pPr>
        <w:pStyle w:val="ListParagraph"/>
        <w:rPr>
          <w:b/>
          <w:bCs/>
        </w:rPr>
      </w:pPr>
    </w:p>
    <w:p w14:paraId="71D04B78" w14:textId="77777777" w:rsidR="00487FFB" w:rsidRDefault="00487FFB" w:rsidP="00487FFB">
      <w:pPr>
        <w:pStyle w:val="ListParagraph"/>
        <w:numPr>
          <w:ilvl w:val="0"/>
          <w:numId w:val="39"/>
        </w:numPr>
        <w:rPr>
          <w:b/>
          <w:bCs/>
        </w:rPr>
      </w:pPr>
      <w:r w:rsidRPr="00487FFB">
        <w:rPr>
          <w:b/>
          <w:bCs/>
        </w:rPr>
        <w:t xml:space="preserve">Do you prefer one of the options as described above? If so, please provide your reasoning and any evidence to support. </w:t>
      </w:r>
    </w:p>
    <w:p w14:paraId="7EB3D0BE" w14:textId="77777777" w:rsidR="00725C73" w:rsidRDefault="00725C73" w:rsidP="00540BDD">
      <w:pPr>
        <w:rPr>
          <w:b/>
          <w:bCs/>
        </w:rPr>
      </w:pPr>
    </w:p>
    <w:p w14:paraId="470855E1" w14:textId="71590695" w:rsidR="00DB4516" w:rsidRDefault="00540BDD" w:rsidP="00540BDD">
      <w:r w:rsidRPr="00725C73">
        <w:t>Yes,</w:t>
      </w:r>
      <w:r w:rsidR="008F4788">
        <w:t xml:space="preserve"> </w:t>
      </w:r>
      <w:r w:rsidRPr="00725C73">
        <w:t xml:space="preserve">option </w:t>
      </w:r>
      <w:r w:rsidR="00725C73">
        <w:t>one</w:t>
      </w:r>
      <w:r w:rsidRPr="00725C73">
        <w:t xml:space="preserve"> (unconstrained CfD) would be preferable, however option </w:t>
      </w:r>
      <w:r w:rsidR="00725C73">
        <w:t>two</w:t>
      </w:r>
      <w:r w:rsidRPr="00725C73">
        <w:t xml:space="preserve"> (</w:t>
      </w:r>
      <w:r w:rsidR="00725C73" w:rsidRPr="00725C73">
        <w:t xml:space="preserve">CfD with generation collar) </w:t>
      </w:r>
      <w:r w:rsidR="002C6429">
        <w:t xml:space="preserve">if carefully designed </w:t>
      </w:r>
      <w:r w:rsidR="007D2633">
        <w:t>would also be</w:t>
      </w:r>
      <w:r w:rsidR="00DE4A0A">
        <w:t xml:space="preserve"> </w:t>
      </w:r>
      <w:r w:rsidR="00725C73" w:rsidRPr="00725C73">
        <w:t xml:space="preserve">workable. </w:t>
      </w:r>
    </w:p>
    <w:p w14:paraId="3A97B82E" w14:textId="77777777" w:rsidR="00DB4516" w:rsidRDefault="00DB4516" w:rsidP="00540BDD"/>
    <w:p w14:paraId="2510587B" w14:textId="0036E7A7" w:rsidR="00164915" w:rsidRDefault="00DB4516" w:rsidP="00540BDD">
      <w:r>
        <w:t>O</w:t>
      </w:r>
      <w:r w:rsidR="00725C73">
        <w:t>ption one</w:t>
      </w:r>
      <w:r w:rsidR="00A54194">
        <w:t xml:space="preserve"> is the most familiar and therefore the </w:t>
      </w:r>
      <w:r w:rsidR="0022099B">
        <w:t>simplest and quickest to implement</w:t>
      </w:r>
      <w:r w:rsidR="008C7653">
        <w:t xml:space="preserve">, which </w:t>
      </w:r>
      <w:r w:rsidR="006F358C">
        <w:t>considering</w:t>
      </w:r>
      <w:r w:rsidR="008C7653">
        <w:t xml:space="preserve"> time constraints would be </w:t>
      </w:r>
      <w:r w:rsidR="000B6369">
        <w:t>most favourable.</w:t>
      </w:r>
      <w:r w:rsidR="0022099B">
        <w:t xml:space="preserve"> </w:t>
      </w:r>
      <w:r w:rsidR="00990A75">
        <w:t xml:space="preserve">While slightly more complex, </w:t>
      </w:r>
      <w:r w:rsidR="00D765E7">
        <w:t>industry recognise</w:t>
      </w:r>
      <w:r w:rsidR="005F61D9">
        <w:t>s</w:t>
      </w:r>
      <w:r w:rsidR="00D765E7">
        <w:t xml:space="preserve"> that </w:t>
      </w:r>
      <w:r w:rsidR="00990A75">
        <w:t>o</w:t>
      </w:r>
      <w:r w:rsidR="00593F04">
        <w:t xml:space="preserve">ption two </w:t>
      </w:r>
      <w:r w:rsidR="00D765E7">
        <w:t xml:space="preserve">helps government </w:t>
      </w:r>
      <w:r w:rsidR="00671DE2">
        <w:t xml:space="preserve">protect consumers from higher costs and </w:t>
      </w:r>
      <w:r w:rsidR="001628C4">
        <w:t xml:space="preserve">compliment, rather than potentially </w:t>
      </w:r>
      <w:r w:rsidR="003C2D6D">
        <w:t>displac</w:t>
      </w:r>
      <w:r w:rsidR="006B57DE">
        <w:t xml:space="preserve">e </w:t>
      </w:r>
      <w:r w:rsidR="001628C4">
        <w:t>other variable forms of technology</w:t>
      </w:r>
      <w:r w:rsidR="004B5FB7">
        <w:t>, thereby supporting government’s</w:t>
      </w:r>
      <w:r w:rsidR="00A94956">
        <w:t xml:space="preserve"> stated</w:t>
      </w:r>
      <w:r w:rsidR="004B5FB7">
        <w:t xml:space="preserve"> success factors. </w:t>
      </w:r>
    </w:p>
    <w:p w14:paraId="3A9EE2A0" w14:textId="77777777" w:rsidR="00C708A0" w:rsidRDefault="00C708A0" w:rsidP="00540BDD"/>
    <w:p w14:paraId="0A3C84DD" w14:textId="3A0CE2F4" w:rsidR="00C708A0" w:rsidRDefault="00C708A0" w:rsidP="00540BDD">
      <w:r>
        <w:t>The two CfD option</w:t>
      </w:r>
      <w:r w:rsidR="002034B9">
        <w:t>s</w:t>
      </w:r>
      <w:r>
        <w:t xml:space="preserve"> </w:t>
      </w:r>
      <w:proofErr w:type="gramStart"/>
      <w:r>
        <w:t xml:space="preserve">are also </w:t>
      </w:r>
      <w:r w:rsidR="00065CA0">
        <w:t>preferred</w:t>
      </w:r>
      <w:proofErr w:type="gramEnd"/>
      <w:r>
        <w:t xml:space="preserve"> as </w:t>
      </w:r>
      <w:r w:rsidR="00F227BA">
        <w:t>they are</w:t>
      </w:r>
      <w:r>
        <w:t xml:space="preserve"> already well designed, with existing CfD legislation in place, meaning that </w:t>
      </w:r>
      <w:r w:rsidR="008C2494">
        <w:t>a completely</w:t>
      </w:r>
      <w:r w:rsidR="002B5272">
        <w:t xml:space="preserve"> new </w:t>
      </w:r>
      <w:r w:rsidR="00C72A50">
        <w:t>mechanism</w:t>
      </w:r>
      <w:r w:rsidR="008C2494">
        <w:t xml:space="preserve"> would not need to be designed</w:t>
      </w:r>
      <w:r w:rsidR="002B5272">
        <w:t xml:space="preserve">. This also has the advantage of being well understood and preferred by investors, helping to speed up </w:t>
      </w:r>
      <w:r w:rsidR="00C72A50">
        <w:t xml:space="preserve">financial decisions and attract private investment. </w:t>
      </w:r>
    </w:p>
    <w:p w14:paraId="08EDF477" w14:textId="77777777" w:rsidR="004A187C" w:rsidRDefault="004A187C" w:rsidP="00540BDD"/>
    <w:p w14:paraId="5796D034" w14:textId="2B0EEE8B" w:rsidR="000040F5" w:rsidRDefault="000040F5" w:rsidP="00540BDD">
      <w:r>
        <w:t xml:space="preserve">The main reason for discounting options </w:t>
      </w:r>
      <w:r w:rsidR="00175004">
        <w:t>three</w:t>
      </w:r>
      <w:r>
        <w:t xml:space="preserve"> and </w:t>
      </w:r>
      <w:r w:rsidR="00175004">
        <w:t>four</w:t>
      </w:r>
      <w:r>
        <w:t xml:space="preserve"> is </w:t>
      </w:r>
      <w:r w:rsidR="00186BAE">
        <w:t xml:space="preserve">timing, particularly on the Regulated Margin which would be difficult to </w:t>
      </w:r>
      <w:r w:rsidR="00DF4C55">
        <w:t xml:space="preserve">design and implement. </w:t>
      </w:r>
      <w:r w:rsidR="008A0DFE">
        <w:t>While o</w:t>
      </w:r>
      <w:r w:rsidR="00DF4C55">
        <w:t>ption three</w:t>
      </w:r>
      <w:r w:rsidR="008A0DFE">
        <w:t xml:space="preserve"> </w:t>
      </w:r>
      <w:r w:rsidR="00902443">
        <w:t xml:space="preserve">goes further than </w:t>
      </w:r>
      <w:r w:rsidR="008A0DFE">
        <w:t xml:space="preserve">the </w:t>
      </w:r>
      <w:r w:rsidR="00A90E19">
        <w:t>Ca</w:t>
      </w:r>
      <w:r w:rsidR="008A0DFE">
        <w:t xml:space="preserve">pacity </w:t>
      </w:r>
      <w:r w:rsidR="00A90E19">
        <w:t>M</w:t>
      </w:r>
      <w:r w:rsidR="008A0DFE">
        <w:t>arket</w:t>
      </w:r>
      <w:r w:rsidR="001E757D">
        <w:t xml:space="preserve">, providing more certainty on pricing and contract length, </w:t>
      </w:r>
      <w:r w:rsidR="00B60EFC">
        <w:t>it</w:t>
      </w:r>
      <w:r w:rsidR="00DF4C55">
        <w:t xml:space="preserve"> </w:t>
      </w:r>
      <w:r w:rsidR="00B60EFC">
        <w:t>would</w:t>
      </w:r>
      <w:r w:rsidR="00DF4C55">
        <w:t xml:space="preserve"> not support generation </w:t>
      </w:r>
      <w:r w:rsidR="007757EC">
        <w:t>which as</w:t>
      </w:r>
      <w:r w:rsidR="00195008">
        <w:t xml:space="preserve"> </w:t>
      </w:r>
      <w:r w:rsidR="00DF4C55">
        <w:t xml:space="preserve">set out </w:t>
      </w:r>
      <w:r w:rsidR="00EC68B3">
        <w:t>above</w:t>
      </w:r>
      <w:r w:rsidR="00DF4C55">
        <w:t xml:space="preserve"> would </w:t>
      </w:r>
      <w:r w:rsidR="00195008">
        <w:t xml:space="preserve">undermine </w:t>
      </w:r>
      <w:r w:rsidR="00175004">
        <w:t xml:space="preserve">the transition to </w:t>
      </w:r>
      <w:r w:rsidR="00E51AA2">
        <w:t xml:space="preserve">power </w:t>
      </w:r>
      <w:r w:rsidR="00175004">
        <w:t>BECCS</w:t>
      </w:r>
      <w:r w:rsidR="00356B37">
        <w:t xml:space="preserve"> and </w:t>
      </w:r>
      <w:r w:rsidR="00CE3618">
        <w:t xml:space="preserve">the </w:t>
      </w:r>
      <w:r w:rsidR="00356B37">
        <w:t xml:space="preserve">overall </w:t>
      </w:r>
      <w:r w:rsidR="00DA1B41">
        <w:t xml:space="preserve">objective of transitional support. </w:t>
      </w:r>
    </w:p>
    <w:p w14:paraId="5239E873" w14:textId="77777777" w:rsidR="008433E7" w:rsidRDefault="008433E7" w:rsidP="00540BDD"/>
    <w:p w14:paraId="536DEDE4" w14:textId="0D92BD37" w:rsidR="008433E7" w:rsidRDefault="004F68ED" w:rsidP="00540BDD">
      <w:r>
        <w:t>Lastly, w</w:t>
      </w:r>
      <w:r w:rsidR="00E30729">
        <w:t xml:space="preserve">e are </w:t>
      </w:r>
      <w:r w:rsidR="008433E7">
        <w:t xml:space="preserve">working on the assumption that the </w:t>
      </w:r>
      <w:r w:rsidR="00B53A82">
        <w:t xml:space="preserve">government’s </w:t>
      </w:r>
      <w:r w:rsidR="008433E7">
        <w:t>chosen mechanism</w:t>
      </w:r>
      <w:r w:rsidR="00FC0AF5">
        <w:t>/option</w:t>
      </w:r>
      <w:r w:rsidR="008433E7">
        <w:t xml:space="preserve"> </w:t>
      </w:r>
      <w:r w:rsidR="001A76FC">
        <w:t xml:space="preserve">and subsequent requirements </w:t>
      </w:r>
      <w:r w:rsidR="008433E7">
        <w:t>will be the same</w:t>
      </w:r>
      <w:r w:rsidR="001A76FC">
        <w:t xml:space="preserve"> and apply to all eligible </w:t>
      </w:r>
      <w:r w:rsidR="008433E7">
        <w:t>generators</w:t>
      </w:r>
      <w:r w:rsidR="00E30729">
        <w:t>,</w:t>
      </w:r>
      <w:r w:rsidR="00B53A82">
        <w:t xml:space="preserve"> subject to bilateral discussions.</w:t>
      </w:r>
      <w:r w:rsidR="00E30729">
        <w:t xml:space="preserve"> </w:t>
      </w:r>
    </w:p>
    <w:p w14:paraId="2C97D12C" w14:textId="77777777" w:rsidR="00487FFB" w:rsidRPr="00487FFB" w:rsidRDefault="00487FFB" w:rsidP="00487FFB">
      <w:pPr>
        <w:pStyle w:val="ListParagraph"/>
        <w:rPr>
          <w:b/>
          <w:bCs/>
        </w:rPr>
      </w:pPr>
    </w:p>
    <w:p w14:paraId="2314E9D9" w14:textId="5740505C" w:rsidR="00487FFB" w:rsidRDefault="00487FFB" w:rsidP="00487FFB">
      <w:pPr>
        <w:pStyle w:val="ListParagraph"/>
        <w:numPr>
          <w:ilvl w:val="0"/>
          <w:numId w:val="39"/>
        </w:numPr>
        <w:rPr>
          <w:b/>
          <w:bCs/>
        </w:rPr>
      </w:pPr>
      <w:r w:rsidRPr="00487FFB">
        <w:rPr>
          <w:b/>
          <w:bCs/>
        </w:rPr>
        <w:t>Do you have views on approaches we should consider as part of our options to ensure generators are not overcompensated?</w:t>
      </w:r>
    </w:p>
    <w:p w14:paraId="38A7795B" w14:textId="77777777" w:rsidR="00FB4E79" w:rsidRDefault="00FB4E79" w:rsidP="007757EC">
      <w:pPr>
        <w:rPr>
          <w:b/>
          <w:bCs/>
        </w:rPr>
      </w:pPr>
    </w:p>
    <w:p w14:paraId="1B229824" w14:textId="70F2416A" w:rsidR="007757EC" w:rsidRPr="00FB4E79" w:rsidRDefault="0047256B" w:rsidP="007757EC">
      <w:r w:rsidRPr="00FB4E79">
        <w:t xml:space="preserve">We believe option two </w:t>
      </w:r>
      <w:r w:rsidR="00FB2F19">
        <w:t xml:space="preserve">could </w:t>
      </w:r>
      <w:r w:rsidRPr="00FB4E79">
        <w:t xml:space="preserve">achieve </w:t>
      </w:r>
      <w:r w:rsidR="00FB4E79" w:rsidRPr="00FB4E79">
        <w:t>the government’s success factors by introducing a cap to protect consumers from higher costs.</w:t>
      </w:r>
      <w:r w:rsidR="00CE3618">
        <w:t xml:space="preserve"> This in turn would ensure that generators are not overcompensated during the transition period. </w:t>
      </w:r>
      <w:r w:rsidR="00EE0B9B">
        <w:t xml:space="preserve">However, </w:t>
      </w:r>
      <w:r w:rsidR="002B02B3">
        <w:t xml:space="preserve">this cap will need to be carefully designed </w:t>
      </w:r>
      <w:r w:rsidR="002B02B3">
        <w:lastRenderedPageBreak/>
        <w:t xml:space="preserve">so that sites are still sufficiently compensated to operate and </w:t>
      </w:r>
      <w:r w:rsidR="00BA2CCB">
        <w:t xml:space="preserve">so that it </w:t>
      </w:r>
      <w:r w:rsidR="002B02B3">
        <w:t xml:space="preserve">does not undermine the ability of the scheme to </w:t>
      </w:r>
      <w:r w:rsidR="00893177">
        <w:t>meet its</w:t>
      </w:r>
      <w:r w:rsidR="00FB2F19">
        <w:t xml:space="preserve"> overall </w:t>
      </w:r>
      <w:r w:rsidR="00893177">
        <w:t>objective</w:t>
      </w:r>
      <w:r w:rsidR="00FB2F19">
        <w:t xml:space="preserve"> of providing a pathway to BECCS delivery. </w:t>
      </w:r>
    </w:p>
    <w:p w14:paraId="63E47696" w14:textId="77777777" w:rsidR="00487FFB" w:rsidRPr="00487FFB" w:rsidRDefault="00487FFB" w:rsidP="00487FFB">
      <w:pPr>
        <w:pStyle w:val="ListParagraph"/>
        <w:rPr>
          <w:b/>
          <w:bCs/>
        </w:rPr>
      </w:pPr>
    </w:p>
    <w:p w14:paraId="137E4270" w14:textId="25128130" w:rsidR="00487FFB" w:rsidRDefault="00487FFB" w:rsidP="00487FFB">
      <w:pPr>
        <w:pStyle w:val="ListParagraph"/>
        <w:numPr>
          <w:ilvl w:val="0"/>
          <w:numId w:val="39"/>
        </w:numPr>
        <w:rPr>
          <w:b/>
          <w:bCs/>
        </w:rPr>
      </w:pPr>
      <w:r w:rsidRPr="00487FFB">
        <w:rPr>
          <w:b/>
          <w:bCs/>
        </w:rPr>
        <w:t>Do you have any other material comments relating to the mechanics of each option or the outline evaluation as articulated? If so, please provide details.</w:t>
      </w:r>
    </w:p>
    <w:p w14:paraId="7F63BF1F" w14:textId="77777777" w:rsidR="003C610D" w:rsidRPr="003C610D" w:rsidRDefault="003C610D" w:rsidP="003C610D">
      <w:pPr>
        <w:pStyle w:val="ListParagraph"/>
        <w:rPr>
          <w:b/>
          <w:bCs/>
        </w:rPr>
      </w:pPr>
    </w:p>
    <w:p w14:paraId="2EF09AEC" w14:textId="6C040173" w:rsidR="00F01F50" w:rsidRDefault="007D2633" w:rsidP="007D2633">
      <w:r>
        <w:t>On option two,</w:t>
      </w:r>
      <w:r w:rsidRPr="00B65D70">
        <w:t xml:space="preserve"> the cap and floor mechanism could be designed to recognise </w:t>
      </w:r>
      <w:r w:rsidR="00D4411C">
        <w:t xml:space="preserve">grid services and </w:t>
      </w:r>
      <w:r w:rsidR="00301904">
        <w:t>t</w:t>
      </w:r>
      <w:r w:rsidR="00D4411C">
        <w:t xml:space="preserve">he role biomass generation </w:t>
      </w:r>
      <w:r w:rsidR="00301904">
        <w:t xml:space="preserve">has </w:t>
      </w:r>
      <w:r w:rsidR="00D4411C">
        <w:t xml:space="preserve">in providing firm </w:t>
      </w:r>
      <w:r w:rsidR="002631A1">
        <w:t>capacity</w:t>
      </w:r>
      <w:r w:rsidR="008274F9">
        <w:t xml:space="preserve">, </w:t>
      </w:r>
      <w:r w:rsidR="002631A1">
        <w:t>valuing</w:t>
      </w:r>
      <w:r w:rsidRPr="00B65D70">
        <w:t xml:space="preserve"> power production </w:t>
      </w:r>
      <w:r w:rsidR="00301904">
        <w:t xml:space="preserve">when </w:t>
      </w:r>
      <w:r w:rsidR="002656ED">
        <w:t xml:space="preserve">it is </w:t>
      </w:r>
      <w:r w:rsidRPr="00B65D70">
        <w:t>most valuable to the grid</w:t>
      </w:r>
      <w:r w:rsidR="00301904">
        <w:t>,</w:t>
      </w:r>
      <w:r w:rsidR="009F73CC">
        <w:t xml:space="preserve"> </w:t>
      </w:r>
      <w:r w:rsidR="00FC4243">
        <w:t xml:space="preserve">and </w:t>
      </w:r>
      <w:r w:rsidR="00AB5701">
        <w:t>encourag</w:t>
      </w:r>
      <w:r w:rsidR="00301904">
        <w:t>ing</w:t>
      </w:r>
      <w:r w:rsidR="00AB5701">
        <w:t xml:space="preserve"> generation at those times</w:t>
      </w:r>
      <w:r w:rsidRPr="00B65D70">
        <w:t>.</w:t>
      </w:r>
      <w:r>
        <w:t xml:space="preserve"> T</w:t>
      </w:r>
      <w:r w:rsidRPr="00B65D70">
        <w:t xml:space="preserve">o continue to provide a strong market signal </w:t>
      </w:r>
      <w:r w:rsidR="00AB5701">
        <w:t>and</w:t>
      </w:r>
      <w:r w:rsidRPr="00B65D70">
        <w:t xml:space="preserve"> maximise generation when appropriate</w:t>
      </w:r>
      <w:r>
        <w:t xml:space="preserve">, government could </w:t>
      </w:r>
      <w:r w:rsidR="00E560B5">
        <w:t xml:space="preserve">also </w:t>
      </w:r>
      <w:r>
        <w:t>consider introducing a tapering mechanism</w:t>
      </w:r>
      <w:r w:rsidR="002656ED">
        <w:t xml:space="preserve"> on the cap</w:t>
      </w:r>
      <w:r w:rsidR="00DF0BF7">
        <w:t>. For</w:t>
      </w:r>
      <w:r>
        <w:t xml:space="preserve"> example, anything above 5% of the cap would be returned in full while generating at 1% </w:t>
      </w:r>
      <w:r w:rsidR="00DF0BF7">
        <w:t>above</w:t>
      </w:r>
      <w:r>
        <w:t xml:space="preserve"> the cap would involve a partial return</w:t>
      </w:r>
      <w:r w:rsidRPr="00B65D70">
        <w:t>.</w:t>
      </w:r>
    </w:p>
    <w:p w14:paraId="44C70A62" w14:textId="77777777" w:rsidR="00F01F50" w:rsidRDefault="00F01F50" w:rsidP="007D2633"/>
    <w:p w14:paraId="008CE0DE" w14:textId="50FD0C07" w:rsidR="007D2633" w:rsidRDefault="007D2633" w:rsidP="007D2633">
      <w:r>
        <w:t xml:space="preserve">Any cap would also need to reflect the risks to the generator </w:t>
      </w:r>
      <w:r w:rsidR="00280EB2">
        <w:t>when it comes to</w:t>
      </w:r>
      <w:r w:rsidR="00144467">
        <w:t xml:space="preserve"> the</w:t>
      </w:r>
      <w:r w:rsidR="00280EB2">
        <w:t xml:space="preserve"> </w:t>
      </w:r>
      <w:r w:rsidR="00144467">
        <w:t xml:space="preserve">strike price within contracts, </w:t>
      </w:r>
      <w:r>
        <w:t>to ensure that the costs of hedging</w:t>
      </w:r>
      <w:r w:rsidR="002D18DE">
        <w:t>,</w:t>
      </w:r>
      <w:r>
        <w:t xml:space="preserve"> at least the minimum output</w:t>
      </w:r>
      <w:r w:rsidR="002D18DE">
        <w:t>,</w:t>
      </w:r>
      <w:r>
        <w:t xml:space="preserve"> are incorporated</w:t>
      </w:r>
      <w:r w:rsidR="00871A39">
        <w:t xml:space="preserve">. This would </w:t>
      </w:r>
      <w:r>
        <w:t>includ</w:t>
      </w:r>
      <w:r w:rsidR="00871A39">
        <w:t>e</w:t>
      </w:r>
      <w:r>
        <w:t xml:space="preserve"> margined and/or non-margined costs. </w:t>
      </w:r>
      <w:r w:rsidR="00871A39">
        <w:t>Government could consider including</w:t>
      </w:r>
      <w:r>
        <w:t xml:space="preserve"> a ‘safety value’ on </w:t>
      </w:r>
      <w:r w:rsidR="00871A39">
        <w:t>any generation collar</w:t>
      </w:r>
      <w:r>
        <w:t xml:space="preserve"> to ensure that the generator is protected </w:t>
      </w:r>
      <w:r w:rsidR="00BD774B">
        <w:t>should they be unable</w:t>
      </w:r>
      <w:r>
        <w:t xml:space="preserve"> to hedge due to extreme market volatility and/or illiquidity as seen in 2022. </w:t>
      </w:r>
      <w:r w:rsidR="00C72ED6">
        <w:t>This would allow for a recalibration of pricing where the generator has acted as a reasonable and prudent operator</w:t>
      </w:r>
      <w:r w:rsidR="006D3806">
        <w:t>,</w:t>
      </w:r>
      <w:r w:rsidR="00C72ED6">
        <w:t xml:space="preserve"> but </w:t>
      </w:r>
      <w:r w:rsidR="00177194">
        <w:t xml:space="preserve">for reasons beyond its control, </w:t>
      </w:r>
      <w:r w:rsidR="00C72ED6">
        <w:t xml:space="preserve">been unable to effectively hedge its output. </w:t>
      </w:r>
      <w:r w:rsidRPr="00B65D70">
        <w:t xml:space="preserve">We </w:t>
      </w:r>
      <w:r>
        <w:t>would also</w:t>
      </w:r>
      <w:r w:rsidR="00123E9E">
        <w:t xml:space="preserve"> encourage government to ensure</w:t>
      </w:r>
      <w:r w:rsidRPr="00B65D70">
        <w:t xml:space="preserve"> that any cap be designed</w:t>
      </w:r>
      <w:r w:rsidR="00821414">
        <w:t xml:space="preserve"> with </w:t>
      </w:r>
      <w:r w:rsidRPr="00B65D70">
        <w:t xml:space="preserve">the </w:t>
      </w:r>
      <w:r w:rsidR="00C62B03">
        <w:t xml:space="preserve">anticipated </w:t>
      </w:r>
      <w:r w:rsidRPr="00B65D70">
        <w:t>operating regime and fuel sourcing</w:t>
      </w:r>
      <w:r>
        <w:t xml:space="preserve"> requirements</w:t>
      </w:r>
      <w:r w:rsidR="00BA7F0C">
        <w:t xml:space="preserve"> </w:t>
      </w:r>
      <w:r w:rsidR="00222FDE">
        <w:t>of future power</w:t>
      </w:r>
      <w:r>
        <w:t xml:space="preserve"> BECCS</w:t>
      </w:r>
      <w:r w:rsidR="00222FDE">
        <w:t xml:space="preserve"> business models</w:t>
      </w:r>
      <w:r w:rsidR="00185BCD">
        <w:t xml:space="preserve"> in mind</w:t>
      </w:r>
      <w:r w:rsidR="00A8219A">
        <w:t xml:space="preserve">, so that there are no </w:t>
      </w:r>
      <w:r w:rsidR="006942F6">
        <w:t>contradictions</w:t>
      </w:r>
      <w:r w:rsidR="00A8219A">
        <w:t xml:space="preserve"> between the </w:t>
      </w:r>
      <w:r w:rsidR="005639FE">
        <w:t xml:space="preserve">bridging </w:t>
      </w:r>
      <w:r w:rsidR="006942F6">
        <w:t>mechanism and operation of BECCS</w:t>
      </w:r>
      <w:r>
        <w:t xml:space="preserve">. </w:t>
      </w:r>
    </w:p>
    <w:p w14:paraId="0AAD7EE0" w14:textId="77777777" w:rsidR="007D2633" w:rsidRDefault="007D2633" w:rsidP="00233B6E"/>
    <w:p w14:paraId="28C2FCE7" w14:textId="650C635E" w:rsidR="00233B6E" w:rsidRDefault="00D82F95" w:rsidP="00233B6E">
      <w:r>
        <w:t>As a</w:t>
      </w:r>
      <w:r w:rsidR="00C76B4B">
        <w:t>n</w:t>
      </w:r>
      <w:r>
        <w:t xml:space="preserve"> overall principle, i</w:t>
      </w:r>
      <w:r w:rsidR="007E0582">
        <w:t xml:space="preserve">t </w:t>
      </w:r>
      <w:r w:rsidR="00C76B4B">
        <w:t xml:space="preserve">is </w:t>
      </w:r>
      <w:r w:rsidR="007E0582">
        <w:t xml:space="preserve">essential that </w:t>
      </w:r>
      <w:r w:rsidR="00F66AB5">
        <w:t xml:space="preserve">government </w:t>
      </w:r>
      <w:r w:rsidR="007848A0">
        <w:t xml:space="preserve">and any counterparty (e.g., LCCC) </w:t>
      </w:r>
      <w:r w:rsidR="007E0582">
        <w:t xml:space="preserve">have agreed </w:t>
      </w:r>
      <w:r w:rsidR="00374AE3">
        <w:t>c</w:t>
      </w:r>
      <w:r w:rsidR="00233B6E" w:rsidRPr="00DA10D7">
        <w:t xml:space="preserve">lear cap and floor levels </w:t>
      </w:r>
      <w:r w:rsidR="00C5118F">
        <w:t xml:space="preserve">with generators </w:t>
      </w:r>
      <w:r w:rsidR="007E0582">
        <w:t xml:space="preserve">for the lifetime of the </w:t>
      </w:r>
      <w:r w:rsidR="00233B6E" w:rsidRPr="00531E42">
        <w:t>contract</w:t>
      </w:r>
      <w:r w:rsidR="0062606C">
        <w:t xml:space="preserve">, </w:t>
      </w:r>
      <w:r>
        <w:t xml:space="preserve">limiting ability for </w:t>
      </w:r>
      <w:r w:rsidR="00E52B68">
        <w:t>adjust</w:t>
      </w:r>
      <w:r w:rsidR="00C5118F">
        <w:t xml:space="preserve">ments </w:t>
      </w:r>
      <w:r>
        <w:t xml:space="preserve">to be </w:t>
      </w:r>
      <w:r w:rsidR="00C5118F">
        <w:t xml:space="preserve">made </w:t>
      </w:r>
      <w:r w:rsidR="00E52B68">
        <w:t>during the contract term</w:t>
      </w:r>
      <w:r w:rsidR="0062606C">
        <w:t xml:space="preserve">. </w:t>
      </w:r>
      <w:r w:rsidR="00374AE3">
        <w:t>This w</w:t>
      </w:r>
      <w:r w:rsidR="007D1979">
        <w:t xml:space="preserve">ould provide generators with greater certainty and ensure generation </w:t>
      </w:r>
      <w:r w:rsidR="006923DF">
        <w:t xml:space="preserve">when most valuable to the grid. </w:t>
      </w:r>
      <w:r w:rsidR="00233B6E">
        <w:t>However,</w:t>
      </w:r>
      <w:r>
        <w:t xml:space="preserve"> recognising </w:t>
      </w:r>
      <w:r w:rsidR="00846EEC">
        <w:t>market</w:t>
      </w:r>
      <w:r w:rsidR="00846EEC">
        <w:t xml:space="preserve"> </w:t>
      </w:r>
      <w:r>
        <w:t>vol</w:t>
      </w:r>
      <w:r w:rsidR="00622C46">
        <w:t>atility</w:t>
      </w:r>
      <w:r w:rsidR="005D05E4">
        <w:t xml:space="preserve">, there should </w:t>
      </w:r>
      <w:r w:rsidR="005864D8">
        <w:t xml:space="preserve">be a mechanism </w:t>
      </w:r>
      <w:r w:rsidR="00233B6E">
        <w:t>to allow for potential changes in feedstock supply</w:t>
      </w:r>
      <w:r w:rsidR="004F16DB">
        <w:t xml:space="preserve"> or </w:t>
      </w:r>
      <w:r w:rsidR="005864D8">
        <w:t>costs</w:t>
      </w:r>
      <w:r w:rsidR="008603EF">
        <w:t>. As such</w:t>
      </w:r>
      <w:r w:rsidR="00233B6E">
        <w:t>, consideration</w:t>
      </w:r>
      <w:r w:rsidR="008603EF">
        <w:t xml:space="preserve"> should</w:t>
      </w:r>
      <w:r w:rsidR="00233B6E">
        <w:t xml:space="preserve"> be given to </w:t>
      </w:r>
      <w:r w:rsidR="00EB0A1F">
        <w:t>adding</w:t>
      </w:r>
      <w:r w:rsidR="00233B6E">
        <w:t xml:space="preserve"> a fuel price reopener </w:t>
      </w:r>
      <w:r w:rsidR="008603EF">
        <w:t xml:space="preserve">clause within </w:t>
      </w:r>
      <w:r w:rsidR="006C717F">
        <w:t>t</w:t>
      </w:r>
      <w:r w:rsidR="008603EF">
        <w:t>he contract</w:t>
      </w:r>
      <w:r w:rsidR="007F55B6">
        <w:t xml:space="preserve">, mitigating risk while </w:t>
      </w:r>
      <w:r w:rsidR="002F257F">
        <w:t>providing generators with the certainty needed to keep generating</w:t>
      </w:r>
      <w:r w:rsidR="00630EE3">
        <w:t>.</w:t>
      </w:r>
      <w:r w:rsidR="000E4F41">
        <w:t xml:space="preserve"> </w:t>
      </w:r>
      <w:r w:rsidR="00233B6E">
        <w:t xml:space="preserve">This </w:t>
      </w:r>
      <w:r w:rsidR="000E4F41">
        <w:t>sh</w:t>
      </w:r>
      <w:r w:rsidR="00233B6E">
        <w:t>ould apply to both option</w:t>
      </w:r>
      <w:r w:rsidR="000E4F41">
        <w:t>s</w:t>
      </w:r>
      <w:r w:rsidR="00233B6E">
        <w:t xml:space="preserve"> one and two. </w:t>
      </w:r>
    </w:p>
    <w:p w14:paraId="3C302408" w14:textId="77777777" w:rsidR="00233B6E" w:rsidRDefault="00233B6E" w:rsidP="00233B6E"/>
    <w:p w14:paraId="1F0E3714" w14:textId="4AC5C5E9" w:rsidR="003C610D" w:rsidRDefault="003C610D" w:rsidP="003C610D">
      <w:r w:rsidRPr="00753277">
        <w:t xml:space="preserve">As set out in response to question </w:t>
      </w:r>
      <w:r w:rsidR="00B9319A">
        <w:t>five</w:t>
      </w:r>
      <w:r w:rsidRPr="00753277">
        <w:t xml:space="preserve">, </w:t>
      </w:r>
      <w:r w:rsidR="004877AC" w:rsidRPr="00753277">
        <w:t>we support one option being chosen for all generators. We would not support an approach that</w:t>
      </w:r>
      <w:r w:rsidR="00A92751" w:rsidRPr="00753277">
        <w:t xml:space="preserve"> applies different options to different generators as this would add complexity, confusion</w:t>
      </w:r>
      <w:r w:rsidR="00753277" w:rsidRPr="00753277">
        <w:t>,</w:t>
      </w:r>
      <w:r w:rsidR="00A92751" w:rsidRPr="00753277">
        <w:t xml:space="preserve"> and potentially time</w:t>
      </w:r>
      <w:r w:rsidR="00753277" w:rsidRPr="00753277">
        <w:t xml:space="preserve">. </w:t>
      </w:r>
    </w:p>
    <w:p w14:paraId="07BDC49F" w14:textId="77777777" w:rsidR="00EB62BD" w:rsidRDefault="00EB62BD" w:rsidP="003C610D"/>
    <w:p w14:paraId="4FC4060D" w14:textId="7213237C" w:rsidR="00EB62BD" w:rsidRPr="00753277" w:rsidRDefault="00AF62C6" w:rsidP="003C610D">
      <w:r>
        <w:t>G</w:t>
      </w:r>
      <w:r w:rsidR="00EB62BD">
        <w:t xml:space="preserve">overnment </w:t>
      </w:r>
      <w:r w:rsidR="00A46D27">
        <w:t>should als</w:t>
      </w:r>
      <w:r w:rsidR="00AC6047">
        <w:t xml:space="preserve">o </w:t>
      </w:r>
      <w:r w:rsidR="00EB62BD">
        <w:t xml:space="preserve">consider any interaction with the Electricity Generator Levy (EGL) </w:t>
      </w:r>
      <w:r w:rsidR="005B5753">
        <w:t>particularly in the case of option one</w:t>
      </w:r>
      <w:r w:rsidR="00A46D27">
        <w:t xml:space="preserve"> where generation may </w:t>
      </w:r>
      <w:r w:rsidR="001E522E">
        <w:t>operate above a cap</w:t>
      </w:r>
      <w:r w:rsidR="005B5753">
        <w:t xml:space="preserve">. </w:t>
      </w:r>
      <w:r w:rsidR="00370524">
        <w:t xml:space="preserve">It is assumed that any new CfD support would be excluded from the </w:t>
      </w:r>
      <w:r w:rsidR="009029D9">
        <w:t xml:space="preserve">EGL, as is currently the case. This should however be made explicit. If not, </w:t>
      </w:r>
      <w:r w:rsidR="004D5C35">
        <w:t>g</w:t>
      </w:r>
      <w:r w:rsidR="009029D9">
        <w:t xml:space="preserve">overnment should be aware </w:t>
      </w:r>
      <w:r w:rsidR="00F05BE9">
        <w:t xml:space="preserve">that the first few months of a potential transitional arrangement will have a different cost base until the EGL </w:t>
      </w:r>
      <w:r w:rsidR="00137CC3">
        <w:t>ends</w:t>
      </w:r>
      <w:r w:rsidR="00C92443">
        <w:t xml:space="preserve"> in 2028, as currently legislated. </w:t>
      </w:r>
    </w:p>
    <w:p w14:paraId="62669817" w14:textId="77777777" w:rsidR="007D73DD" w:rsidRPr="007D73DD" w:rsidRDefault="007D73DD" w:rsidP="007D73DD">
      <w:pPr>
        <w:pStyle w:val="ListParagraph"/>
        <w:rPr>
          <w:b/>
          <w:bCs/>
        </w:rPr>
      </w:pPr>
    </w:p>
    <w:p w14:paraId="356442E2" w14:textId="20612B1C" w:rsidR="007D73DD" w:rsidRDefault="007D73DD" w:rsidP="00487FFB">
      <w:pPr>
        <w:pStyle w:val="ListParagraph"/>
        <w:numPr>
          <w:ilvl w:val="0"/>
          <w:numId w:val="39"/>
        </w:numPr>
        <w:rPr>
          <w:b/>
          <w:bCs/>
        </w:rPr>
      </w:pPr>
      <w:r>
        <w:rPr>
          <w:b/>
          <w:bCs/>
        </w:rPr>
        <w:t>D</w:t>
      </w:r>
      <w:r w:rsidRPr="007D73DD">
        <w:rPr>
          <w:b/>
          <w:bCs/>
        </w:rPr>
        <w:t>o you agree that these options should be discounted and considered as nonpreferred? If not, please provide rationale and any evidence.</w:t>
      </w:r>
    </w:p>
    <w:p w14:paraId="2F2C67EB" w14:textId="77777777" w:rsidR="006403E8" w:rsidRPr="006403E8" w:rsidRDefault="006403E8" w:rsidP="006403E8">
      <w:pPr>
        <w:rPr>
          <w:b/>
          <w:bCs/>
        </w:rPr>
      </w:pPr>
    </w:p>
    <w:p w14:paraId="57C2C023" w14:textId="7B228DAA" w:rsidR="00E966D0" w:rsidRDefault="008232C8" w:rsidP="00E7094F">
      <w:r>
        <w:t>We agree with the rationale for discounting the</w:t>
      </w:r>
      <w:r w:rsidR="00F30E17">
        <w:t xml:space="preserve"> non-preferred</w:t>
      </w:r>
      <w:r>
        <w:t xml:space="preserve"> options. </w:t>
      </w:r>
      <w:r w:rsidR="00F23D2B">
        <w:t xml:space="preserve">While we </w:t>
      </w:r>
      <w:r w:rsidR="00E445BE">
        <w:t>recognise</w:t>
      </w:r>
      <w:r w:rsidR="00F23D2B">
        <w:t xml:space="preserve"> that early deployment of the CfDe is not viable given the timing</w:t>
      </w:r>
      <w:r w:rsidR="0021659F">
        <w:t xml:space="preserve">, it is </w:t>
      </w:r>
      <w:r w:rsidR="00A13C4B">
        <w:t>critical</w:t>
      </w:r>
      <w:r w:rsidR="0021659F">
        <w:t xml:space="preserve"> that the work to develop </w:t>
      </w:r>
      <w:r w:rsidR="00A13C4B">
        <w:t>the dual payment mechanisms for large-scale power BECCS continues at pace</w:t>
      </w:r>
      <w:r w:rsidR="007D36B2">
        <w:t xml:space="preserve"> and in parallel</w:t>
      </w:r>
      <w:r w:rsidR="00C0269C">
        <w:t xml:space="preserve"> this year</w:t>
      </w:r>
      <w:r w:rsidR="007D36B2">
        <w:t xml:space="preserve">, given that </w:t>
      </w:r>
      <w:r w:rsidR="0069317C">
        <w:t xml:space="preserve">the overall </w:t>
      </w:r>
      <w:r w:rsidR="00240B60">
        <w:t>goal of</w:t>
      </w:r>
      <w:r w:rsidR="00F8371B">
        <w:t xml:space="preserve"> the bridging mechanism and business model </w:t>
      </w:r>
      <w:r w:rsidR="004422F0">
        <w:t>are</w:t>
      </w:r>
      <w:r w:rsidR="0069317C">
        <w:t xml:space="preserve"> the </w:t>
      </w:r>
      <w:r w:rsidR="007F4510">
        <w:t>same</w:t>
      </w:r>
      <w:r w:rsidR="001A7189">
        <w:t xml:space="preserve">: </w:t>
      </w:r>
      <w:r w:rsidR="00F8371B">
        <w:t>supporting unabated biomass generation</w:t>
      </w:r>
      <w:r w:rsidR="00D062B4">
        <w:t xml:space="preserve"> to have a pathway to transition to BECCS</w:t>
      </w:r>
      <w:r w:rsidR="0069317C">
        <w:t xml:space="preserve">. </w:t>
      </w:r>
    </w:p>
    <w:p w14:paraId="75A13357" w14:textId="77777777" w:rsidR="00F96C24" w:rsidRPr="00B8205C" w:rsidRDefault="00F96C24" w:rsidP="00B8205C">
      <w:pPr>
        <w:ind w:left="720"/>
        <w:rPr>
          <w:b/>
          <w:bCs/>
        </w:rPr>
      </w:pPr>
    </w:p>
    <w:p w14:paraId="3801D70E" w14:textId="154A406F" w:rsidR="00F96C24" w:rsidRDefault="00B8205C" w:rsidP="009171CF">
      <w:pPr>
        <w:pStyle w:val="ListParagraph"/>
        <w:numPr>
          <w:ilvl w:val="0"/>
          <w:numId w:val="39"/>
        </w:numPr>
        <w:rPr>
          <w:b/>
          <w:bCs/>
        </w:rPr>
      </w:pPr>
      <w:r w:rsidRPr="009171CF">
        <w:rPr>
          <w:b/>
          <w:bCs/>
        </w:rPr>
        <w:t>Do you agree with the eligibility criteria and assessment process set out? If no, how</w:t>
      </w:r>
      <w:r w:rsidR="009171CF" w:rsidRPr="009171CF">
        <w:rPr>
          <w:b/>
          <w:bCs/>
        </w:rPr>
        <w:t xml:space="preserve"> </w:t>
      </w:r>
      <w:r w:rsidRPr="009171CF">
        <w:rPr>
          <w:b/>
          <w:bCs/>
        </w:rPr>
        <w:t>should they be adapted to be more suitable?</w:t>
      </w:r>
    </w:p>
    <w:p w14:paraId="1A60CA7B" w14:textId="77777777" w:rsidR="00960FA8" w:rsidRDefault="00960FA8" w:rsidP="00960FA8">
      <w:pPr>
        <w:rPr>
          <w:b/>
          <w:bCs/>
        </w:rPr>
      </w:pPr>
    </w:p>
    <w:p w14:paraId="18F7FAD0" w14:textId="1270F862" w:rsidR="006D2D42" w:rsidRPr="007175DF" w:rsidRDefault="00265F05" w:rsidP="006D2D42">
      <w:pPr>
        <w:rPr>
          <w:rFonts w:cs="Calibri"/>
        </w:rPr>
      </w:pPr>
      <w:r w:rsidRPr="007175DF">
        <w:rPr>
          <w:rFonts w:cs="Calibri"/>
        </w:rPr>
        <w:t xml:space="preserve">As set out previously, </w:t>
      </w:r>
      <w:r w:rsidR="009C74D5" w:rsidRPr="007175DF">
        <w:rPr>
          <w:rFonts w:cs="Calibri"/>
        </w:rPr>
        <w:t>given the proposed 100</w:t>
      </w:r>
      <w:r w:rsidR="00ED3336">
        <w:rPr>
          <w:rFonts w:cs="Calibri"/>
        </w:rPr>
        <w:t xml:space="preserve"> </w:t>
      </w:r>
      <w:r w:rsidR="009C74D5" w:rsidRPr="007175DF">
        <w:rPr>
          <w:rFonts w:cs="Calibri"/>
        </w:rPr>
        <w:t>MW threshold</w:t>
      </w:r>
      <w:r w:rsidR="00ED3336">
        <w:rPr>
          <w:rFonts w:cs="Calibri"/>
        </w:rPr>
        <w:t>, g</w:t>
      </w:r>
      <w:r w:rsidR="00E848BF" w:rsidRPr="007175DF">
        <w:rPr>
          <w:rFonts w:cs="Calibri"/>
        </w:rPr>
        <w:t>overnment</w:t>
      </w:r>
      <w:r w:rsidR="009C74D5" w:rsidRPr="007175DF">
        <w:rPr>
          <w:rFonts w:cs="Calibri"/>
        </w:rPr>
        <w:t xml:space="preserve"> </w:t>
      </w:r>
      <w:r w:rsidR="004835AE" w:rsidRPr="007175DF">
        <w:rPr>
          <w:rFonts w:cs="Calibri"/>
        </w:rPr>
        <w:t xml:space="preserve">must now </w:t>
      </w:r>
      <w:r w:rsidR="009C74D5" w:rsidRPr="007175DF">
        <w:rPr>
          <w:rFonts w:cs="Calibri"/>
        </w:rPr>
        <w:t xml:space="preserve">make clear how it wishes to </w:t>
      </w:r>
      <w:r w:rsidR="00665CB0" w:rsidRPr="007175DF">
        <w:rPr>
          <w:rFonts w:cs="Calibri"/>
        </w:rPr>
        <w:t xml:space="preserve">ensure </w:t>
      </w:r>
      <w:r w:rsidR="004835AE" w:rsidRPr="007175DF">
        <w:rPr>
          <w:rFonts w:cs="Calibri"/>
        </w:rPr>
        <w:t>th</w:t>
      </w:r>
      <w:r w:rsidR="00665CB0" w:rsidRPr="007175DF">
        <w:rPr>
          <w:rFonts w:cs="Calibri"/>
        </w:rPr>
        <w:t xml:space="preserve">at </w:t>
      </w:r>
      <w:r w:rsidR="00C064A2">
        <w:rPr>
          <w:rFonts w:cs="Calibri"/>
        </w:rPr>
        <w:t>s</w:t>
      </w:r>
      <w:r w:rsidR="00C064A2" w:rsidRPr="007175DF">
        <w:rPr>
          <w:rFonts w:cs="Calibri"/>
        </w:rPr>
        <w:t xml:space="preserve">ub </w:t>
      </w:r>
      <w:r w:rsidR="00665CB0" w:rsidRPr="007175DF">
        <w:rPr>
          <w:rFonts w:cs="Calibri"/>
        </w:rPr>
        <w:t>100 MW generation is also maintained</w:t>
      </w:r>
      <w:r w:rsidR="004835AE" w:rsidRPr="007175DF">
        <w:rPr>
          <w:rFonts w:cs="Calibri"/>
        </w:rPr>
        <w:t xml:space="preserve"> once existing contracting arrangements under the RO </w:t>
      </w:r>
      <w:r w:rsidR="00605544" w:rsidRPr="007175DF">
        <w:rPr>
          <w:rFonts w:cs="Calibri"/>
        </w:rPr>
        <w:t xml:space="preserve">start to </w:t>
      </w:r>
      <w:proofErr w:type="gramStart"/>
      <w:r w:rsidR="00605544" w:rsidRPr="007175DF">
        <w:rPr>
          <w:rFonts w:cs="Calibri"/>
        </w:rPr>
        <w:t>come to an end</w:t>
      </w:r>
      <w:proofErr w:type="gramEnd"/>
      <w:r w:rsidR="00605544" w:rsidRPr="007175DF">
        <w:rPr>
          <w:rFonts w:cs="Calibri"/>
        </w:rPr>
        <w:t xml:space="preserve">. </w:t>
      </w:r>
      <w:r w:rsidR="006D2D42" w:rsidRPr="007175DF">
        <w:rPr>
          <w:rFonts w:cs="Calibri"/>
        </w:rPr>
        <w:t xml:space="preserve">Sub 100 MW biomass power sites account for more than 1100 MW of capacity in the UK, making a significant contribution to low-carbon energy supplies, while also providing important grid services and, in </w:t>
      </w:r>
      <w:proofErr w:type="gramStart"/>
      <w:r w:rsidR="006D2D42" w:rsidRPr="007175DF">
        <w:rPr>
          <w:rFonts w:cs="Calibri"/>
        </w:rPr>
        <w:t>many</w:t>
      </w:r>
      <w:proofErr w:type="gramEnd"/>
      <w:r w:rsidR="006D2D42" w:rsidRPr="007175DF">
        <w:rPr>
          <w:rFonts w:cs="Calibri"/>
        </w:rPr>
        <w:t xml:space="preserve"> cases, essential waste management capacity diverting waste wood and other biogenic waste streams from landfill</w:t>
      </w:r>
      <w:r w:rsidR="00D5493E" w:rsidRPr="007175DF">
        <w:rPr>
          <w:rFonts w:cs="Calibri"/>
        </w:rPr>
        <w:t>.</w:t>
      </w:r>
      <w:r w:rsidR="00794B40">
        <w:rPr>
          <w:rFonts w:cs="Calibri"/>
        </w:rPr>
        <w:t xml:space="preserve"> Further low carbon generation is also at risk in the form of land</w:t>
      </w:r>
      <w:r w:rsidR="004E2C62">
        <w:rPr>
          <w:rFonts w:cs="Calibri"/>
        </w:rPr>
        <w:t xml:space="preserve">fill gas, energy from waste and other renewable generation all coming to the end of their </w:t>
      </w:r>
      <w:r w:rsidR="00D240ED">
        <w:rPr>
          <w:rFonts w:cs="Calibri"/>
        </w:rPr>
        <w:t xml:space="preserve">RO contract arrangements in the next few years. </w:t>
      </w:r>
      <w:proofErr w:type="gramStart"/>
      <w:r w:rsidR="00D5493E" w:rsidRPr="007175DF">
        <w:rPr>
          <w:rFonts w:cs="Calibri"/>
        </w:rPr>
        <w:t>Many</w:t>
      </w:r>
      <w:proofErr w:type="gramEnd"/>
      <w:r w:rsidR="00D5493E" w:rsidRPr="007175DF">
        <w:rPr>
          <w:rFonts w:cs="Calibri"/>
        </w:rPr>
        <w:t xml:space="preserve"> of these sites also have the possibility to </w:t>
      </w:r>
      <w:r w:rsidR="00BA6659" w:rsidRPr="007175DF">
        <w:rPr>
          <w:rFonts w:cs="Calibri"/>
        </w:rPr>
        <w:t>retrofit</w:t>
      </w:r>
      <w:r w:rsidR="00D5493E" w:rsidRPr="007175DF">
        <w:rPr>
          <w:rFonts w:cs="Calibri"/>
        </w:rPr>
        <w:t xml:space="preserve"> BECCS an</w:t>
      </w:r>
      <w:r w:rsidR="00394085" w:rsidRPr="007175DF">
        <w:rPr>
          <w:rFonts w:cs="Calibri"/>
        </w:rPr>
        <w:t>d deliver sizable amounts of negative emissions.</w:t>
      </w:r>
      <w:r w:rsidR="003E774A" w:rsidRPr="007175DF">
        <w:rPr>
          <w:rFonts w:cs="Calibri"/>
        </w:rPr>
        <w:t xml:space="preserve"> Without clarity in the next </w:t>
      </w:r>
      <w:r w:rsidR="009A7207">
        <w:rPr>
          <w:rFonts w:cs="Calibri"/>
        </w:rPr>
        <w:t>12</w:t>
      </w:r>
      <w:r w:rsidR="009A7207" w:rsidRPr="007175DF">
        <w:rPr>
          <w:rFonts w:cs="Calibri"/>
        </w:rPr>
        <w:t xml:space="preserve"> </w:t>
      </w:r>
      <w:r w:rsidR="003E774A" w:rsidRPr="007175DF">
        <w:rPr>
          <w:rFonts w:cs="Calibri"/>
        </w:rPr>
        <w:t>months such sites will</w:t>
      </w:r>
      <w:r w:rsidR="00BA0823" w:rsidRPr="007175DF">
        <w:rPr>
          <w:rFonts w:cs="Calibri"/>
        </w:rPr>
        <w:t xml:space="preserve"> </w:t>
      </w:r>
      <w:r w:rsidR="007175DF" w:rsidRPr="007175DF">
        <w:rPr>
          <w:rFonts w:cs="Calibri"/>
        </w:rPr>
        <w:t>start planning</w:t>
      </w:r>
      <w:r w:rsidR="00BA0823" w:rsidRPr="00BA6659">
        <w:rPr>
          <w:rFonts w:cs="Calibri"/>
        </w:rPr>
        <w:t xml:space="preserve"> decommissioning engines and disbanding operations teams. </w:t>
      </w:r>
      <w:r w:rsidR="00394085" w:rsidRPr="007175DF">
        <w:rPr>
          <w:rFonts w:cs="Calibri"/>
        </w:rPr>
        <w:t xml:space="preserve">Meeting </w:t>
      </w:r>
      <w:r w:rsidR="00056094">
        <w:rPr>
          <w:rFonts w:cs="Calibri"/>
        </w:rPr>
        <w:t>g</w:t>
      </w:r>
      <w:r w:rsidR="00394085" w:rsidRPr="007175DF">
        <w:rPr>
          <w:rFonts w:cs="Calibri"/>
        </w:rPr>
        <w:t>overnment</w:t>
      </w:r>
      <w:r w:rsidR="006249C1" w:rsidRPr="007175DF">
        <w:rPr>
          <w:rFonts w:cs="Calibri"/>
        </w:rPr>
        <w:t xml:space="preserve">’s carbon budgets and decarbonised power grid targets will be </w:t>
      </w:r>
      <w:proofErr w:type="gramStart"/>
      <w:r w:rsidR="006249C1" w:rsidRPr="007175DF">
        <w:rPr>
          <w:rFonts w:cs="Calibri"/>
        </w:rPr>
        <w:t xml:space="preserve">substantially </w:t>
      </w:r>
      <w:r w:rsidR="008A5D36" w:rsidRPr="007175DF">
        <w:rPr>
          <w:rFonts w:cs="Calibri"/>
        </w:rPr>
        <w:t>harder</w:t>
      </w:r>
      <w:proofErr w:type="gramEnd"/>
      <w:r w:rsidR="006249C1" w:rsidRPr="007175DF">
        <w:rPr>
          <w:rFonts w:cs="Calibri"/>
        </w:rPr>
        <w:t xml:space="preserve">, and more expensive, if this </w:t>
      </w:r>
      <w:r w:rsidR="00B105C2">
        <w:rPr>
          <w:rFonts w:cs="Calibri"/>
        </w:rPr>
        <w:t>capacity</w:t>
      </w:r>
      <w:r w:rsidR="006249C1" w:rsidRPr="007175DF">
        <w:rPr>
          <w:rFonts w:cs="Calibri"/>
        </w:rPr>
        <w:t xml:space="preserve"> is lost. </w:t>
      </w:r>
    </w:p>
    <w:p w14:paraId="2DD8D97B" w14:textId="7C5DBF59" w:rsidR="009C74D5" w:rsidRDefault="009C74D5" w:rsidP="00960FA8"/>
    <w:p w14:paraId="5B349E5D" w14:textId="67BE6BFA" w:rsidR="00960FA8" w:rsidRDefault="007175DF" w:rsidP="00960FA8">
      <w:r>
        <w:t>As such, t</w:t>
      </w:r>
      <w:r w:rsidR="006249C1">
        <w:t xml:space="preserve">he REA would support seeing </w:t>
      </w:r>
      <w:r w:rsidR="00265F05">
        <w:t>eligibility criteria</w:t>
      </w:r>
      <w:r w:rsidR="00B105C2">
        <w:t xml:space="preserve"> for the proposed transitional arrangements</w:t>
      </w:r>
      <w:r w:rsidR="00265F05">
        <w:t xml:space="preserve"> </w:t>
      </w:r>
      <w:r w:rsidR="007C0210">
        <w:t>expanded to include Biomass generators of all size, not just those with 100</w:t>
      </w:r>
      <w:r w:rsidR="003A1DFC">
        <w:t xml:space="preserve"> </w:t>
      </w:r>
      <w:r w:rsidR="007C0210">
        <w:t xml:space="preserve">MW or above capacity. </w:t>
      </w:r>
      <w:r w:rsidR="00536047">
        <w:t xml:space="preserve">Just like the large-scale generators, they too need </w:t>
      </w:r>
      <w:r w:rsidR="00787217">
        <w:t>confidence to make investment decisions</w:t>
      </w:r>
      <w:r w:rsidR="00304336">
        <w:t xml:space="preserve"> that will enable them to </w:t>
      </w:r>
      <w:r w:rsidR="00796AFB">
        <w:t>retrofit BECCS units on their sites. Without a bridging mechanism</w:t>
      </w:r>
      <w:r w:rsidR="00E33AC7">
        <w:t xml:space="preserve"> or some form of support,</w:t>
      </w:r>
      <w:r w:rsidR="00796AFB">
        <w:t xml:space="preserve"> th</w:t>
      </w:r>
      <w:r w:rsidR="009C4443">
        <w:t xml:space="preserve">ey simply won’t be </w:t>
      </w:r>
      <w:r w:rsidR="005758D3">
        <w:t>able</w:t>
      </w:r>
      <w:r w:rsidR="009C4443">
        <w:t xml:space="preserve"> to make this a reality.</w:t>
      </w:r>
      <w:r w:rsidR="00215862">
        <w:t xml:space="preserve"> </w:t>
      </w:r>
    </w:p>
    <w:p w14:paraId="34FF37F4" w14:textId="77777777" w:rsidR="00215862" w:rsidRDefault="00215862" w:rsidP="00960FA8"/>
    <w:p w14:paraId="5F0DCD08" w14:textId="6DEA2F7B" w:rsidR="00BC7401" w:rsidRDefault="0003264B" w:rsidP="00BC7401">
      <w:r>
        <w:t>G</w:t>
      </w:r>
      <w:r w:rsidR="00DD46DD">
        <w:t>overnment</w:t>
      </w:r>
      <w:r>
        <w:t xml:space="preserve"> should also</w:t>
      </w:r>
      <w:r w:rsidR="00DD46DD">
        <w:t xml:space="preserve"> </w:t>
      </w:r>
      <w:r w:rsidR="00215862">
        <w:t>recognise</w:t>
      </w:r>
      <w:r w:rsidR="0083605D">
        <w:t xml:space="preserve"> </w:t>
      </w:r>
      <w:r w:rsidR="00215862">
        <w:t xml:space="preserve">the contribution these </w:t>
      </w:r>
      <w:r w:rsidR="0083605D">
        <w:t>generator</w:t>
      </w:r>
      <w:r w:rsidR="00F3585F">
        <w:t>s</w:t>
      </w:r>
      <w:r>
        <w:t xml:space="preserve"> make not just to the power system, but w</w:t>
      </w:r>
      <w:r w:rsidR="0083605D">
        <w:t>ider value chai</w:t>
      </w:r>
      <w:r w:rsidR="005F0503">
        <w:t>n</w:t>
      </w:r>
      <w:r w:rsidR="00646F2B">
        <w:t>. For example, ma</w:t>
      </w:r>
      <w:r w:rsidR="00720013">
        <w:t xml:space="preserve">ny of the small and medium sized generators use feedstocks, </w:t>
      </w:r>
      <w:r w:rsidR="00665074" w:rsidRPr="00665074">
        <w:t xml:space="preserve">predominantly sourced domestically, including waste wood and innovative biomass feedstocks. </w:t>
      </w:r>
      <w:r w:rsidR="00BC7401" w:rsidRPr="00F46832">
        <w:t>M</w:t>
      </w:r>
      <w:r w:rsidR="00BC7401">
        <w:t xml:space="preserve">uch of this </w:t>
      </w:r>
      <w:r w:rsidR="00BC7401" w:rsidRPr="00F46832">
        <w:t xml:space="preserve">locally sourced sustainable waste biomass is no longer </w:t>
      </w:r>
      <w:r w:rsidR="00F96AAF">
        <w:t>able to be</w:t>
      </w:r>
      <w:r w:rsidR="00BC7401" w:rsidRPr="00F46832">
        <w:t xml:space="preserve"> re-used or recycled.</w:t>
      </w:r>
      <w:r w:rsidR="000A305B">
        <w:t xml:space="preserve"> As a result, </w:t>
      </w:r>
      <w:r w:rsidR="00BC7401">
        <w:t>u</w:t>
      </w:r>
      <w:r w:rsidR="00BC7401" w:rsidRPr="00665074">
        <w:t>se of waste wood</w:t>
      </w:r>
      <w:r w:rsidR="00FB6DC3">
        <w:t xml:space="preserve"> for biomass power</w:t>
      </w:r>
      <w:r w:rsidR="00BC7401" w:rsidRPr="00665074">
        <w:t xml:space="preserve"> sees three million tonnes of waste wood diverted from landfill annually. </w:t>
      </w:r>
      <w:r w:rsidR="00BC7401" w:rsidRPr="00F46832">
        <w:t>Accordingly, the</w:t>
      </w:r>
      <w:r w:rsidR="00BC7401">
        <w:t>se generators deliver both</w:t>
      </w:r>
      <w:r w:rsidR="00BC7401" w:rsidRPr="00F46832">
        <w:t xml:space="preserve"> domestic energy security and a circular economy, avoiding waste biomass being exported or going to landfill. Maintaining this capacity will become increasingly </w:t>
      </w:r>
      <w:r w:rsidR="00851282">
        <w:t>important</w:t>
      </w:r>
      <w:r w:rsidR="00BC7401" w:rsidRPr="00F46832">
        <w:t xml:space="preserve"> following proposals from </w:t>
      </w:r>
      <w:r w:rsidR="001133CF">
        <w:t>g</w:t>
      </w:r>
      <w:r w:rsidR="00BC7401" w:rsidRPr="00F46832">
        <w:t xml:space="preserve">overnment to achieve the near elimination of biodegradable waste disposal in landfill by </w:t>
      </w:r>
      <w:r w:rsidR="003D5641" w:rsidRPr="00F46832">
        <w:t>2028 and</w:t>
      </w:r>
      <w:r w:rsidR="00BC7401" w:rsidRPr="00F46832">
        <w:t xml:space="preserve"> consulted on by DEFRA in 2023.</w:t>
      </w:r>
    </w:p>
    <w:p w14:paraId="29A20BEF" w14:textId="77777777" w:rsidR="00BC7401" w:rsidRDefault="00BC7401" w:rsidP="00B2310F"/>
    <w:p w14:paraId="037F3D47" w14:textId="3E721981" w:rsidR="000B0E4E" w:rsidRDefault="00316093" w:rsidP="001F261B">
      <w:r>
        <w:t xml:space="preserve">However, recognising </w:t>
      </w:r>
      <w:r w:rsidR="00EB0362">
        <w:t>the time constraints,</w:t>
      </w:r>
      <w:r w:rsidR="00974B62">
        <w:t xml:space="preserve"> </w:t>
      </w:r>
      <w:r w:rsidR="00A8377A">
        <w:t xml:space="preserve">changing the </w:t>
      </w:r>
      <w:r w:rsidR="00974B62">
        <w:t xml:space="preserve">eligibility criteria </w:t>
      </w:r>
      <w:r w:rsidR="00A8377A">
        <w:t>must not</w:t>
      </w:r>
      <w:r w:rsidR="00450E0D">
        <w:t xml:space="preserve"> come at the expense of time</w:t>
      </w:r>
      <w:r w:rsidR="00A8377A">
        <w:t xml:space="preserve"> and</w:t>
      </w:r>
      <w:r w:rsidR="00974B62">
        <w:t xml:space="preserve"> delay </w:t>
      </w:r>
      <w:r w:rsidR="00EB0362">
        <w:t>the process</w:t>
      </w:r>
      <w:r w:rsidR="001F261B">
        <w:t xml:space="preserve"> of designing and implementing a support mechanism</w:t>
      </w:r>
      <w:r w:rsidR="00556011">
        <w:t xml:space="preserve"> for larg</w:t>
      </w:r>
      <w:r w:rsidR="003318EB">
        <w:t>e</w:t>
      </w:r>
      <w:r w:rsidR="000A5897">
        <w:t>-</w:t>
      </w:r>
      <w:r w:rsidR="00556011">
        <w:t>scale biomass</w:t>
      </w:r>
      <w:r w:rsidR="00916E36">
        <w:t xml:space="preserve">. </w:t>
      </w:r>
      <w:r w:rsidR="0007724D">
        <w:t xml:space="preserve">If government deems this particular mechanism unsuitable for </w:t>
      </w:r>
      <w:r w:rsidR="00EB69E0">
        <w:t>small</w:t>
      </w:r>
      <w:r w:rsidR="00556011">
        <w:t xml:space="preserve"> and medium </w:t>
      </w:r>
      <w:r w:rsidR="00EB69E0">
        <w:t>sites (less than 100 MW) then we’d encourage the</w:t>
      </w:r>
      <w:r w:rsidR="006015F4">
        <w:t>m</w:t>
      </w:r>
      <w:r w:rsidR="00EB69E0">
        <w:t xml:space="preserve"> to </w:t>
      </w:r>
      <w:r w:rsidR="00A84AC3">
        <w:t xml:space="preserve">rapidly </w:t>
      </w:r>
      <w:r w:rsidR="00EB69E0">
        <w:t xml:space="preserve">consider what </w:t>
      </w:r>
      <w:r w:rsidR="006015F4">
        <w:t xml:space="preserve">equivalent </w:t>
      </w:r>
      <w:r w:rsidR="00EB69E0">
        <w:t xml:space="preserve">support </w:t>
      </w:r>
      <w:r w:rsidR="00A84AC3">
        <w:t>can be introduced for those sites</w:t>
      </w:r>
      <w:r w:rsidR="0044767E">
        <w:t xml:space="preserve"> as quickly as possible.</w:t>
      </w:r>
      <w:r w:rsidR="00AC2AEA">
        <w:t xml:space="preserve"> </w:t>
      </w:r>
      <w:r w:rsidR="002016E4">
        <w:t>For example, t</w:t>
      </w:r>
      <w:r w:rsidR="00AC2AEA">
        <w:t xml:space="preserve">he REA </w:t>
      </w:r>
      <w:r w:rsidR="002016E4">
        <w:t xml:space="preserve">is also following workstreams within government on the development of a repowering CfD. We have been </w:t>
      </w:r>
      <w:r w:rsidR="008764DB">
        <w:t>disappointed</w:t>
      </w:r>
      <w:r w:rsidR="002016E4">
        <w:t xml:space="preserve"> that </w:t>
      </w:r>
      <w:r w:rsidR="008764DB">
        <w:t xml:space="preserve">the </w:t>
      </w:r>
      <w:r w:rsidR="002016E4">
        <w:t xml:space="preserve">current consultation on proposed changes to the </w:t>
      </w:r>
      <w:r w:rsidR="003A0CCE">
        <w:t xml:space="preserve">AR7 </w:t>
      </w:r>
      <w:r w:rsidR="002D785A">
        <w:t>is</w:t>
      </w:r>
      <w:r w:rsidR="003A0CCE">
        <w:t xml:space="preserve"> only considering </w:t>
      </w:r>
      <w:r w:rsidR="00953FBB">
        <w:t>repowering CfDs for onshore wind projects</w:t>
      </w:r>
      <w:r w:rsidR="006217CE">
        <w:t xml:space="preserve">, excluding </w:t>
      </w:r>
      <w:r w:rsidR="00953FBB">
        <w:t xml:space="preserve">the 400 MW of landfill gas </w:t>
      </w:r>
      <w:r w:rsidR="006217CE">
        <w:t>capacity</w:t>
      </w:r>
      <w:r w:rsidR="00953FBB">
        <w:t xml:space="preserve">, who will be amongst the first to </w:t>
      </w:r>
      <w:r w:rsidR="006B39EA">
        <w:t>come off RO contracts</w:t>
      </w:r>
      <w:r w:rsidR="006217CE">
        <w:t xml:space="preserve">. </w:t>
      </w:r>
      <w:r w:rsidR="008248C5">
        <w:t xml:space="preserve">If a </w:t>
      </w:r>
      <w:r w:rsidR="006217CE">
        <w:t>bridging</w:t>
      </w:r>
      <w:r w:rsidR="008248C5">
        <w:t xml:space="preserve"> mechanism for </w:t>
      </w:r>
      <w:r w:rsidR="006217CE">
        <w:t xml:space="preserve">wider low carbon generation </w:t>
      </w:r>
      <w:r w:rsidR="00500F9A">
        <w:t>i</w:t>
      </w:r>
      <w:r w:rsidR="008248C5">
        <w:t>s not for</w:t>
      </w:r>
      <w:r w:rsidR="00983741">
        <w:t>thcoming</w:t>
      </w:r>
      <w:r w:rsidR="00500F9A">
        <w:t>,</w:t>
      </w:r>
      <w:r w:rsidR="008248C5">
        <w:t xml:space="preserve"> then</w:t>
      </w:r>
      <w:r w:rsidR="009C22C2">
        <w:t xml:space="preserve"> a wider repowering CfD offer should be developed for all forms of low carbon generation </w:t>
      </w:r>
      <w:r w:rsidR="000B0E4E">
        <w:t>coming to the end of existing contracting arrangements.</w:t>
      </w:r>
      <w:r w:rsidR="00962FCA">
        <w:t xml:space="preserve"> This should be </w:t>
      </w:r>
      <w:r w:rsidR="00500F9A">
        <w:t>signalled</w:t>
      </w:r>
      <w:r w:rsidR="00962FCA">
        <w:t xml:space="preserve"> to the market as a mat</w:t>
      </w:r>
      <w:r w:rsidR="00500F9A">
        <w:t>t</w:t>
      </w:r>
      <w:r w:rsidR="00962FCA">
        <w:t>er of urgency.</w:t>
      </w:r>
      <w:r w:rsidR="00525A3A">
        <w:t xml:space="preserve"> </w:t>
      </w:r>
    </w:p>
    <w:p w14:paraId="72556CBA" w14:textId="77777777" w:rsidR="000B0E4E" w:rsidRDefault="000B0E4E" w:rsidP="001F261B"/>
    <w:p w14:paraId="23C02788" w14:textId="54F72BA7" w:rsidR="00665074" w:rsidRPr="00665074" w:rsidRDefault="000B0E4E" w:rsidP="001F261B">
      <w:r>
        <w:t>A</w:t>
      </w:r>
      <w:r w:rsidR="004735DF">
        <w:t xml:space="preserve"> further </w:t>
      </w:r>
      <w:r>
        <w:t>alternative</w:t>
      </w:r>
      <w:r w:rsidR="004735DF">
        <w:t xml:space="preserve"> that should also not be dismissed would </w:t>
      </w:r>
      <w:r w:rsidR="00850346">
        <w:t>be an</w:t>
      </w:r>
      <w:r w:rsidR="00C6081B">
        <w:t xml:space="preserve"> extension to the current RO for small-medium generators</w:t>
      </w:r>
      <w:r w:rsidR="00962FCA">
        <w:t xml:space="preserve"> which could potentially be a</w:t>
      </w:r>
      <w:r w:rsidR="00991FC8">
        <w:t xml:space="preserve"> fairly straightforward approach. </w:t>
      </w:r>
    </w:p>
    <w:p w14:paraId="5FAFB52D" w14:textId="1DB94342" w:rsidR="00215862" w:rsidRDefault="00215862" w:rsidP="00960FA8"/>
    <w:p w14:paraId="3BE24720" w14:textId="517198CF" w:rsidR="00997922" w:rsidRDefault="00A84AC3" w:rsidP="00960FA8">
      <w:r>
        <w:lastRenderedPageBreak/>
        <w:t>The eligibility criteria also refers to the potential for sites to provide n</w:t>
      </w:r>
      <w:r w:rsidR="00987BAE">
        <w:t>et negative emissions</w:t>
      </w:r>
      <w:r>
        <w:t xml:space="preserve">, and states that </w:t>
      </w:r>
      <w:r w:rsidR="00651451">
        <w:t xml:space="preserve">projects would be expected to provide a lifecycle analysis (LCA) and proposed </w:t>
      </w:r>
      <w:r w:rsidR="00EB7D65">
        <w:t xml:space="preserve">methodology including a monitoring, reporting and verification (MRV) plan. In principle, generators </w:t>
      </w:r>
      <w:r w:rsidR="00A73ED2">
        <w:t>will be able to</w:t>
      </w:r>
      <w:r w:rsidR="001075DF">
        <w:t xml:space="preserve"> provide this information</w:t>
      </w:r>
      <w:r w:rsidR="00500F9A">
        <w:t>,</w:t>
      </w:r>
      <w:r w:rsidR="001075DF">
        <w:t xml:space="preserve"> but it will take time to pull </w:t>
      </w:r>
      <w:r w:rsidR="00982952">
        <w:t>such data and reports</w:t>
      </w:r>
      <w:r w:rsidR="001075DF">
        <w:t xml:space="preserve"> together</w:t>
      </w:r>
      <w:r w:rsidR="00982952">
        <w:t xml:space="preserve">, </w:t>
      </w:r>
      <w:r w:rsidR="001075DF">
        <w:t xml:space="preserve">so clarity is needed about what exactly </w:t>
      </w:r>
      <w:r w:rsidR="00982952">
        <w:t xml:space="preserve">is intended to be </w:t>
      </w:r>
      <w:r w:rsidR="001075DF">
        <w:t xml:space="preserve">included in an LCA and MRV. </w:t>
      </w:r>
    </w:p>
    <w:p w14:paraId="6D7773BA" w14:textId="77777777" w:rsidR="00997922" w:rsidRDefault="00997922" w:rsidP="00960FA8"/>
    <w:p w14:paraId="5B6472F6" w14:textId="4A7A6C3E" w:rsidR="00542484" w:rsidRDefault="00542484" w:rsidP="00960FA8">
      <w:r>
        <w:t xml:space="preserve">Clarity on timing is also needed. </w:t>
      </w:r>
      <w:r w:rsidR="005E1990">
        <w:t xml:space="preserve">The consultation states that </w:t>
      </w:r>
      <w:r w:rsidR="00C41DF8">
        <w:t xml:space="preserve">any </w:t>
      </w:r>
      <w:r w:rsidR="006F22E7">
        <w:t>generator</w:t>
      </w:r>
      <w:r w:rsidR="00C41DF8">
        <w:t xml:space="preserve"> who think</w:t>
      </w:r>
      <w:r w:rsidR="00ED0F2A">
        <w:t>s</w:t>
      </w:r>
      <w:r w:rsidR="00C41DF8">
        <w:t xml:space="preserve"> they might be eligible for transitional support contact the department by 31 March 2024.</w:t>
      </w:r>
      <w:r w:rsidR="006F22E7">
        <w:t xml:space="preserve"> </w:t>
      </w:r>
      <w:r w:rsidR="00DF2E95">
        <w:t xml:space="preserve">We assume </w:t>
      </w:r>
      <w:r w:rsidR="00997922">
        <w:t xml:space="preserve">this </w:t>
      </w:r>
      <w:r w:rsidR="005F48D5">
        <w:t xml:space="preserve">is </w:t>
      </w:r>
      <w:r w:rsidR="00997922">
        <w:t xml:space="preserve">not </w:t>
      </w:r>
      <w:r w:rsidR="003C5ED2">
        <w:t>also the deadline for submitting LCA and MRV plans, to confirm eligibility</w:t>
      </w:r>
      <w:r w:rsidR="008D1846">
        <w:t xml:space="preserve">. </w:t>
      </w:r>
      <w:r w:rsidR="00997922">
        <w:t>However, e</w:t>
      </w:r>
      <w:r w:rsidR="00F44188">
        <w:t xml:space="preserve">xplicit clarification would be welcome. </w:t>
      </w:r>
      <w:r w:rsidR="008317F1">
        <w:t xml:space="preserve">We would also encourage the department to agree on and provide a framework for LCA plans, to ensure consistency </w:t>
      </w:r>
      <w:r w:rsidR="007E5D08">
        <w:t>across generators</w:t>
      </w:r>
      <w:r w:rsidR="00B31018">
        <w:t xml:space="preserve"> as soon as possible</w:t>
      </w:r>
      <w:r w:rsidR="007E5D08">
        <w:t xml:space="preserve">. </w:t>
      </w:r>
    </w:p>
    <w:p w14:paraId="37BECC5A" w14:textId="77777777" w:rsidR="009171CF" w:rsidRDefault="009171CF" w:rsidP="009171CF">
      <w:pPr>
        <w:rPr>
          <w:b/>
          <w:bCs/>
        </w:rPr>
      </w:pPr>
    </w:p>
    <w:p w14:paraId="0CE5AB5A" w14:textId="791F103C" w:rsidR="00B8205C" w:rsidRDefault="006A7D2D" w:rsidP="009171CF">
      <w:pPr>
        <w:pStyle w:val="ListParagraph"/>
        <w:numPr>
          <w:ilvl w:val="0"/>
          <w:numId w:val="39"/>
        </w:numPr>
        <w:rPr>
          <w:b/>
          <w:bCs/>
        </w:rPr>
      </w:pPr>
      <w:r w:rsidRPr="009171CF">
        <w:rPr>
          <w:b/>
          <w:bCs/>
        </w:rPr>
        <w:t>During a transition period from biomass electricity to power BECCS, do you think that the GHG criteria should be strengthened? If so, how? Please provide evidence to support your views.</w:t>
      </w:r>
    </w:p>
    <w:p w14:paraId="137BD422" w14:textId="77777777" w:rsidR="007E5D08" w:rsidRDefault="007E5D08" w:rsidP="007E5D08">
      <w:pPr>
        <w:pStyle w:val="ListParagraph"/>
        <w:rPr>
          <w:b/>
          <w:bCs/>
        </w:rPr>
      </w:pPr>
    </w:p>
    <w:p w14:paraId="696D428A" w14:textId="164F12FA" w:rsidR="00C35AB1" w:rsidRDefault="00DE3655" w:rsidP="00330BF2">
      <w:r>
        <w:t xml:space="preserve">No, we </w:t>
      </w:r>
      <w:r w:rsidRPr="00DE3655">
        <w:t>s</w:t>
      </w:r>
      <w:r w:rsidR="003C2B81">
        <w:t>uggest</w:t>
      </w:r>
      <w:r w:rsidRPr="00DE3655">
        <w:t xml:space="preserve"> </w:t>
      </w:r>
      <w:r w:rsidR="002F69A6">
        <w:t xml:space="preserve">the current GHG criteria as set out under existing Contract for Difference </w:t>
      </w:r>
      <w:r w:rsidR="00D97FFC">
        <w:t>arrangements</w:t>
      </w:r>
      <w:r w:rsidR="002F69A6">
        <w:t xml:space="preserve"> be maintained</w:t>
      </w:r>
      <w:r w:rsidR="00D97FFC">
        <w:t>, until power BECCS is operational, and the business model</w:t>
      </w:r>
      <w:r w:rsidR="004711A1">
        <w:t xml:space="preserve"> can be</w:t>
      </w:r>
      <w:r w:rsidR="00D97FFC">
        <w:t xml:space="preserve"> applied.</w:t>
      </w:r>
      <w:r w:rsidR="0013563F">
        <w:t xml:space="preserve"> This will also allow </w:t>
      </w:r>
      <w:r w:rsidR="00CA15D5">
        <w:t>g</w:t>
      </w:r>
      <w:r w:rsidR="009810D3">
        <w:t>overnment</w:t>
      </w:r>
      <w:r w:rsidR="0013563F">
        <w:t xml:space="preserve"> to consider GHG criteria as part of th</w:t>
      </w:r>
      <w:r w:rsidR="00F560AA">
        <w:t>e</w:t>
      </w:r>
      <w:r w:rsidR="0013563F">
        <w:t xml:space="preserve"> Cross</w:t>
      </w:r>
      <w:r w:rsidR="0083050E">
        <w:t xml:space="preserve"> Sector</w:t>
      </w:r>
      <w:r w:rsidR="0013563F">
        <w:t xml:space="preserve"> Sustainability </w:t>
      </w:r>
      <w:r w:rsidR="00CD6F83">
        <w:t>F</w:t>
      </w:r>
      <w:r w:rsidR="00436F47">
        <w:t xml:space="preserve">ramework, as committed to </w:t>
      </w:r>
      <w:r w:rsidR="00CD6F83">
        <w:t xml:space="preserve">in </w:t>
      </w:r>
      <w:r w:rsidR="00436F47">
        <w:t>the Biomass Strategy</w:t>
      </w:r>
      <w:r w:rsidR="009810D3">
        <w:t xml:space="preserve">, which is the appropriate place for sustainability governance arrangements to </w:t>
      </w:r>
      <w:proofErr w:type="gramStart"/>
      <w:r w:rsidR="009810D3">
        <w:t>be considered</w:t>
      </w:r>
      <w:proofErr w:type="gramEnd"/>
      <w:r w:rsidR="009810D3">
        <w:t>.</w:t>
      </w:r>
      <w:r w:rsidR="005D6059">
        <w:t xml:space="preserve"> </w:t>
      </w:r>
    </w:p>
    <w:p w14:paraId="47881B19" w14:textId="77777777" w:rsidR="003576ED" w:rsidRDefault="003576ED" w:rsidP="00330BF2"/>
    <w:p w14:paraId="5152E65F" w14:textId="77FCB401" w:rsidR="00D97FFC" w:rsidRDefault="00436F47" w:rsidP="00330BF2">
      <w:r>
        <w:t>I</w:t>
      </w:r>
      <w:r w:rsidR="00D97FFC">
        <w:t xml:space="preserve">ndustry welcomes </w:t>
      </w:r>
      <w:r>
        <w:t xml:space="preserve">the review of </w:t>
      </w:r>
      <w:r w:rsidR="00031A81">
        <w:t>sustainability governance arrangements</w:t>
      </w:r>
      <w:r w:rsidR="00344366">
        <w:t>,</w:t>
      </w:r>
      <w:r w:rsidR="00031A81">
        <w:t xml:space="preserve"> </w:t>
      </w:r>
      <w:r w:rsidR="00344366">
        <w:t xml:space="preserve">however, </w:t>
      </w:r>
      <w:r w:rsidR="00193B28">
        <w:t xml:space="preserve">also </w:t>
      </w:r>
      <w:r w:rsidR="00A01D42">
        <w:t>need</w:t>
      </w:r>
      <w:r w:rsidR="00265585">
        <w:t>s</w:t>
      </w:r>
      <w:r w:rsidR="00A01D42">
        <w:t xml:space="preserve"> clarity and consistency </w:t>
      </w:r>
      <w:r w:rsidR="00344366">
        <w:t>within</w:t>
      </w:r>
      <w:r w:rsidR="00A01D42">
        <w:t xml:space="preserve"> contracts</w:t>
      </w:r>
      <w:r w:rsidR="00C35AB1">
        <w:t>,</w:t>
      </w:r>
      <w:r w:rsidR="00193B28">
        <w:t xml:space="preserve"> and would not want to see</w:t>
      </w:r>
      <w:r w:rsidR="001E698D">
        <w:t xml:space="preserve"> </w:t>
      </w:r>
      <w:r w:rsidR="00193B28">
        <w:t>piecemeal</w:t>
      </w:r>
      <w:r w:rsidR="00C35AB1">
        <w:t xml:space="preserve"> changes made during the contract term. There is a particular risk that this could happen given the parallel work </w:t>
      </w:r>
      <w:proofErr w:type="gramStart"/>
      <w:r w:rsidR="00C35AB1">
        <w:t>being undertaken</w:t>
      </w:r>
      <w:proofErr w:type="gramEnd"/>
      <w:r w:rsidR="00C35AB1">
        <w:t xml:space="preserve"> on the power BECCS business model and </w:t>
      </w:r>
      <w:r w:rsidR="0017495B">
        <w:t>C</w:t>
      </w:r>
      <w:r w:rsidR="00C35AB1">
        <w:t xml:space="preserve">ross </w:t>
      </w:r>
      <w:r w:rsidR="0017495B">
        <w:t>S</w:t>
      </w:r>
      <w:r w:rsidR="00C35AB1">
        <w:t xml:space="preserve">ector </w:t>
      </w:r>
      <w:r w:rsidR="0017495B">
        <w:t>S</w:t>
      </w:r>
      <w:r w:rsidR="00C35AB1">
        <w:t xml:space="preserve">ustainability </w:t>
      </w:r>
      <w:r w:rsidR="0017495B">
        <w:t>F</w:t>
      </w:r>
      <w:r w:rsidR="00C35AB1">
        <w:t>ramework</w:t>
      </w:r>
      <w:r w:rsidR="00854F38">
        <w:t xml:space="preserve"> </w:t>
      </w:r>
      <w:r w:rsidR="002F4EB3">
        <w:t xml:space="preserve">and the likelihood that these will not </w:t>
      </w:r>
      <w:r w:rsidR="00B57987">
        <w:t xml:space="preserve">be ready at the same time – as evidenced by </w:t>
      </w:r>
      <w:r w:rsidR="000C35B3">
        <w:t xml:space="preserve">the rationale </w:t>
      </w:r>
      <w:r w:rsidR="00B57987">
        <w:t xml:space="preserve">for discounting the CfDe model </w:t>
      </w:r>
      <w:r w:rsidR="000C35B3">
        <w:t xml:space="preserve">as an option </w:t>
      </w:r>
      <w:r w:rsidR="00B57987">
        <w:t xml:space="preserve">for this support mechanism. </w:t>
      </w:r>
    </w:p>
    <w:p w14:paraId="22253658" w14:textId="77777777" w:rsidR="00D97FFC" w:rsidRDefault="00D97FFC" w:rsidP="00330BF2"/>
    <w:p w14:paraId="3DEAFDF7" w14:textId="1518C3ED" w:rsidR="009171CF" w:rsidRDefault="009171CF" w:rsidP="009171CF">
      <w:pPr>
        <w:pStyle w:val="ListParagraph"/>
        <w:numPr>
          <w:ilvl w:val="0"/>
          <w:numId w:val="39"/>
        </w:numPr>
        <w:rPr>
          <w:b/>
          <w:bCs/>
        </w:rPr>
      </w:pPr>
      <w:r w:rsidRPr="009171CF">
        <w:rPr>
          <w:b/>
          <w:bCs/>
        </w:rPr>
        <w:t>As part of the proposed transitional support arrangements for large-scale biomass generators that plan to transition to power BECCS, do you think that we should increase the minimum percentage of woody biomass that must be obtained from a sustainable source? If so, what should be the minimum percentage be set at? Please provide evidence to support your views.</w:t>
      </w:r>
    </w:p>
    <w:p w14:paraId="2F7FBA7C" w14:textId="77777777" w:rsidR="00730CF5" w:rsidRPr="00730CF5" w:rsidRDefault="00730CF5" w:rsidP="00730CF5">
      <w:pPr>
        <w:pStyle w:val="ListParagraph"/>
      </w:pPr>
    </w:p>
    <w:p w14:paraId="522AB1A3" w14:textId="1FB87514" w:rsidR="00A106A4" w:rsidRDefault="00673046" w:rsidP="001C38EC">
      <w:r>
        <w:t>Because of</w:t>
      </w:r>
      <w:r w:rsidR="00F2752E">
        <w:t xml:space="preserve"> their ongoing commitment to sustainability</w:t>
      </w:r>
      <w:r w:rsidR="000F6ED1">
        <w:t xml:space="preserve"> </w:t>
      </w:r>
      <w:r w:rsidR="00917C30">
        <w:t xml:space="preserve">and transparency, </w:t>
      </w:r>
      <w:r w:rsidR="000F6ED1">
        <w:t>and to comply with various sustainability requirements</w:t>
      </w:r>
      <w:r w:rsidR="00F2752E">
        <w:t xml:space="preserve">, </w:t>
      </w:r>
      <w:r w:rsidR="005E246B">
        <w:t>large</w:t>
      </w:r>
      <w:r w:rsidR="0004221C">
        <w:t>-</w:t>
      </w:r>
      <w:r w:rsidR="005E246B">
        <w:t xml:space="preserve">scale generators already </w:t>
      </w:r>
      <w:r w:rsidR="00EB2090">
        <w:t xml:space="preserve">source </w:t>
      </w:r>
      <w:r w:rsidR="005E246B">
        <w:t>their woody biomass from sustainable resources.</w:t>
      </w:r>
      <w:r w:rsidR="00917C30">
        <w:t xml:space="preserve"> </w:t>
      </w:r>
      <w:r w:rsidR="00EB2090">
        <w:t xml:space="preserve">As such, </w:t>
      </w:r>
      <w:r w:rsidR="00A4346D">
        <w:t>we</w:t>
      </w:r>
      <w:r w:rsidR="009E11DC">
        <w:t xml:space="preserve"> believe industry would be able to meet requirements </w:t>
      </w:r>
      <w:r w:rsidR="001F5FE9">
        <w:t xml:space="preserve">to demonstrate </w:t>
      </w:r>
      <w:r w:rsidR="00EC35A5">
        <w:t>100% sustainable woody biomass</w:t>
      </w:r>
      <w:r w:rsidR="00710A19">
        <w:t xml:space="preserve"> sourcing. However, given the complexity of supply chains, and </w:t>
      </w:r>
      <w:r w:rsidR="00E77EA2">
        <w:t xml:space="preserve">possibility of things going wrong outside of the </w:t>
      </w:r>
      <w:r w:rsidR="00C5708C">
        <w:t>generators</w:t>
      </w:r>
      <w:r w:rsidR="00E77EA2">
        <w:t xml:space="preserve"> control, we suggest that </w:t>
      </w:r>
      <w:r w:rsidR="00C5708C">
        <w:t>a</w:t>
      </w:r>
      <w:r w:rsidR="00596875">
        <w:t xml:space="preserve"> </w:t>
      </w:r>
      <w:r w:rsidR="001C38EC">
        <w:t>5% allowance for operational toleranc</w:t>
      </w:r>
      <w:r w:rsidR="00F11515">
        <w:t>e</w:t>
      </w:r>
      <w:r w:rsidR="00C5708C">
        <w:t xml:space="preserve"> also </w:t>
      </w:r>
      <w:proofErr w:type="gramStart"/>
      <w:r w:rsidR="00C5708C">
        <w:t>be provided</w:t>
      </w:r>
      <w:proofErr w:type="gramEnd"/>
      <w:r w:rsidR="00F11515">
        <w:t xml:space="preserve">. </w:t>
      </w:r>
      <w:r w:rsidR="00F33051">
        <w:t>We feel this would be</w:t>
      </w:r>
      <w:r w:rsidR="005F1020">
        <w:t xml:space="preserve"> a </w:t>
      </w:r>
      <w:r w:rsidR="006C4BB9">
        <w:t>pragmatic</w:t>
      </w:r>
      <w:r w:rsidR="005F1020">
        <w:t xml:space="preserve"> </w:t>
      </w:r>
      <w:r w:rsidR="00980CC4">
        <w:t>way of strengthening existing requirements, and further improving supply chain transparency.</w:t>
      </w:r>
      <w:r w:rsidR="00F33051">
        <w:t xml:space="preserve"> </w:t>
      </w:r>
      <w:r w:rsidR="008477B6">
        <w:t xml:space="preserve"> </w:t>
      </w:r>
    </w:p>
    <w:p w14:paraId="1B087D57" w14:textId="77777777" w:rsidR="008477B6" w:rsidRDefault="008477B6" w:rsidP="001C38EC"/>
    <w:p w14:paraId="254AABCA" w14:textId="7D654F76" w:rsidR="008477B6" w:rsidRDefault="008477B6" w:rsidP="001C38EC">
      <w:r>
        <w:t xml:space="preserve">As with question 10, any change here should also be </w:t>
      </w:r>
      <w:r w:rsidR="00D74E11">
        <w:t xml:space="preserve">consistent with what </w:t>
      </w:r>
      <w:proofErr w:type="gramStart"/>
      <w:r w:rsidR="00D74E11">
        <w:t>is considered</w:t>
      </w:r>
      <w:proofErr w:type="gramEnd"/>
      <w:r w:rsidR="00D74E11">
        <w:t xml:space="preserve"> in the </w:t>
      </w:r>
      <w:r w:rsidR="001A570E">
        <w:t>Cros</w:t>
      </w:r>
      <w:r w:rsidR="002072B3">
        <w:t xml:space="preserve">s </w:t>
      </w:r>
      <w:r w:rsidR="001A570E">
        <w:t>Sector</w:t>
      </w:r>
      <w:r w:rsidR="00D74E11">
        <w:t xml:space="preserve"> </w:t>
      </w:r>
      <w:r w:rsidR="001A570E">
        <w:t>S</w:t>
      </w:r>
      <w:r w:rsidR="00D74E11">
        <w:t xml:space="preserve">ustainability </w:t>
      </w:r>
      <w:r w:rsidR="001A570E">
        <w:t>F</w:t>
      </w:r>
      <w:r w:rsidR="00D74E11">
        <w:t xml:space="preserve">ramework. This will need to consider all biomass supply chains </w:t>
      </w:r>
      <w:r w:rsidR="00306C81">
        <w:t>and how requirements will apply to both domestic and imported feedstocks.</w:t>
      </w:r>
    </w:p>
    <w:p w14:paraId="0776D25B" w14:textId="77777777" w:rsidR="00BD4A1A" w:rsidRDefault="00BD4A1A" w:rsidP="001C38EC"/>
    <w:p w14:paraId="73567A69" w14:textId="77777777" w:rsidR="00FA5180" w:rsidRPr="009E6169" w:rsidRDefault="00A106A4" w:rsidP="006F7CC2">
      <w:pPr>
        <w:pStyle w:val="ListParagraph"/>
        <w:numPr>
          <w:ilvl w:val="0"/>
          <w:numId w:val="39"/>
        </w:numPr>
      </w:pPr>
      <w:r w:rsidRPr="00FA5180">
        <w:rPr>
          <w:b/>
          <w:bCs/>
        </w:rPr>
        <w:t>Are there any additional sustainability criteria we should consider strengthening specifically as part of the proposed transitional support arrangements?</w:t>
      </w:r>
    </w:p>
    <w:p w14:paraId="662DE8C8" w14:textId="77777777" w:rsidR="00493261" w:rsidRDefault="00493261" w:rsidP="009E6169"/>
    <w:p w14:paraId="2DA82C2F" w14:textId="49C5E5AC" w:rsidR="003703EB" w:rsidRDefault="00211199" w:rsidP="003703EB">
      <w:r>
        <w:t xml:space="preserve">No. </w:t>
      </w:r>
      <w:r w:rsidR="003703EB" w:rsidRPr="003703EB">
        <w:t xml:space="preserve">The UK’s bioenergy sustainability governance arrangements are regarded as </w:t>
      </w:r>
      <w:r w:rsidR="00AC74E6">
        <w:t>some</w:t>
      </w:r>
      <w:r w:rsidR="003703EB" w:rsidRPr="003703EB">
        <w:t xml:space="preserve"> of the most comprehensive in the world. </w:t>
      </w:r>
      <w:r w:rsidR="00DB2D1C">
        <w:t>As well as complying with</w:t>
      </w:r>
      <w:r w:rsidR="00A46C49">
        <w:t xml:space="preserve"> various</w:t>
      </w:r>
      <w:r w:rsidR="00DB2D1C">
        <w:t xml:space="preserve"> sustainability requirements </w:t>
      </w:r>
      <w:r w:rsidR="00FC3A5D">
        <w:t xml:space="preserve">set out in </w:t>
      </w:r>
      <w:r w:rsidR="00FC3A5D">
        <w:lastRenderedPageBreak/>
        <w:t>existing government support</w:t>
      </w:r>
      <w:r w:rsidR="00AC74E6">
        <w:t>ed</w:t>
      </w:r>
      <w:r w:rsidR="00FC3A5D">
        <w:t xml:space="preserve"> schemes</w:t>
      </w:r>
      <w:r w:rsidR="00D87215">
        <w:t xml:space="preserve">, many REA members also choose to go further, using </w:t>
      </w:r>
      <w:r w:rsidR="003703EB" w:rsidRPr="003703EB">
        <w:rPr>
          <w:bCs/>
        </w:rPr>
        <w:t>voluntary independent certification schemes</w:t>
      </w:r>
      <w:r w:rsidR="003703EB" w:rsidRPr="003703EB">
        <w:t xml:space="preserve"> </w:t>
      </w:r>
      <w:r w:rsidR="00D87215">
        <w:t xml:space="preserve">like </w:t>
      </w:r>
      <w:r w:rsidR="003703EB" w:rsidRPr="003703EB">
        <w:t>the Sustainable Biomass Program (SBP) certification scheme</w:t>
      </w:r>
      <w:r w:rsidR="00E573C0">
        <w:t>. This</w:t>
      </w:r>
      <w:r w:rsidR="003703EB" w:rsidRPr="003703EB">
        <w:t xml:space="preserve"> provides a comprehensive set of requirements covering carbon</w:t>
      </w:r>
      <w:r w:rsidR="00AC74E6">
        <w:t xml:space="preserve">, </w:t>
      </w:r>
      <w:r w:rsidR="003703EB" w:rsidRPr="003703EB">
        <w:t>environmental, social, and economic criteria</w:t>
      </w:r>
      <w:r w:rsidR="00E573C0">
        <w:t xml:space="preserve"> and i</w:t>
      </w:r>
      <w:r w:rsidR="003703EB" w:rsidRPr="003703EB">
        <w:t xml:space="preserve">ncludes over 30 forestry specific indicators designed to ensure that forests are maintained or increased, biodiversity preserved, and that forests of high conversion value are protected. </w:t>
      </w:r>
    </w:p>
    <w:p w14:paraId="6FC351C6" w14:textId="77777777" w:rsidR="00BF6A4C" w:rsidRDefault="00BF6A4C" w:rsidP="00BF6A4C"/>
    <w:p w14:paraId="57A2F28C" w14:textId="76549D25" w:rsidR="00FA5180" w:rsidRDefault="00BF6A4C" w:rsidP="00BF6A4C">
      <w:r>
        <w:t>In addition, g</w:t>
      </w:r>
      <w:r w:rsidR="00A31205">
        <w:t>overnment has already committed to develop</w:t>
      </w:r>
      <w:r>
        <w:t xml:space="preserve"> </w:t>
      </w:r>
      <w:r w:rsidR="00A31205">
        <w:t xml:space="preserve">a </w:t>
      </w:r>
      <w:r w:rsidR="00D93614">
        <w:t>C</w:t>
      </w:r>
      <w:r w:rsidR="00AD6DCD">
        <w:t xml:space="preserve">ross </w:t>
      </w:r>
      <w:r w:rsidR="00D93614">
        <w:t>S</w:t>
      </w:r>
      <w:r w:rsidR="00AD6DCD">
        <w:t xml:space="preserve">ector </w:t>
      </w:r>
      <w:r w:rsidR="00D93614">
        <w:t>S</w:t>
      </w:r>
      <w:r w:rsidR="00AD6DCD">
        <w:t xml:space="preserve">ustainability </w:t>
      </w:r>
      <w:r w:rsidR="00D93614">
        <w:t>F</w:t>
      </w:r>
      <w:r w:rsidR="00AD6DCD">
        <w:t xml:space="preserve">ramework which </w:t>
      </w:r>
      <w:r w:rsidR="00F47512">
        <w:t xml:space="preserve">will further ensure the </w:t>
      </w:r>
      <w:r w:rsidR="0024015E">
        <w:t xml:space="preserve">same sustainability principles </w:t>
      </w:r>
      <w:proofErr w:type="gramStart"/>
      <w:r w:rsidR="0024015E">
        <w:t>are followed</w:t>
      </w:r>
      <w:proofErr w:type="gramEnd"/>
      <w:r w:rsidR="0024015E">
        <w:t xml:space="preserve"> across all bioenergy sectors. Biomass power generators</w:t>
      </w:r>
      <w:r w:rsidR="00E2668F">
        <w:t xml:space="preserve"> </w:t>
      </w:r>
      <w:r w:rsidR="0061203A" w:rsidRPr="0061203A">
        <w:t>will continue to work with government to ensure that rigorous, science-based sustainability governance arrangements remain up to date and reporting transparent</w:t>
      </w:r>
      <w:r w:rsidR="00B639C0">
        <w:t xml:space="preserve">. However, </w:t>
      </w:r>
      <w:r w:rsidR="00610205">
        <w:t xml:space="preserve">with </w:t>
      </w:r>
      <w:r w:rsidR="00BD4F7B">
        <w:t xml:space="preserve">that </w:t>
      </w:r>
      <w:r w:rsidR="00610205">
        <w:t xml:space="preserve">work already underway, we do not consider this </w:t>
      </w:r>
      <w:r w:rsidR="00F52D75">
        <w:t>an appropriate</w:t>
      </w:r>
      <w:r w:rsidR="00610205">
        <w:t xml:space="preserve"> consultation for </w:t>
      </w:r>
      <w:r w:rsidR="00BD4F7B">
        <w:t>proposing or making further change</w:t>
      </w:r>
      <w:r w:rsidR="00F52D75">
        <w:t xml:space="preserve">s. </w:t>
      </w:r>
    </w:p>
    <w:p w14:paraId="3DAB6D9A" w14:textId="77777777" w:rsidR="00E573C0" w:rsidRDefault="00E573C0" w:rsidP="00E573C0"/>
    <w:p w14:paraId="7B697F7F" w14:textId="1B683C0F" w:rsidR="00E966D0" w:rsidRDefault="00FA5180" w:rsidP="00166F7F">
      <w:pPr>
        <w:pStyle w:val="ListParagraph"/>
        <w:numPr>
          <w:ilvl w:val="0"/>
          <w:numId w:val="39"/>
        </w:numPr>
        <w:rPr>
          <w:b/>
          <w:bCs/>
        </w:rPr>
      </w:pPr>
      <w:r w:rsidRPr="00FA5180">
        <w:rPr>
          <w:b/>
          <w:bCs/>
        </w:rPr>
        <w:t>Do you have any comments on the proposed amendment to the definition of an eligible generator to specify that generating stations which are already generating</w:t>
      </w:r>
      <w:r>
        <w:rPr>
          <w:b/>
          <w:bCs/>
        </w:rPr>
        <w:t xml:space="preserve"> </w:t>
      </w:r>
      <w:r w:rsidRPr="00FA5180">
        <w:rPr>
          <w:b/>
          <w:bCs/>
        </w:rPr>
        <w:t>electricity are eligible generators?</w:t>
      </w:r>
    </w:p>
    <w:p w14:paraId="5080CBC1" w14:textId="77777777" w:rsidR="00406ABA" w:rsidRPr="00406ABA" w:rsidRDefault="00406ABA" w:rsidP="00406ABA"/>
    <w:p w14:paraId="1D6BB106" w14:textId="3E21008D" w:rsidR="00406ABA" w:rsidRDefault="00671AEF" w:rsidP="00406ABA">
      <w:r>
        <w:t xml:space="preserve">We support the need to </w:t>
      </w:r>
      <w:r w:rsidR="00686843">
        <w:t>amend</w:t>
      </w:r>
      <w:r w:rsidR="0065540C">
        <w:t xml:space="preserve"> the definition</w:t>
      </w:r>
      <w:r w:rsidR="00686843">
        <w:t>, especially given our preference for Option</w:t>
      </w:r>
      <w:r w:rsidR="00016346">
        <w:t>s</w:t>
      </w:r>
      <w:r w:rsidR="00686843">
        <w:t xml:space="preserve"> 1 and 2 </w:t>
      </w:r>
      <w:r w:rsidR="00366002">
        <w:t xml:space="preserve">which </w:t>
      </w:r>
      <w:r w:rsidR="00686843">
        <w:t>would need to build on existing CfD</w:t>
      </w:r>
      <w:r w:rsidR="00366002">
        <w:t xml:space="preserve"> legislation</w:t>
      </w:r>
      <w:r w:rsidR="0065540C">
        <w:t xml:space="preserve">. </w:t>
      </w:r>
    </w:p>
    <w:p w14:paraId="0D632969" w14:textId="77777777" w:rsidR="00C00635" w:rsidRPr="00C00635" w:rsidRDefault="00C00635" w:rsidP="00C00635">
      <w:pPr>
        <w:pStyle w:val="ListParagraph"/>
        <w:rPr>
          <w:b/>
          <w:bCs/>
        </w:rPr>
      </w:pPr>
    </w:p>
    <w:p w14:paraId="3E95DB5D" w14:textId="70750C08" w:rsidR="00E60D5C" w:rsidRDefault="00C00635" w:rsidP="00E60D5C">
      <w:pPr>
        <w:pStyle w:val="ListParagraph"/>
        <w:numPr>
          <w:ilvl w:val="0"/>
          <w:numId w:val="39"/>
        </w:numPr>
        <w:rPr>
          <w:b/>
          <w:bCs/>
        </w:rPr>
      </w:pPr>
      <w:r w:rsidRPr="00C00635">
        <w:rPr>
          <w:b/>
          <w:bCs/>
        </w:rPr>
        <w:t>Do you have any comments on the proposed amendment to the definition of an eligible generator to specify that biomass conversion stations are an eligible generating station?</w:t>
      </w:r>
    </w:p>
    <w:p w14:paraId="40258A2B" w14:textId="77777777" w:rsidR="00BC6785" w:rsidRDefault="00BC6785" w:rsidP="00BC6785">
      <w:pPr>
        <w:pStyle w:val="ListParagraph"/>
        <w:rPr>
          <w:b/>
          <w:bCs/>
        </w:rPr>
      </w:pPr>
    </w:p>
    <w:p w14:paraId="334645AA" w14:textId="34A44C63" w:rsidR="00E60D5C" w:rsidRPr="00BC6785" w:rsidRDefault="00686843" w:rsidP="00E60D5C">
      <w:r>
        <w:t xml:space="preserve">We would highlight that the definition will need to recognise that a generating station could </w:t>
      </w:r>
      <w:proofErr w:type="gramStart"/>
      <w:r>
        <w:t>be made</w:t>
      </w:r>
      <w:proofErr w:type="gramEnd"/>
      <w:r>
        <w:t xml:space="preserve"> up of several generating units, so the definition of an eligible generator should be broad</w:t>
      </w:r>
      <w:r w:rsidR="00086867">
        <w:t xml:space="preserve"> enough</w:t>
      </w:r>
      <w:r>
        <w:t xml:space="preserve"> to recognise and capture</w:t>
      </w:r>
      <w:r w:rsidR="00503CC0">
        <w:t xml:space="preserve"> this</w:t>
      </w:r>
      <w:r w:rsidR="000D15F2">
        <w:t xml:space="preserve">. </w:t>
      </w:r>
    </w:p>
    <w:p w14:paraId="1F096253" w14:textId="77777777" w:rsidR="00C00635" w:rsidRPr="00C00635" w:rsidRDefault="00C00635" w:rsidP="00C00635">
      <w:pPr>
        <w:pStyle w:val="ListParagraph"/>
        <w:rPr>
          <w:b/>
          <w:bCs/>
        </w:rPr>
      </w:pPr>
    </w:p>
    <w:p w14:paraId="36F98FAB" w14:textId="016BB6AC" w:rsidR="00C00635" w:rsidRDefault="00C00635" w:rsidP="00166F7F">
      <w:pPr>
        <w:pStyle w:val="ListParagraph"/>
        <w:numPr>
          <w:ilvl w:val="0"/>
          <w:numId w:val="39"/>
        </w:numPr>
        <w:rPr>
          <w:b/>
          <w:bCs/>
        </w:rPr>
      </w:pPr>
      <w:r w:rsidRPr="00C00635">
        <w:rPr>
          <w:b/>
          <w:bCs/>
        </w:rPr>
        <w:t>Do you agree with the government's proposal to enable the Secretary of State to issue a direction to a CfD counterparty to modify any section 10 contract to reflect updated sustainability objectives?</w:t>
      </w:r>
    </w:p>
    <w:p w14:paraId="2A0FF8BC" w14:textId="77777777" w:rsidR="00BC6785" w:rsidRPr="00BC6785" w:rsidRDefault="00BC6785" w:rsidP="00BC6785"/>
    <w:p w14:paraId="715B650E" w14:textId="16278BB1" w:rsidR="00BC6785" w:rsidRPr="00BC6785" w:rsidRDefault="00A43AAC" w:rsidP="00BC6785">
      <w:r>
        <w:t>We understand that t</w:t>
      </w:r>
      <w:r w:rsidR="006C4BB9">
        <w:t xml:space="preserve">he </w:t>
      </w:r>
      <w:r w:rsidR="00BE582B">
        <w:t xml:space="preserve">Secretary of State already has the powers to make these changes </w:t>
      </w:r>
      <w:r w:rsidR="005750E4">
        <w:t xml:space="preserve">so we would not oppose this. However, as set out above, generators need to </w:t>
      </w:r>
      <w:r w:rsidR="00BC6785" w:rsidRPr="00BC6785">
        <w:t>understand</w:t>
      </w:r>
      <w:r w:rsidR="005750E4">
        <w:t xml:space="preserve"> what the</w:t>
      </w:r>
      <w:r w:rsidR="00BC6785" w:rsidRPr="00BC6785">
        <w:t xml:space="preserve"> sustainability criteria are, how they are designed, </w:t>
      </w:r>
      <w:r w:rsidR="005750E4">
        <w:t xml:space="preserve">and </w:t>
      </w:r>
      <w:r w:rsidR="00BC6785" w:rsidRPr="00BC6785">
        <w:t xml:space="preserve">how they </w:t>
      </w:r>
      <w:r w:rsidR="005750E4">
        <w:t>will</w:t>
      </w:r>
      <w:r w:rsidR="008A4203">
        <w:t xml:space="preserve"> potentially</w:t>
      </w:r>
      <w:r w:rsidR="005750E4">
        <w:t xml:space="preserve"> be</w:t>
      </w:r>
      <w:r w:rsidR="00BC6785" w:rsidRPr="00BC6785">
        <w:t xml:space="preserve"> strengthened </w:t>
      </w:r>
      <w:r w:rsidR="005A7FB0">
        <w:t>before</w:t>
      </w:r>
      <w:r w:rsidR="00BC6785" w:rsidRPr="00BC6785">
        <w:t xml:space="preserve"> signing contract</w:t>
      </w:r>
      <w:r w:rsidR="008A4203">
        <w:t>s</w:t>
      </w:r>
      <w:r w:rsidR="00011F87">
        <w:t>.</w:t>
      </w:r>
      <w:r w:rsidR="005A7FB0">
        <w:t xml:space="preserve"> </w:t>
      </w:r>
    </w:p>
    <w:p w14:paraId="26D0FD48" w14:textId="77777777" w:rsidR="00C00635" w:rsidRPr="00C00635" w:rsidRDefault="00C00635" w:rsidP="00C00635">
      <w:pPr>
        <w:pStyle w:val="ListParagraph"/>
        <w:rPr>
          <w:b/>
          <w:bCs/>
        </w:rPr>
      </w:pPr>
    </w:p>
    <w:p w14:paraId="443B0238" w14:textId="451DF9BC" w:rsidR="00C00635" w:rsidRPr="00FA5180" w:rsidRDefault="00C00635" w:rsidP="00166F7F">
      <w:pPr>
        <w:pStyle w:val="ListParagraph"/>
        <w:numPr>
          <w:ilvl w:val="0"/>
          <w:numId w:val="39"/>
        </w:numPr>
        <w:rPr>
          <w:b/>
          <w:bCs/>
        </w:rPr>
      </w:pPr>
      <w:r w:rsidRPr="00C00635">
        <w:rPr>
          <w:b/>
          <w:bCs/>
        </w:rPr>
        <w:t>Do you have any comments on the proposal to make amendments to Contracts for Difference legislation consequential to the design of the support mechanism?</w:t>
      </w:r>
    </w:p>
    <w:p w14:paraId="1323CCB9" w14:textId="77777777" w:rsidR="003E4B3E" w:rsidRDefault="003E4B3E" w:rsidP="00CD13C2"/>
    <w:p w14:paraId="237B3D64" w14:textId="631DF3E9" w:rsidR="003E4B3E" w:rsidRPr="00734D8D" w:rsidRDefault="00B362A6" w:rsidP="00CD13C2">
      <w:r w:rsidRPr="00734D8D">
        <w:t xml:space="preserve">It is important that government </w:t>
      </w:r>
      <w:r w:rsidR="00E23CAB" w:rsidRPr="00734D8D">
        <w:t>considers</w:t>
      </w:r>
      <w:r w:rsidRPr="00734D8D">
        <w:t xml:space="preserve"> how </w:t>
      </w:r>
      <w:r w:rsidR="004F6443" w:rsidRPr="00734D8D">
        <w:t>any changes to Contracts for Difference legislation might interact with other support mechanisms relying on CfD legislation in its current form, for example, power BECCS</w:t>
      </w:r>
      <w:r w:rsidR="00A730FE">
        <w:t xml:space="preserve"> and</w:t>
      </w:r>
      <w:r w:rsidR="004F6443" w:rsidRPr="00734D8D">
        <w:t xml:space="preserve"> </w:t>
      </w:r>
      <w:r w:rsidR="004D6D3F">
        <w:t>GGR</w:t>
      </w:r>
      <w:r w:rsidR="00A730FE">
        <w:t xml:space="preserve"> business models</w:t>
      </w:r>
      <w:r w:rsidR="004D6D3F">
        <w:t xml:space="preserve">, </w:t>
      </w:r>
      <w:r w:rsidR="004F6443" w:rsidRPr="00734D8D">
        <w:t>hydrogen production</w:t>
      </w:r>
      <w:r w:rsidR="00CF1D51">
        <w:t>,</w:t>
      </w:r>
      <w:r w:rsidR="00FC0422">
        <w:t xml:space="preserve"> and</w:t>
      </w:r>
      <w:r w:rsidR="00B13DC3" w:rsidRPr="00734D8D">
        <w:t xml:space="preserve"> </w:t>
      </w:r>
      <w:r w:rsidR="00243FB4">
        <w:t xml:space="preserve">the Industrial Carbon </w:t>
      </w:r>
      <w:r w:rsidR="00A730FE">
        <w:t xml:space="preserve">Capture </w:t>
      </w:r>
      <w:r w:rsidR="00243FB4">
        <w:t xml:space="preserve">Contract </w:t>
      </w:r>
      <w:r w:rsidR="00A730FE">
        <w:t>for energy from waste</w:t>
      </w:r>
      <w:r w:rsidR="00E828E0" w:rsidRPr="00734D8D">
        <w:t>. In addition, consideration should be given to contract length</w:t>
      </w:r>
      <w:r w:rsidR="007B51D4" w:rsidRPr="00734D8D">
        <w:t xml:space="preserve"> </w:t>
      </w:r>
      <w:r w:rsidR="00E828E0" w:rsidRPr="00734D8D">
        <w:t xml:space="preserve">and how </w:t>
      </w:r>
      <w:r w:rsidR="00FB70C7">
        <w:t>bi-lateral negotiations</w:t>
      </w:r>
      <w:r w:rsidR="00E23CAB">
        <w:t>, as suggested in this consultation</w:t>
      </w:r>
      <w:r w:rsidR="00FB70C7">
        <w:t xml:space="preserve">, might </w:t>
      </w:r>
      <w:r w:rsidR="00196651" w:rsidRPr="00734D8D">
        <w:t>interact with repowering CfDs</w:t>
      </w:r>
      <w:r w:rsidR="0093790E" w:rsidRPr="00734D8D">
        <w:t xml:space="preserve">, currently being consulted on as part of the </w:t>
      </w:r>
      <w:r w:rsidR="00734D8D" w:rsidRPr="00734D8D">
        <w:t xml:space="preserve">CfD </w:t>
      </w:r>
      <w:r w:rsidR="0093790E" w:rsidRPr="00734D8D">
        <w:t>Allocation Round 7</w:t>
      </w:r>
      <w:r w:rsidR="00196651" w:rsidRPr="00734D8D">
        <w:t xml:space="preserve">. </w:t>
      </w:r>
      <w:r w:rsidR="001814B7" w:rsidRPr="00734D8D">
        <w:t xml:space="preserve"> </w:t>
      </w:r>
    </w:p>
    <w:p w14:paraId="6F744A1A" w14:textId="77777777" w:rsidR="005121EC" w:rsidRPr="005121EC" w:rsidRDefault="005121EC" w:rsidP="00CD13C2">
      <w:pPr>
        <w:rPr>
          <w:highlight w:val="yellow"/>
        </w:rPr>
      </w:pPr>
    </w:p>
    <w:sectPr w:rsidR="005121EC" w:rsidRPr="005121EC" w:rsidSect="00C25E15">
      <w:headerReference w:type="even" r:id="rId11"/>
      <w:headerReference w:type="default" r:id="rId12"/>
      <w:footerReference w:type="even" r:id="rId13"/>
      <w:footerReference w:type="default" r:id="rId14"/>
      <w:headerReference w:type="first" r:id="rId15"/>
      <w:footerReference w:type="first" r:id="rId16"/>
      <w:pgSz w:w="11906" w:h="16838"/>
      <w:pgMar w:top="284" w:right="1440" w:bottom="1440" w:left="1440" w:header="290" w:footer="3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BEF71" w14:textId="77777777" w:rsidR="00C25E15" w:rsidRDefault="00C25E15" w:rsidP="00B31E85">
      <w:r>
        <w:separator/>
      </w:r>
    </w:p>
  </w:endnote>
  <w:endnote w:type="continuationSeparator" w:id="0">
    <w:p w14:paraId="2005BF68" w14:textId="77777777" w:rsidR="00C25E15" w:rsidRDefault="00C25E15" w:rsidP="00B31E85">
      <w:r>
        <w:continuationSeparator/>
      </w:r>
    </w:p>
  </w:endnote>
  <w:endnote w:type="continuationNotice" w:id="1">
    <w:p w14:paraId="0D6DF27C" w14:textId="77777777" w:rsidR="001A16A9" w:rsidRDefault="001A1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PT-Light">
    <w:altName w:val="Times New Roman"/>
    <w:charset w:val="00"/>
    <w:family w:val="swiss"/>
    <w:pitch w:val="variable"/>
  </w:font>
  <w:font w:name="Open Sans">
    <w:charset w:val="00"/>
    <w:family w:val="swiss"/>
    <w:pitch w:val="variable"/>
    <w:sig w:usb0="E00002EF" w:usb1="4000205B" w:usb2="00000028" w:usb3="00000000" w:csb0="0000019F" w:csb1="00000000"/>
  </w:font>
  <w:font w:name="FuturaPT-Book">
    <w:altName w:val="Century Gothic"/>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ECCE" w14:textId="77777777" w:rsidR="007B71B7" w:rsidRDefault="007B7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377164"/>
      <w:docPartObj>
        <w:docPartGallery w:val="Page Numbers (Bottom of Page)"/>
        <w:docPartUnique/>
      </w:docPartObj>
    </w:sdtPr>
    <w:sdtEndPr>
      <w:rPr>
        <w:color w:val="7F7F7F" w:themeColor="background1" w:themeShade="7F"/>
        <w:spacing w:val="60"/>
      </w:rPr>
    </w:sdtEndPr>
    <w:sdtContent>
      <w:p w14:paraId="4C8821A1" w14:textId="77777777" w:rsidR="00835DAE" w:rsidRDefault="00835DAE" w:rsidP="00B31E85">
        <w:pPr>
          <w:pStyle w:val="Footer"/>
          <w:rPr>
            <w:b/>
            <w:bCs/>
          </w:rPr>
        </w:pPr>
        <w:r w:rsidRPr="00835DAE">
          <w:fldChar w:fldCharType="begin"/>
        </w:r>
        <w:r w:rsidRPr="00835DAE">
          <w:instrText xml:space="preserve"> PAGE   \* MERGEFORMAT </w:instrText>
        </w:r>
        <w:r w:rsidRPr="00835DAE">
          <w:fldChar w:fldCharType="separate"/>
        </w:r>
        <w:r w:rsidRPr="00835DAE">
          <w:rPr>
            <w:b/>
            <w:bCs/>
            <w:noProof/>
          </w:rPr>
          <w:t>2</w:t>
        </w:r>
        <w:r w:rsidRPr="00835DAE">
          <w:rPr>
            <w:b/>
            <w:bCs/>
            <w:noProof/>
          </w:rPr>
          <w:fldChar w:fldCharType="end"/>
        </w:r>
        <w:r w:rsidRPr="00835DAE">
          <w:rPr>
            <w:b/>
            <w:bCs/>
          </w:rPr>
          <w:t xml:space="preserve"> | </w:t>
        </w:r>
        <w:r w:rsidRPr="00835DAE">
          <w:rPr>
            <w:color w:val="7F7F7F" w:themeColor="background1" w:themeShade="7F"/>
            <w:spacing w:val="60"/>
          </w:rPr>
          <w:t>Page</w:t>
        </w:r>
      </w:p>
    </w:sdtContent>
  </w:sdt>
  <w:p w14:paraId="1D7F0711" w14:textId="77777777" w:rsidR="00041FFC" w:rsidRPr="00835DAE" w:rsidRDefault="00041FFC" w:rsidP="00B31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B1C4" w14:textId="77777777" w:rsidR="00835DAE" w:rsidRDefault="00835DAE" w:rsidP="00B31E85">
    <w:pPr>
      <w:pStyle w:val="BodyText"/>
    </w:pPr>
    <w:r>
      <w:rPr>
        <w:noProof/>
        <w:lang w:eastAsia="en-GB"/>
      </w:rPr>
      <mc:AlternateContent>
        <mc:Choice Requires="wpg">
          <w:drawing>
            <wp:inline distT="0" distB="0" distL="0" distR="0" wp14:anchorId="61813EDD" wp14:editId="36557C07">
              <wp:extent cx="6060440" cy="15875"/>
              <wp:effectExtent l="9525" t="9525" r="1651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0440" cy="15875"/>
                        <a:chOff x="0" y="0"/>
                        <a:chExt cx="9544" cy="25"/>
                      </a:xfrm>
                    </wpg:grpSpPr>
                    <wps:wsp>
                      <wps:cNvPr id="2" name="Line 2"/>
                      <wps:cNvCnPr/>
                      <wps:spPr bwMode="auto">
                        <a:xfrm>
                          <a:off x="0" y="12"/>
                          <a:ext cx="9544" cy="0"/>
                        </a:xfrm>
                        <a:prstGeom prst="line">
                          <a:avLst/>
                        </a:prstGeom>
                        <a:noFill/>
                        <a:ln w="15672">
                          <a:solidFill>
                            <a:srgbClr val="41906D"/>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50713D" id="Group 1" o:spid="_x0000_s1026" style="width:477.2pt;height:1.25pt;mso-position-horizontal-relative:char;mso-position-vertical-relative:line" coordsize="9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">
              <v:line id="Line 2" o:spid="_x0000_s1027" style="position:absolute;visibility:visible;mso-wrap-style:square" from="0,12" to="95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" strokecolor="#41906d" strokeweight=".43533mm"/>
              <w10:anchorlock/>
            </v:group>
          </w:pict>
        </mc:Fallback>
      </mc:AlternateContent>
    </w:r>
  </w:p>
  <w:p w14:paraId="3C838020" w14:textId="77777777" w:rsidR="00835DAE" w:rsidRPr="0096171A" w:rsidRDefault="00835DAE" w:rsidP="003A3169">
    <w:pPr>
      <w:pStyle w:val="BodyText"/>
      <w:jc w:val="center"/>
    </w:pPr>
    <w:r w:rsidRPr="0096171A">
      <w:t>THE ASSOCIATION FOR RENEWABLE ENERGY AND CLEAN TECHNOLOGY</w:t>
    </w:r>
  </w:p>
  <w:p w14:paraId="1BD70FE3" w14:textId="77777777" w:rsidR="009C2847" w:rsidRDefault="009C2847" w:rsidP="007B71B7">
    <w:pPr>
      <w:pStyle w:val="BodyText"/>
      <w:jc w:val="center"/>
    </w:pPr>
    <w:r w:rsidRPr="009C2847">
      <w:t>York House, 23 Kingsway, London WC2B 6UJ</w:t>
    </w:r>
  </w:p>
  <w:p w14:paraId="24893D26" w14:textId="77777777" w:rsidR="00835DAE" w:rsidRDefault="00835DAE" w:rsidP="007B71B7">
    <w:pPr>
      <w:pStyle w:val="BodyText"/>
      <w:jc w:val="center"/>
      <w:rPr>
        <w:color w:val="06926B"/>
        <w:sz w:val="18"/>
        <w:szCs w:val="18"/>
      </w:rPr>
    </w:pPr>
    <w:r w:rsidRPr="0096171A">
      <w:rPr>
        <w:rFonts w:ascii="FuturaPT-Book"/>
        <w:color w:val="06926B"/>
        <w:sz w:val="18"/>
        <w:szCs w:val="18"/>
      </w:rPr>
      <w:t xml:space="preserve">Tel: </w:t>
    </w:r>
    <w:r w:rsidRPr="0096171A">
      <w:rPr>
        <w:color w:val="06926B"/>
        <w:sz w:val="18"/>
        <w:szCs w:val="18"/>
      </w:rPr>
      <w:t xml:space="preserve">+44 (0)20 7925 3570 </w:t>
    </w:r>
    <w:r w:rsidRPr="0096171A">
      <w:rPr>
        <w:rFonts w:ascii="FuturaPT-Book"/>
        <w:color w:val="06926B"/>
        <w:sz w:val="18"/>
        <w:szCs w:val="18"/>
      </w:rPr>
      <w:t xml:space="preserve">Email: </w:t>
    </w:r>
    <w:hyperlink r:id="rId1">
      <w:r w:rsidRPr="0096171A">
        <w:rPr>
          <w:color w:val="06926B"/>
          <w:sz w:val="18"/>
          <w:szCs w:val="18"/>
        </w:rPr>
        <w:t>info@r-e-a.net</w:t>
      </w:r>
    </w:hyperlink>
    <w:r w:rsidRPr="0096171A">
      <w:rPr>
        <w:color w:val="06926B"/>
        <w:sz w:val="18"/>
        <w:szCs w:val="18"/>
      </w:rPr>
      <w:t xml:space="preserve"> </w:t>
    </w:r>
    <w:r w:rsidRPr="0096171A">
      <w:rPr>
        <w:rFonts w:ascii="FuturaPT-Book"/>
        <w:color w:val="06926B"/>
        <w:sz w:val="18"/>
        <w:szCs w:val="18"/>
      </w:rPr>
      <w:t xml:space="preserve">Web: </w:t>
    </w:r>
    <w:hyperlink r:id="rId2">
      <w:r w:rsidRPr="0096171A">
        <w:rPr>
          <w:color w:val="06926B"/>
          <w:sz w:val="18"/>
          <w:szCs w:val="18"/>
        </w:rPr>
        <w:t>www.r-e-a.net</w:t>
      </w:r>
    </w:hyperlink>
  </w:p>
  <w:p w14:paraId="3FFBB1CC" w14:textId="77777777" w:rsidR="00041FFC" w:rsidRDefault="00835DAE" w:rsidP="007B71B7">
    <w:pPr>
      <w:pStyle w:val="BodyText"/>
      <w:jc w:val="center"/>
    </w:pPr>
    <w:r w:rsidRPr="00041FFC">
      <w:t>Company no: 04241430</w:t>
    </w:r>
    <w:r>
      <w:t xml:space="preserve">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39D61" w14:textId="77777777" w:rsidR="00C25E15" w:rsidRDefault="00C25E15" w:rsidP="00B31E85">
      <w:r>
        <w:separator/>
      </w:r>
    </w:p>
  </w:footnote>
  <w:footnote w:type="continuationSeparator" w:id="0">
    <w:p w14:paraId="01510190" w14:textId="77777777" w:rsidR="00C25E15" w:rsidRDefault="00C25E15" w:rsidP="00B31E85">
      <w:r>
        <w:continuationSeparator/>
      </w:r>
    </w:p>
  </w:footnote>
  <w:footnote w:type="continuationNotice" w:id="1">
    <w:p w14:paraId="1FD389D6" w14:textId="77777777" w:rsidR="001A16A9" w:rsidRDefault="001A1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CABC" w14:textId="77777777" w:rsidR="007B71B7" w:rsidRDefault="007B7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A392" w14:textId="77777777" w:rsidR="00124D3A" w:rsidRDefault="00124D3A" w:rsidP="003A3169">
    <w:pPr>
      <w:pStyle w:val="Header"/>
      <w:jc w:val="right"/>
    </w:pPr>
    <w:r>
      <w:rPr>
        <w:noProof/>
        <w:lang w:eastAsia="en-GB"/>
      </w:rPr>
      <w:drawing>
        <wp:inline distT="0" distB="0" distL="0" distR="0" wp14:anchorId="5DE3C31E" wp14:editId="05C13463">
          <wp:extent cx="1706840" cy="707202"/>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9EDD" w14:textId="77777777" w:rsidR="00835DAE" w:rsidRDefault="00835DAE" w:rsidP="003A3169">
    <w:pPr>
      <w:pStyle w:val="Header"/>
      <w:jc w:val="right"/>
    </w:pPr>
    <w:r>
      <w:rPr>
        <w:noProof/>
        <w:lang w:eastAsia="en-GB"/>
      </w:rPr>
      <w:drawing>
        <wp:inline distT="0" distB="0" distL="0" distR="0" wp14:anchorId="60036F50" wp14:editId="7ED2367C">
          <wp:extent cx="1706840" cy="70720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 MASTER BRIGHT LOGO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6840" cy="70720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zyC9c0ti" int2:invalidationBookmarkName="" int2:hashCode="e0dMsLOcF3PXGS" int2:id="3Ga2upE4">
      <int2:state int2:value="Rejected" int2:type="AugLoop_Text_Critique"/>
    </int2:bookmark>
    <int2:bookmark int2:bookmarkName="_Int_UsLjlnnY" int2:invalidationBookmarkName="" int2:hashCode="Yw3xlMWxCr+pXZ" int2:id="f12fbu2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09E"/>
    <w:multiLevelType w:val="hybridMultilevel"/>
    <w:tmpl w:val="043CB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12C46"/>
    <w:multiLevelType w:val="hybridMultilevel"/>
    <w:tmpl w:val="6E9A9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0417"/>
    <w:multiLevelType w:val="hybridMultilevel"/>
    <w:tmpl w:val="13B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F0521"/>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5798F"/>
    <w:multiLevelType w:val="hybridMultilevel"/>
    <w:tmpl w:val="7FF668E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43D2394"/>
    <w:multiLevelType w:val="hybridMultilevel"/>
    <w:tmpl w:val="4A143B1C"/>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6" w15:restartNumberingAfterBreak="0">
    <w:nsid w:val="15077109"/>
    <w:multiLevelType w:val="hybridMultilevel"/>
    <w:tmpl w:val="8528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518B0"/>
    <w:multiLevelType w:val="hybridMultilevel"/>
    <w:tmpl w:val="A052F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4480C"/>
    <w:multiLevelType w:val="hybridMultilevel"/>
    <w:tmpl w:val="54B0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2A0EE6"/>
    <w:multiLevelType w:val="hybridMultilevel"/>
    <w:tmpl w:val="968295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F7367"/>
    <w:multiLevelType w:val="hybridMultilevel"/>
    <w:tmpl w:val="C7BE5046"/>
    <w:lvl w:ilvl="0" w:tplc="7E60AE38">
      <w:start w:val="1"/>
      <w:numFmt w:val="decimal"/>
      <w:lvlText w:val="%1."/>
      <w:lvlJc w:val="left"/>
      <w:pPr>
        <w:ind w:left="720" w:hanging="720"/>
      </w:pPr>
      <w:rPr>
        <w:rFonts w:hint="default"/>
      </w:rPr>
    </w:lvl>
    <w:lvl w:ilvl="1" w:tplc="1884FB26">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A67419"/>
    <w:multiLevelType w:val="hybridMultilevel"/>
    <w:tmpl w:val="7044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86373"/>
    <w:multiLevelType w:val="hybridMultilevel"/>
    <w:tmpl w:val="1BBC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3F6C"/>
    <w:multiLevelType w:val="hybridMultilevel"/>
    <w:tmpl w:val="86BE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A3BFC"/>
    <w:multiLevelType w:val="hybridMultilevel"/>
    <w:tmpl w:val="FC26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88155E"/>
    <w:multiLevelType w:val="hybridMultilevel"/>
    <w:tmpl w:val="B8B0C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971B4"/>
    <w:multiLevelType w:val="hybridMultilevel"/>
    <w:tmpl w:val="B182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F3967"/>
    <w:multiLevelType w:val="hybridMultilevel"/>
    <w:tmpl w:val="9F5C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1515"/>
    <w:multiLevelType w:val="hybridMultilevel"/>
    <w:tmpl w:val="FC1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731B30"/>
    <w:multiLevelType w:val="hybridMultilevel"/>
    <w:tmpl w:val="6E48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54409"/>
    <w:multiLevelType w:val="hybridMultilevel"/>
    <w:tmpl w:val="E360856C"/>
    <w:lvl w:ilvl="0" w:tplc="F9D882E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086151"/>
    <w:multiLevelType w:val="hybridMultilevel"/>
    <w:tmpl w:val="3E325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2C2369"/>
    <w:multiLevelType w:val="hybridMultilevel"/>
    <w:tmpl w:val="5888CE28"/>
    <w:lvl w:ilvl="0" w:tplc="0409000F">
      <w:start w:val="1"/>
      <w:numFmt w:val="decimal"/>
      <w:lvlText w:val="%1."/>
      <w:lvlJc w:val="left"/>
      <w:pPr>
        <w:ind w:left="782" w:hanging="360"/>
      </w:p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23" w15:restartNumberingAfterBreak="0">
    <w:nsid w:val="5BA51321"/>
    <w:multiLevelType w:val="hybridMultilevel"/>
    <w:tmpl w:val="2B9C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FB42E0"/>
    <w:multiLevelType w:val="hybridMultilevel"/>
    <w:tmpl w:val="A2AE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E41A73"/>
    <w:multiLevelType w:val="hybridMultilevel"/>
    <w:tmpl w:val="BF0E1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34A7F"/>
    <w:multiLevelType w:val="hybridMultilevel"/>
    <w:tmpl w:val="2834C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E87885"/>
    <w:multiLevelType w:val="hybridMultilevel"/>
    <w:tmpl w:val="D4F693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EE3CEC"/>
    <w:multiLevelType w:val="hybridMultilevel"/>
    <w:tmpl w:val="F506B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B2557"/>
    <w:multiLevelType w:val="multilevel"/>
    <w:tmpl w:val="42F40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9D29DD"/>
    <w:multiLevelType w:val="hybridMultilevel"/>
    <w:tmpl w:val="939C49E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4449E5"/>
    <w:multiLevelType w:val="hybridMultilevel"/>
    <w:tmpl w:val="332EB7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B47C49"/>
    <w:multiLevelType w:val="hybridMultilevel"/>
    <w:tmpl w:val="A4DC2B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A5A95"/>
    <w:multiLevelType w:val="hybridMultilevel"/>
    <w:tmpl w:val="8BA6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F2D67"/>
    <w:multiLevelType w:val="hybridMultilevel"/>
    <w:tmpl w:val="FC9E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A90772"/>
    <w:multiLevelType w:val="hybridMultilevel"/>
    <w:tmpl w:val="942A7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F691E"/>
    <w:multiLevelType w:val="hybridMultilevel"/>
    <w:tmpl w:val="0514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04985"/>
    <w:multiLevelType w:val="hybridMultilevel"/>
    <w:tmpl w:val="8F36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3A2E73"/>
    <w:multiLevelType w:val="hybridMultilevel"/>
    <w:tmpl w:val="46D4B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163734">
    <w:abstractNumId w:val="13"/>
  </w:num>
  <w:num w:numId="2" w16cid:durableId="618143085">
    <w:abstractNumId w:val="0"/>
  </w:num>
  <w:num w:numId="3" w16cid:durableId="1312054365">
    <w:abstractNumId w:val="2"/>
  </w:num>
  <w:num w:numId="4" w16cid:durableId="316494722">
    <w:abstractNumId w:val="7"/>
  </w:num>
  <w:num w:numId="5" w16cid:durableId="453867950">
    <w:abstractNumId w:val="28"/>
  </w:num>
  <w:num w:numId="6" w16cid:durableId="524174169">
    <w:abstractNumId w:val="36"/>
  </w:num>
  <w:num w:numId="7" w16cid:durableId="2120908238">
    <w:abstractNumId w:val="6"/>
  </w:num>
  <w:num w:numId="8" w16cid:durableId="444619946">
    <w:abstractNumId w:val="23"/>
  </w:num>
  <w:num w:numId="9" w16cid:durableId="1197158275">
    <w:abstractNumId w:val="37"/>
  </w:num>
  <w:num w:numId="10" w16cid:durableId="1047946230">
    <w:abstractNumId w:val="12"/>
  </w:num>
  <w:num w:numId="11" w16cid:durableId="479150327">
    <w:abstractNumId w:val="15"/>
  </w:num>
  <w:num w:numId="12" w16cid:durableId="1148060712">
    <w:abstractNumId w:val="35"/>
  </w:num>
  <w:num w:numId="13" w16cid:durableId="861820517">
    <w:abstractNumId w:val="17"/>
  </w:num>
  <w:num w:numId="14" w16cid:durableId="282419833">
    <w:abstractNumId w:val="8"/>
  </w:num>
  <w:num w:numId="15" w16cid:durableId="351957710">
    <w:abstractNumId w:val="18"/>
  </w:num>
  <w:num w:numId="16" w16cid:durableId="1250652202">
    <w:abstractNumId w:val="21"/>
  </w:num>
  <w:num w:numId="17" w16cid:durableId="1674524123">
    <w:abstractNumId w:val="24"/>
  </w:num>
  <w:num w:numId="18" w16cid:durableId="547688890">
    <w:abstractNumId w:val="19"/>
  </w:num>
  <w:num w:numId="19" w16cid:durableId="562758580">
    <w:abstractNumId w:val="29"/>
  </w:num>
  <w:num w:numId="20" w16cid:durableId="261839209">
    <w:abstractNumId w:val="5"/>
  </w:num>
  <w:num w:numId="21" w16cid:durableId="170684531">
    <w:abstractNumId w:val="34"/>
  </w:num>
  <w:num w:numId="22" w16cid:durableId="95710877">
    <w:abstractNumId w:val="22"/>
  </w:num>
  <w:num w:numId="23" w16cid:durableId="1515874234">
    <w:abstractNumId w:val="25"/>
  </w:num>
  <w:num w:numId="24" w16cid:durableId="678578391">
    <w:abstractNumId w:val="1"/>
  </w:num>
  <w:num w:numId="25" w16cid:durableId="642122460">
    <w:abstractNumId w:val="33"/>
  </w:num>
  <w:num w:numId="26" w16cid:durableId="84498143">
    <w:abstractNumId w:val="38"/>
  </w:num>
  <w:num w:numId="27" w16cid:durableId="605387199">
    <w:abstractNumId w:val="3"/>
  </w:num>
  <w:num w:numId="28" w16cid:durableId="1643651075">
    <w:abstractNumId w:val="31"/>
  </w:num>
  <w:num w:numId="29" w16cid:durableId="285738771">
    <w:abstractNumId w:val="32"/>
  </w:num>
  <w:num w:numId="30" w16cid:durableId="700127847">
    <w:abstractNumId w:val="16"/>
  </w:num>
  <w:num w:numId="31" w16cid:durableId="1569144885">
    <w:abstractNumId w:val="4"/>
  </w:num>
  <w:num w:numId="32" w16cid:durableId="610480524">
    <w:abstractNumId w:val="11"/>
  </w:num>
  <w:num w:numId="33" w16cid:durableId="1170366292">
    <w:abstractNumId w:val="30"/>
  </w:num>
  <w:num w:numId="34" w16cid:durableId="1181316194">
    <w:abstractNumId w:val="9"/>
  </w:num>
  <w:num w:numId="35" w16cid:durableId="1637834574">
    <w:abstractNumId w:val="14"/>
  </w:num>
  <w:num w:numId="36" w16cid:durableId="619839917">
    <w:abstractNumId w:val="26"/>
  </w:num>
  <w:num w:numId="37" w16cid:durableId="231819917">
    <w:abstractNumId w:val="10"/>
  </w:num>
  <w:num w:numId="38" w16cid:durableId="1735855180">
    <w:abstractNumId w:val="27"/>
  </w:num>
  <w:num w:numId="39" w16cid:durableId="6760779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U3sDQyNTIyNbEwMTRW0lEKTi0uzszPAykwrAUA6XKSRCwAAAA="/>
  </w:docVars>
  <w:rsids>
    <w:rsidRoot w:val="00496822"/>
    <w:rsid w:val="00000531"/>
    <w:rsid w:val="00002277"/>
    <w:rsid w:val="000022E2"/>
    <w:rsid w:val="00002EE9"/>
    <w:rsid w:val="000040DA"/>
    <w:rsid w:val="000040F5"/>
    <w:rsid w:val="000052B8"/>
    <w:rsid w:val="00010753"/>
    <w:rsid w:val="00011BFF"/>
    <w:rsid w:val="00011F87"/>
    <w:rsid w:val="000146B3"/>
    <w:rsid w:val="00016346"/>
    <w:rsid w:val="00022EA1"/>
    <w:rsid w:val="0002448C"/>
    <w:rsid w:val="00026B28"/>
    <w:rsid w:val="00031A81"/>
    <w:rsid w:val="0003264B"/>
    <w:rsid w:val="00034684"/>
    <w:rsid w:val="000357FF"/>
    <w:rsid w:val="00041FFC"/>
    <w:rsid w:val="0004221C"/>
    <w:rsid w:val="00042558"/>
    <w:rsid w:val="00056094"/>
    <w:rsid w:val="00064165"/>
    <w:rsid w:val="00065CA0"/>
    <w:rsid w:val="00067737"/>
    <w:rsid w:val="000706F0"/>
    <w:rsid w:val="00070823"/>
    <w:rsid w:val="00076998"/>
    <w:rsid w:val="0007724D"/>
    <w:rsid w:val="00077A78"/>
    <w:rsid w:val="00080C04"/>
    <w:rsid w:val="00084170"/>
    <w:rsid w:val="00086370"/>
    <w:rsid w:val="00086867"/>
    <w:rsid w:val="00087B96"/>
    <w:rsid w:val="000947E3"/>
    <w:rsid w:val="00097837"/>
    <w:rsid w:val="000A06E2"/>
    <w:rsid w:val="000A15A2"/>
    <w:rsid w:val="000A305B"/>
    <w:rsid w:val="000A3B63"/>
    <w:rsid w:val="000A5897"/>
    <w:rsid w:val="000A5F86"/>
    <w:rsid w:val="000A6494"/>
    <w:rsid w:val="000A7B97"/>
    <w:rsid w:val="000B0E4E"/>
    <w:rsid w:val="000B10DC"/>
    <w:rsid w:val="000B37FB"/>
    <w:rsid w:val="000B4E59"/>
    <w:rsid w:val="000B5BEE"/>
    <w:rsid w:val="000B6369"/>
    <w:rsid w:val="000C1EA5"/>
    <w:rsid w:val="000C35B3"/>
    <w:rsid w:val="000C3F2C"/>
    <w:rsid w:val="000C5381"/>
    <w:rsid w:val="000D0392"/>
    <w:rsid w:val="000D1192"/>
    <w:rsid w:val="000D15F2"/>
    <w:rsid w:val="000D2168"/>
    <w:rsid w:val="000D6CD9"/>
    <w:rsid w:val="000E0F54"/>
    <w:rsid w:val="000E17DE"/>
    <w:rsid w:val="000E36AD"/>
    <w:rsid w:val="000E381E"/>
    <w:rsid w:val="000E3EDE"/>
    <w:rsid w:val="000E4F41"/>
    <w:rsid w:val="000F2380"/>
    <w:rsid w:val="000F4564"/>
    <w:rsid w:val="000F4D7F"/>
    <w:rsid w:val="000F6ED1"/>
    <w:rsid w:val="000F7A56"/>
    <w:rsid w:val="00101D9A"/>
    <w:rsid w:val="00104C8B"/>
    <w:rsid w:val="001069D8"/>
    <w:rsid w:val="00107508"/>
    <w:rsid w:val="001075DF"/>
    <w:rsid w:val="00110921"/>
    <w:rsid w:val="0011112F"/>
    <w:rsid w:val="001133CF"/>
    <w:rsid w:val="00114840"/>
    <w:rsid w:val="00114D5D"/>
    <w:rsid w:val="00115C50"/>
    <w:rsid w:val="00123E9E"/>
    <w:rsid w:val="00124449"/>
    <w:rsid w:val="00124D3A"/>
    <w:rsid w:val="00131F26"/>
    <w:rsid w:val="00132D52"/>
    <w:rsid w:val="0013563F"/>
    <w:rsid w:val="00137CC3"/>
    <w:rsid w:val="00140C18"/>
    <w:rsid w:val="00144467"/>
    <w:rsid w:val="001465CD"/>
    <w:rsid w:val="001538BA"/>
    <w:rsid w:val="001551FE"/>
    <w:rsid w:val="001628C4"/>
    <w:rsid w:val="00163843"/>
    <w:rsid w:val="00164915"/>
    <w:rsid w:val="001663CE"/>
    <w:rsid w:val="0017344F"/>
    <w:rsid w:val="00173525"/>
    <w:rsid w:val="001737BD"/>
    <w:rsid w:val="0017495B"/>
    <w:rsid w:val="00175004"/>
    <w:rsid w:val="00176606"/>
    <w:rsid w:val="001770C7"/>
    <w:rsid w:val="00177194"/>
    <w:rsid w:val="001814B7"/>
    <w:rsid w:val="00183B19"/>
    <w:rsid w:val="00185BCD"/>
    <w:rsid w:val="00186BAE"/>
    <w:rsid w:val="00187061"/>
    <w:rsid w:val="001903FE"/>
    <w:rsid w:val="00193B28"/>
    <w:rsid w:val="00195008"/>
    <w:rsid w:val="00196651"/>
    <w:rsid w:val="001A16A9"/>
    <w:rsid w:val="001A355B"/>
    <w:rsid w:val="001A4BBB"/>
    <w:rsid w:val="001A570E"/>
    <w:rsid w:val="001A7189"/>
    <w:rsid w:val="001A76FC"/>
    <w:rsid w:val="001B0C83"/>
    <w:rsid w:val="001B5D13"/>
    <w:rsid w:val="001B6238"/>
    <w:rsid w:val="001B75B9"/>
    <w:rsid w:val="001C38EC"/>
    <w:rsid w:val="001C530D"/>
    <w:rsid w:val="001E3337"/>
    <w:rsid w:val="001E3938"/>
    <w:rsid w:val="001E522E"/>
    <w:rsid w:val="001E698D"/>
    <w:rsid w:val="001E70C0"/>
    <w:rsid w:val="001E757D"/>
    <w:rsid w:val="001E78F9"/>
    <w:rsid w:val="001E7F9C"/>
    <w:rsid w:val="001F261B"/>
    <w:rsid w:val="001F37BE"/>
    <w:rsid w:val="001F5FE9"/>
    <w:rsid w:val="001F79CB"/>
    <w:rsid w:val="002016E4"/>
    <w:rsid w:val="002034B9"/>
    <w:rsid w:val="00203CC7"/>
    <w:rsid w:val="002072B3"/>
    <w:rsid w:val="002075EA"/>
    <w:rsid w:val="00211199"/>
    <w:rsid w:val="00214943"/>
    <w:rsid w:val="00215862"/>
    <w:rsid w:val="00216359"/>
    <w:rsid w:val="0021659F"/>
    <w:rsid w:val="00217521"/>
    <w:rsid w:val="0022099B"/>
    <w:rsid w:val="00222FDE"/>
    <w:rsid w:val="00224562"/>
    <w:rsid w:val="00224C53"/>
    <w:rsid w:val="002260D0"/>
    <w:rsid w:val="00230E21"/>
    <w:rsid w:val="00233B6E"/>
    <w:rsid w:val="00234FE5"/>
    <w:rsid w:val="0024015E"/>
    <w:rsid w:val="00240B60"/>
    <w:rsid w:val="00241C53"/>
    <w:rsid w:val="00243FB4"/>
    <w:rsid w:val="00245DE8"/>
    <w:rsid w:val="00260EEA"/>
    <w:rsid w:val="0026128D"/>
    <w:rsid w:val="00263073"/>
    <w:rsid w:val="002631A1"/>
    <w:rsid w:val="002646AE"/>
    <w:rsid w:val="00265585"/>
    <w:rsid w:val="002656ED"/>
    <w:rsid w:val="00265F05"/>
    <w:rsid w:val="00266274"/>
    <w:rsid w:val="00272C43"/>
    <w:rsid w:val="00280EB2"/>
    <w:rsid w:val="00282A49"/>
    <w:rsid w:val="00283851"/>
    <w:rsid w:val="00285B8B"/>
    <w:rsid w:val="00290D8F"/>
    <w:rsid w:val="002936A3"/>
    <w:rsid w:val="00294E80"/>
    <w:rsid w:val="0029587E"/>
    <w:rsid w:val="00296937"/>
    <w:rsid w:val="002A169A"/>
    <w:rsid w:val="002A27C2"/>
    <w:rsid w:val="002A3C7B"/>
    <w:rsid w:val="002A3CC4"/>
    <w:rsid w:val="002A45A5"/>
    <w:rsid w:val="002A522A"/>
    <w:rsid w:val="002A5A91"/>
    <w:rsid w:val="002B02B3"/>
    <w:rsid w:val="002B1638"/>
    <w:rsid w:val="002B2D3E"/>
    <w:rsid w:val="002B5272"/>
    <w:rsid w:val="002B6286"/>
    <w:rsid w:val="002B7521"/>
    <w:rsid w:val="002C0DC3"/>
    <w:rsid w:val="002C34AF"/>
    <w:rsid w:val="002C5146"/>
    <w:rsid w:val="002C6429"/>
    <w:rsid w:val="002C7407"/>
    <w:rsid w:val="002D0EAE"/>
    <w:rsid w:val="002D18DE"/>
    <w:rsid w:val="002D656D"/>
    <w:rsid w:val="002D785A"/>
    <w:rsid w:val="002E43B9"/>
    <w:rsid w:val="002E4FDF"/>
    <w:rsid w:val="002E615D"/>
    <w:rsid w:val="002F1056"/>
    <w:rsid w:val="002F257F"/>
    <w:rsid w:val="002F39F1"/>
    <w:rsid w:val="002F4EB3"/>
    <w:rsid w:val="002F69A6"/>
    <w:rsid w:val="00301904"/>
    <w:rsid w:val="0030405B"/>
    <w:rsid w:val="00304336"/>
    <w:rsid w:val="00304369"/>
    <w:rsid w:val="00305110"/>
    <w:rsid w:val="00306C81"/>
    <w:rsid w:val="00310A21"/>
    <w:rsid w:val="003111AA"/>
    <w:rsid w:val="00312ADF"/>
    <w:rsid w:val="0031569B"/>
    <w:rsid w:val="00316093"/>
    <w:rsid w:val="0031630A"/>
    <w:rsid w:val="00322161"/>
    <w:rsid w:val="00324B92"/>
    <w:rsid w:val="00325B63"/>
    <w:rsid w:val="00326228"/>
    <w:rsid w:val="0033029E"/>
    <w:rsid w:val="00330A9C"/>
    <w:rsid w:val="00330BF2"/>
    <w:rsid w:val="0033150E"/>
    <w:rsid w:val="003318EB"/>
    <w:rsid w:val="00333E70"/>
    <w:rsid w:val="00342575"/>
    <w:rsid w:val="00344366"/>
    <w:rsid w:val="00346B5D"/>
    <w:rsid w:val="003473FD"/>
    <w:rsid w:val="003511B8"/>
    <w:rsid w:val="003519ED"/>
    <w:rsid w:val="00352635"/>
    <w:rsid w:val="0035477D"/>
    <w:rsid w:val="0035623D"/>
    <w:rsid w:val="00356B37"/>
    <w:rsid w:val="003576ED"/>
    <w:rsid w:val="00366002"/>
    <w:rsid w:val="003664CA"/>
    <w:rsid w:val="00367CC8"/>
    <w:rsid w:val="00367E2A"/>
    <w:rsid w:val="00370224"/>
    <w:rsid w:val="003703EB"/>
    <w:rsid w:val="00370524"/>
    <w:rsid w:val="00370FDE"/>
    <w:rsid w:val="00372722"/>
    <w:rsid w:val="00373816"/>
    <w:rsid w:val="00374AE3"/>
    <w:rsid w:val="003822D5"/>
    <w:rsid w:val="00383BA9"/>
    <w:rsid w:val="003916AA"/>
    <w:rsid w:val="00392BD1"/>
    <w:rsid w:val="00394085"/>
    <w:rsid w:val="00395752"/>
    <w:rsid w:val="003A0CCE"/>
    <w:rsid w:val="003A1DFC"/>
    <w:rsid w:val="003A3169"/>
    <w:rsid w:val="003A5DFA"/>
    <w:rsid w:val="003A74BF"/>
    <w:rsid w:val="003B0870"/>
    <w:rsid w:val="003B0A45"/>
    <w:rsid w:val="003C1C53"/>
    <w:rsid w:val="003C2B81"/>
    <w:rsid w:val="003C2D6D"/>
    <w:rsid w:val="003C42AF"/>
    <w:rsid w:val="003C5ED2"/>
    <w:rsid w:val="003C610D"/>
    <w:rsid w:val="003D11EE"/>
    <w:rsid w:val="003D47B6"/>
    <w:rsid w:val="003D5641"/>
    <w:rsid w:val="003D58A1"/>
    <w:rsid w:val="003E1F8C"/>
    <w:rsid w:val="003E204F"/>
    <w:rsid w:val="003E24DC"/>
    <w:rsid w:val="003E258B"/>
    <w:rsid w:val="003E4B3E"/>
    <w:rsid w:val="003E774A"/>
    <w:rsid w:val="003F116F"/>
    <w:rsid w:val="00400500"/>
    <w:rsid w:val="0040255D"/>
    <w:rsid w:val="0040416E"/>
    <w:rsid w:val="00404ED5"/>
    <w:rsid w:val="00406ABA"/>
    <w:rsid w:val="004111A1"/>
    <w:rsid w:val="004111E0"/>
    <w:rsid w:val="00412A3A"/>
    <w:rsid w:val="00416499"/>
    <w:rsid w:val="00423BA0"/>
    <w:rsid w:val="00425133"/>
    <w:rsid w:val="00426B25"/>
    <w:rsid w:val="0043014D"/>
    <w:rsid w:val="0043071A"/>
    <w:rsid w:val="00430F8E"/>
    <w:rsid w:val="00431D90"/>
    <w:rsid w:val="00433933"/>
    <w:rsid w:val="00436F47"/>
    <w:rsid w:val="0044097D"/>
    <w:rsid w:val="004422F0"/>
    <w:rsid w:val="0044542D"/>
    <w:rsid w:val="00447589"/>
    <w:rsid w:val="0044767E"/>
    <w:rsid w:val="00450E0D"/>
    <w:rsid w:val="00455AC8"/>
    <w:rsid w:val="00460C97"/>
    <w:rsid w:val="004610BC"/>
    <w:rsid w:val="00462E04"/>
    <w:rsid w:val="00466E5B"/>
    <w:rsid w:val="00470657"/>
    <w:rsid w:val="004711A1"/>
    <w:rsid w:val="00471631"/>
    <w:rsid w:val="0047256B"/>
    <w:rsid w:val="00472BB6"/>
    <w:rsid w:val="004735DF"/>
    <w:rsid w:val="0048018D"/>
    <w:rsid w:val="004807BE"/>
    <w:rsid w:val="00481FED"/>
    <w:rsid w:val="004835AE"/>
    <w:rsid w:val="00485639"/>
    <w:rsid w:val="00485825"/>
    <w:rsid w:val="004877AC"/>
    <w:rsid w:val="00487FFB"/>
    <w:rsid w:val="004919EF"/>
    <w:rsid w:val="00491C2B"/>
    <w:rsid w:val="00493261"/>
    <w:rsid w:val="00494A6D"/>
    <w:rsid w:val="00496822"/>
    <w:rsid w:val="00496906"/>
    <w:rsid w:val="00496BB4"/>
    <w:rsid w:val="004971B7"/>
    <w:rsid w:val="004A187C"/>
    <w:rsid w:val="004A230B"/>
    <w:rsid w:val="004A43E2"/>
    <w:rsid w:val="004A51B1"/>
    <w:rsid w:val="004A613E"/>
    <w:rsid w:val="004B20CA"/>
    <w:rsid w:val="004B2E03"/>
    <w:rsid w:val="004B5FB7"/>
    <w:rsid w:val="004C047A"/>
    <w:rsid w:val="004C1309"/>
    <w:rsid w:val="004C605C"/>
    <w:rsid w:val="004C7D94"/>
    <w:rsid w:val="004D2AE8"/>
    <w:rsid w:val="004D5C35"/>
    <w:rsid w:val="004D6D3F"/>
    <w:rsid w:val="004E283A"/>
    <w:rsid w:val="004E2C62"/>
    <w:rsid w:val="004E47B1"/>
    <w:rsid w:val="004E7553"/>
    <w:rsid w:val="004F16DB"/>
    <w:rsid w:val="004F3009"/>
    <w:rsid w:val="004F535D"/>
    <w:rsid w:val="004F6443"/>
    <w:rsid w:val="004F68ED"/>
    <w:rsid w:val="00500F9A"/>
    <w:rsid w:val="005023B6"/>
    <w:rsid w:val="00503CC0"/>
    <w:rsid w:val="005059B6"/>
    <w:rsid w:val="00507857"/>
    <w:rsid w:val="00510648"/>
    <w:rsid w:val="005121EC"/>
    <w:rsid w:val="005130E1"/>
    <w:rsid w:val="0051326C"/>
    <w:rsid w:val="00521C3E"/>
    <w:rsid w:val="00522DEA"/>
    <w:rsid w:val="00525A3A"/>
    <w:rsid w:val="00527567"/>
    <w:rsid w:val="0053113B"/>
    <w:rsid w:val="00531E42"/>
    <w:rsid w:val="00536047"/>
    <w:rsid w:val="00537F1F"/>
    <w:rsid w:val="005402D7"/>
    <w:rsid w:val="00540BDD"/>
    <w:rsid w:val="00542484"/>
    <w:rsid w:val="00545AF3"/>
    <w:rsid w:val="005503FD"/>
    <w:rsid w:val="00550DCD"/>
    <w:rsid w:val="005532F6"/>
    <w:rsid w:val="00556011"/>
    <w:rsid w:val="00557BD1"/>
    <w:rsid w:val="00560202"/>
    <w:rsid w:val="00561230"/>
    <w:rsid w:val="005639FE"/>
    <w:rsid w:val="005641EE"/>
    <w:rsid w:val="005748BF"/>
    <w:rsid w:val="005750E4"/>
    <w:rsid w:val="005758D3"/>
    <w:rsid w:val="00583E71"/>
    <w:rsid w:val="005864D8"/>
    <w:rsid w:val="0059002D"/>
    <w:rsid w:val="00590FDC"/>
    <w:rsid w:val="0059155A"/>
    <w:rsid w:val="00591C03"/>
    <w:rsid w:val="005931EC"/>
    <w:rsid w:val="00593F04"/>
    <w:rsid w:val="00594774"/>
    <w:rsid w:val="00594940"/>
    <w:rsid w:val="005955A2"/>
    <w:rsid w:val="00596875"/>
    <w:rsid w:val="005A17C8"/>
    <w:rsid w:val="005A7FB0"/>
    <w:rsid w:val="005B5753"/>
    <w:rsid w:val="005C0314"/>
    <w:rsid w:val="005C1608"/>
    <w:rsid w:val="005C1E47"/>
    <w:rsid w:val="005C21DA"/>
    <w:rsid w:val="005C3072"/>
    <w:rsid w:val="005D05E4"/>
    <w:rsid w:val="005D2E23"/>
    <w:rsid w:val="005D5052"/>
    <w:rsid w:val="005D59E8"/>
    <w:rsid w:val="005D5BE5"/>
    <w:rsid w:val="005D6059"/>
    <w:rsid w:val="005D70AF"/>
    <w:rsid w:val="005D78F5"/>
    <w:rsid w:val="005D7AAA"/>
    <w:rsid w:val="005E1990"/>
    <w:rsid w:val="005E246B"/>
    <w:rsid w:val="005E39E4"/>
    <w:rsid w:val="005E5D99"/>
    <w:rsid w:val="005E6F31"/>
    <w:rsid w:val="005F0503"/>
    <w:rsid w:val="005F1020"/>
    <w:rsid w:val="005F1B98"/>
    <w:rsid w:val="005F1C9B"/>
    <w:rsid w:val="005F31D0"/>
    <w:rsid w:val="005F48D5"/>
    <w:rsid w:val="005F5720"/>
    <w:rsid w:val="005F61D9"/>
    <w:rsid w:val="005F79BB"/>
    <w:rsid w:val="006015F4"/>
    <w:rsid w:val="006028AE"/>
    <w:rsid w:val="00602FDB"/>
    <w:rsid w:val="00605544"/>
    <w:rsid w:val="00605D9A"/>
    <w:rsid w:val="0060767B"/>
    <w:rsid w:val="00610205"/>
    <w:rsid w:val="00610D7B"/>
    <w:rsid w:val="0061203A"/>
    <w:rsid w:val="00613FC1"/>
    <w:rsid w:val="006144C1"/>
    <w:rsid w:val="00615D81"/>
    <w:rsid w:val="006204EF"/>
    <w:rsid w:val="006217CE"/>
    <w:rsid w:val="00622C46"/>
    <w:rsid w:val="006249C1"/>
    <w:rsid w:val="00625513"/>
    <w:rsid w:val="0062606C"/>
    <w:rsid w:val="00627664"/>
    <w:rsid w:val="00630D4C"/>
    <w:rsid w:val="00630EE3"/>
    <w:rsid w:val="006350BC"/>
    <w:rsid w:val="00636DE5"/>
    <w:rsid w:val="00637E64"/>
    <w:rsid w:val="006403E8"/>
    <w:rsid w:val="00640845"/>
    <w:rsid w:val="00646D99"/>
    <w:rsid w:val="00646F2B"/>
    <w:rsid w:val="00651451"/>
    <w:rsid w:val="006533AF"/>
    <w:rsid w:val="0065540C"/>
    <w:rsid w:val="006571AA"/>
    <w:rsid w:val="00663AA4"/>
    <w:rsid w:val="00663C58"/>
    <w:rsid w:val="00665074"/>
    <w:rsid w:val="00665CB0"/>
    <w:rsid w:val="006708D6"/>
    <w:rsid w:val="00671679"/>
    <w:rsid w:val="00671AEF"/>
    <w:rsid w:val="00671DC5"/>
    <w:rsid w:val="00671DE2"/>
    <w:rsid w:val="00673046"/>
    <w:rsid w:val="00673211"/>
    <w:rsid w:val="0067464F"/>
    <w:rsid w:val="0067586B"/>
    <w:rsid w:val="006772B3"/>
    <w:rsid w:val="006773FF"/>
    <w:rsid w:val="006835DB"/>
    <w:rsid w:val="00686843"/>
    <w:rsid w:val="006923DF"/>
    <w:rsid w:val="00692C43"/>
    <w:rsid w:val="0069317C"/>
    <w:rsid w:val="006942F6"/>
    <w:rsid w:val="00696407"/>
    <w:rsid w:val="006A08CA"/>
    <w:rsid w:val="006A14E5"/>
    <w:rsid w:val="006A2AF0"/>
    <w:rsid w:val="006A3A53"/>
    <w:rsid w:val="006A5A62"/>
    <w:rsid w:val="006A7D2D"/>
    <w:rsid w:val="006B1173"/>
    <w:rsid w:val="006B152B"/>
    <w:rsid w:val="006B39EA"/>
    <w:rsid w:val="006B4371"/>
    <w:rsid w:val="006B57DE"/>
    <w:rsid w:val="006B5D0F"/>
    <w:rsid w:val="006B63C3"/>
    <w:rsid w:val="006C17CB"/>
    <w:rsid w:val="006C4BB9"/>
    <w:rsid w:val="006C717F"/>
    <w:rsid w:val="006D0980"/>
    <w:rsid w:val="006D2C6F"/>
    <w:rsid w:val="006D2D42"/>
    <w:rsid w:val="006D3806"/>
    <w:rsid w:val="006D4C20"/>
    <w:rsid w:val="006E29EA"/>
    <w:rsid w:val="006E39E5"/>
    <w:rsid w:val="006E486D"/>
    <w:rsid w:val="006E6198"/>
    <w:rsid w:val="006F0397"/>
    <w:rsid w:val="006F22E7"/>
    <w:rsid w:val="006F358C"/>
    <w:rsid w:val="006F6626"/>
    <w:rsid w:val="006F7D6A"/>
    <w:rsid w:val="0070373F"/>
    <w:rsid w:val="00710A19"/>
    <w:rsid w:val="00711531"/>
    <w:rsid w:val="00712DB2"/>
    <w:rsid w:val="007175DF"/>
    <w:rsid w:val="00720013"/>
    <w:rsid w:val="00722116"/>
    <w:rsid w:val="00725C73"/>
    <w:rsid w:val="0072739B"/>
    <w:rsid w:val="00727B83"/>
    <w:rsid w:val="00730339"/>
    <w:rsid w:val="00730A55"/>
    <w:rsid w:val="00730CF5"/>
    <w:rsid w:val="00732624"/>
    <w:rsid w:val="00733739"/>
    <w:rsid w:val="00734D8D"/>
    <w:rsid w:val="0073541C"/>
    <w:rsid w:val="0074250F"/>
    <w:rsid w:val="00742C4E"/>
    <w:rsid w:val="007471FB"/>
    <w:rsid w:val="00747F1B"/>
    <w:rsid w:val="0075049C"/>
    <w:rsid w:val="00753277"/>
    <w:rsid w:val="00757272"/>
    <w:rsid w:val="00773B96"/>
    <w:rsid w:val="0077421A"/>
    <w:rsid w:val="007757EC"/>
    <w:rsid w:val="007764F9"/>
    <w:rsid w:val="00783281"/>
    <w:rsid w:val="007845B5"/>
    <w:rsid w:val="007848A0"/>
    <w:rsid w:val="00787217"/>
    <w:rsid w:val="007935E4"/>
    <w:rsid w:val="00794211"/>
    <w:rsid w:val="007944E6"/>
    <w:rsid w:val="00794B40"/>
    <w:rsid w:val="00796AFB"/>
    <w:rsid w:val="007971E2"/>
    <w:rsid w:val="007A2E06"/>
    <w:rsid w:val="007A4C3A"/>
    <w:rsid w:val="007B01F0"/>
    <w:rsid w:val="007B0E31"/>
    <w:rsid w:val="007B1B75"/>
    <w:rsid w:val="007B1EB2"/>
    <w:rsid w:val="007B51D4"/>
    <w:rsid w:val="007B5523"/>
    <w:rsid w:val="007B71B7"/>
    <w:rsid w:val="007C0210"/>
    <w:rsid w:val="007C145D"/>
    <w:rsid w:val="007C1D57"/>
    <w:rsid w:val="007D1979"/>
    <w:rsid w:val="007D2633"/>
    <w:rsid w:val="007D36B2"/>
    <w:rsid w:val="007D73DD"/>
    <w:rsid w:val="007E01AC"/>
    <w:rsid w:val="007E0582"/>
    <w:rsid w:val="007E3E79"/>
    <w:rsid w:val="007E5D08"/>
    <w:rsid w:val="007E6611"/>
    <w:rsid w:val="007F0312"/>
    <w:rsid w:val="007F4510"/>
    <w:rsid w:val="007F55B6"/>
    <w:rsid w:val="00800984"/>
    <w:rsid w:val="00803E42"/>
    <w:rsid w:val="00813FB1"/>
    <w:rsid w:val="00814FD2"/>
    <w:rsid w:val="00820A3D"/>
    <w:rsid w:val="00821414"/>
    <w:rsid w:val="00821891"/>
    <w:rsid w:val="008232C8"/>
    <w:rsid w:val="0082374D"/>
    <w:rsid w:val="008248C5"/>
    <w:rsid w:val="008274F9"/>
    <w:rsid w:val="0083050E"/>
    <w:rsid w:val="00830651"/>
    <w:rsid w:val="008317B5"/>
    <w:rsid w:val="008317F1"/>
    <w:rsid w:val="008340AB"/>
    <w:rsid w:val="008342F4"/>
    <w:rsid w:val="00834B4A"/>
    <w:rsid w:val="00835DAE"/>
    <w:rsid w:val="0083605D"/>
    <w:rsid w:val="00836B60"/>
    <w:rsid w:val="00840530"/>
    <w:rsid w:val="008433E7"/>
    <w:rsid w:val="00846EEC"/>
    <w:rsid w:val="008477B6"/>
    <w:rsid w:val="00850346"/>
    <w:rsid w:val="00851282"/>
    <w:rsid w:val="00853F8C"/>
    <w:rsid w:val="00854C60"/>
    <w:rsid w:val="00854F38"/>
    <w:rsid w:val="00856BAD"/>
    <w:rsid w:val="008579F7"/>
    <w:rsid w:val="008603EF"/>
    <w:rsid w:val="008605D6"/>
    <w:rsid w:val="0086177E"/>
    <w:rsid w:val="00871A39"/>
    <w:rsid w:val="008737CB"/>
    <w:rsid w:val="008764DB"/>
    <w:rsid w:val="008811B2"/>
    <w:rsid w:val="00881487"/>
    <w:rsid w:val="0088662E"/>
    <w:rsid w:val="00887C4B"/>
    <w:rsid w:val="00891650"/>
    <w:rsid w:val="00893177"/>
    <w:rsid w:val="00893B12"/>
    <w:rsid w:val="00896ED2"/>
    <w:rsid w:val="008A0DFE"/>
    <w:rsid w:val="008A4203"/>
    <w:rsid w:val="008A4EE3"/>
    <w:rsid w:val="008A55BE"/>
    <w:rsid w:val="008A5D36"/>
    <w:rsid w:val="008A6824"/>
    <w:rsid w:val="008A7F63"/>
    <w:rsid w:val="008B1566"/>
    <w:rsid w:val="008C2494"/>
    <w:rsid w:val="008C5BC3"/>
    <w:rsid w:val="008C7653"/>
    <w:rsid w:val="008D00F3"/>
    <w:rsid w:val="008D1846"/>
    <w:rsid w:val="008D342B"/>
    <w:rsid w:val="008D7642"/>
    <w:rsid w:val="008E0284"/>
    <w:rsid w:val="008E2CCC"/>
    <w:rsid w:val="008E763C"/>
    <w:rsid w:val="008F4788"/>
    <w:rsid w:val="008F5D51"/>
    <w:rsid w:val="0090052E"/>
    <w:rsid w:val="00901639"/>
    <w:rsid w:val="009020A4"/>
    <w:rsid w:val="00902443"/>
    <w:rsid w:val="009029D9"/>
    <w:rsid w:val="0090642D"/>
    <w:rsid w:val="00907C37"/>
    <w:rsid w:val="00910799"/>
    <w:rsid w:val="00911496"/>
    <w:rsid w:val="00914896"/>
    <w:rsid w:val="009158A6"/>
    <w:rsid w:val="00916E36"/>
    <w:rsid w:val="009171CF"/>
    <w:rsid w:val="00917B89"/>
    <w:rsid w:val="00917C30"/>
    <w:rsid w:val="009219FD"/>
    <w:rsid w:val="0092222E"/>
    <w:rsid w:val="00924A18"/>
    <w:rsid w:val="0093097F"/>
    <w:rsid w:val="00932DA5"/>
    <w:rsid w:val="009342D5"/>
    <w:rsid w:val="0093433B"/>
    <w:rsid w:val="00934CCA"/>
    <w:rsid w:val="0093790E"/>
    <w:rsid w:val="00937CEE"/>
    <w:rsid w:val="00940D00"/>
    <w:rsid w:val="00941EEE"/>
    <w:rsid w:val="00944180"/>
    <w:rsid w:val="009453C7"/>
    <w:rsid w:val="00946ADD"/>
    <w:rsid w:val="00951161"/>
    <w:rsid w:val="00951742"/>
    <w:rsid w:val="00953FBB"/>
    <w:rsid w:val="00954E5B"/>
    <w:rsid w:val="00960FA8"/>
    <w:rsid w:val="0096171A"/>
    <w:rsid w:val="00962FCA"/>
    <w:rsid w:val="00965908"/>
    <w:rsid w:val="0096779F"/>
    <w:rsid w:val="009725E7"/>
    <w:rsid w:val="00974B62"/>
    <w:rsid w:val="00976446"/>
    <w:rsid w:val="00980AB3"/>
    <w:rsid w:val="00980CC4"/>
    <w:rsid w:val="009810D3"/>
    <w:rsid w:val="00982952"/>
    <w:rsid w:val="00983741"/>
    <w:rsid w:val="00985B2A"/>
    <w:rsid w:val="00986E42"/>
    <w:rsid w:val="009871A3"/>
    <w:rsid w:val="00987A15"/>
    <w:rsid w:val="00987BAE"/>
    <w:rsid w:val="00990A75"/>
    <w:rsid w:val="00991FC8"/>
    <w:rsid w:val="00997922"/>
    <w:rsid w:val="009A06D0"/>
    <w:rsid w:val="009A7207"/>
    <w:rsid w:val="009B1934"/>
    <w:rsid w:val="009B3EA2"/>
    <w:rsid w:val="009B61FC"/>
    <w:rsid w:val="009C0E7C"/>
    <w:rsid w:val="009C1B9A"/>
    <w:rsid w:val="009C22C2"/>
    <w:rsid w:val="009C2847"/>
    <w:rsid w:val="009C2C75"/>
    <w:rsid w:val="009C4443"/>
    <w:rsid w:val="009C74D5"/>
    <w:rsid w:val="009D1CBA"/>
    <w:rsid w:val="009D202A"/>
    <w:rsid w:val="009E11DC"/>
    <w:rsid w:val="009E3BFD"/>
    <w:rsid w:val="009E6169"/>
    <w:rsid w:val="009F00D2"/>
    <w:rsid w:val="009F0603"/>
    <w:rsid w:val="009F0620"/>
    <w:rsid w:val="009F73CC"/>
    <w:rsid w:val="009F7D01"/>
    <w:rsid w:val="00A00C1D"/>
    <w:rsid w:val="00A01D42"/>
    <w:rsid w:val="00A02AF9"/>
    <w:rsid w:val="00A04A97"/>
    <w:rsid w:val="00A06874"/>
    <w:rsid w:val="00A106A4"/>
    <w:rsid w:val="00A13C4B"/>
    <w:rsid w:val="00A13E13"/>
    <w:rsid w:val="00A14416"/>
    <w:rsid w:val="00A14C84"/>
    <w:rsid w:val="00A15FB5"/>
    <w:rsid w:val="00A163BC"/>
    <w:rsid w:val="00A175C0"/>
    <w:rsid w:val="00A20CAF"/>
    <w:rsid w:val="00A217AD"/>
    <w:rsid w:val="00A221E9"/>
    <w:rsid w:val="00A247AD"/>
    <w:rsid w:val="00A24AB8"/>
    <w:rsid w:val="00A2530D"/>
    <w:rsid w:val="00A31205"/>
    <w:rsid w:val="00A3307E"/>
    <w:rsid w:val="00A33131"/>
    <w:rsid w:val="00A37E49"/>
    <w:rsid w:val="00A429C7"/>
    <w:rsid w:val="00A4346D"/>
    <w:rsid w:val="00A43AAC"/>
    <w:rsid w:val="00A45D65"/>
    <w:rsid w:val="00A46C49"/>
    <w:rsid w:val="00A46D27"/>
    <w:rsid w:val="00A5390C"/>
    <w:rsid w:val="00A54194"/>
    <w:rsid w:val="00A54E33"/>
    <w:rsid w:val="00A55208"/>
    <w:rsid w:val="00A5553A"/>
    <w:rsid w:val="00A55EE1"/>
    <w:rsid w:val="00A55FF2"/>
    <w:rsid w:val="00A65914"/>
    <w:rsid w:val="00A667A0"/>
    <w:rsid w:val="00A67C2C"/>
    <w:rsid w:val="00A730FE"/>
    <w:rsid w:val="00A7312F"/>
    <w:rsid w:val="00A73ED2"/>
    <w:rsid w:val="00A752AB"/>
    <w:rsid w:val="00A774F0"/>
    <w:rsid w:val="00A8219A"/>
    <w:rsid w:val="00A82BD4"/>
    <w:rsid w:val="00A8377A"/>
    <w:rsid w:val="00A84AC3"/>
    <w:rsid w:val="00A87F84"/>
    <w:rsid w:val="00A90E19"/>
    <w:rsid w:val="00A92751"/>
    <w:rsid w:val="00A94534"/>
    <w:rsid w:val="00A94956"/>
    <w:rsid w:val="00A95528"/>
    <w:rsid w:val="00A962FA"/>
    <w:rsid w:val="00AA1F33"/>
    <w:rsid w:val="00AA4EE9"/>
    <w:rsid w:val="00AB1EAC"/>
    <w:rsid w:val="00AB5701"/>
    <w:rsid w:val="00AB792D"/>
    <w:rsid w:val="00AC2AEA"/>
    <w:rsid w:val="00AC4112"/>
    <w:rsid w:val="00AC51E3"/>
    <w:rsid w:val="00AC5955"/>
    <w:rsid w:val="00AC6047"/>
    <w:rsid w:val="00AC74E6"/>
    <w:rsid w:val="00AD0205"/>
    <w:rsid w:val="00AD0333"/>
    <w:rsid w:val="00AD033C"/>
    <w:rsid w:val="00AD69A7"/>
    <w:rsid w:val="00AD6DCD"/>
    <w:rsid w:val="00AD73AD"/>
    <w:rsid w:val="00AE0449"/>
    <w:rsid w:val="00AF08D4"/>
    <w:rsid w:val="00AF573B"/>
    <w:rsid w:val="00AF62C6"/>
    <w:rsid w:val="00AF6B81"/>
    <w:rsid w:val="00AF76A2"/>
    <w:rsid w:val="00B02366"/>
    <w:rsid w:val="00B105C2"/>
    <w:rsid w:val="00B11651"/>
    <w:rsid w:val="00B12E65"/>
    <w:rsid w:val="00B13829"/>
    <w:rsid w:val="00B13DC3"/>
    <w:rsid w:val="00B21046"/>
    <w:rsid w:val="00B2310F"/>
    <w:rsid w:val="00B31018"/>
    <w:rsid w:val="00B31E85"/>
    <w:rsid w:val="00B32E2A"/>
    <w:rsid w:val="00B35E4B"/>
    <w:rsid w:val="00B36195"/>
    <w:rsid w:val="00B362A6"/>
    <w:rsid w:val="00B40483"/>
    <w:rsid w:val="00B4141F"/>
    <w:rsid w:val="00B419C2"/>
    <w:rsid w:val="00B43FAA"/>
    <w:rsid w:val="00B47F02"/>
    <w:rsid w:val="00B513DC"/>
    <w:rsid w:val="00B51EBC"/>
    <w:rsid w:val="00B531B1"/>
    <w:rsid w:val="00B53A82"/>
    <w:rsid w:val="00B548B6"/>
    <w:rsid w:val="00B57987"/>
    <w:rsid w:val="00B6083A"/>
    <w:rsid w:val="00B60EFC"/>
    <w:rsid w:val="00B639C0"/>
    <w:rsid w:val="00B63E32"/>
    <w:rsid w:val="00B64E77"/>
    <w:rsid w:val="00B65D70"/>
    <w:rsid w:val="00B8205C"/>
    <w:rsid w:val="00B86207"/>
    <w:rsid w:val="00B87296"/>
    <w:rsid w:val="00B91075"/>
    <w:rsid w:val="00B913AB"/>
    <w:rsid w:val="00B92D00"/>
    <w:rsid w:val="00B9319A"/>
    <w:rsid w:val="00B94023"/>
    <w:rsid w:val="00B95668"/>
    <w:rsid w:val="00BA0823"/>
    <w:rsid w:val="00BA2CCB"/>
    <w:rsid w:val="00BA6659"/>
    <w:rsid w:val="00BA7F0C"/>
    <w:rsid w:val="00BB4FD6"/>
    <w:rsid w:val="00BC0371"/>
    <w:rsid w:val="00BC04FE"/>
    <w:rsid w:val="00BC0B55"/>
    <w:rsid w:val="00BC4A23"/>
    <w:rsid w:val="00BC6785"/>
    <w:rsid w:val="00BC6D08"/>
    <w:rsid w:val="00BC7401"/>
    <w:rsid w:val="00BD06A5"/>
    <w:rsid w:val="00BD3B13"/>
    <w:rsid w:val="00BD4A1A"/>
    <w:rsid w:val="00BD4F7B"/>
    <w:rsid w:val="00BD6A34"/>
    <w:rsid w:val="00BD774B"/>
    <w:rsid w:val="00BE1CAC"/>
    <w:rsid w:val="00BE2E3D"/>
    <w:rsid w:val="00BE5263"/>
    <w:rsid w:val="00BE582B"/>
    <w:rsid w:val="00BE6CC6"/>
    <w:rsid w:val="00BF002D"/>
    <w:rsid w:val="00BF6284"/>
    <w:rsid w:val="00BF6A4C"/>
    <w:rsid w:val="00C00635"/>
    <w:rsid w:val="00C0269C"/>
    <w:rsid w:val="00C064A2"/>
    <w:rsid w:val="00C11318"/>
    <w:rsid w:val="00C11493"/>
    <w:rsid w:val="00C14A52"/>
    <w:rsid w:val="00C25E15"/>
    <w:rsid w:val="00C261A5"/>
    <w:rsid w:val="00C31653"/>
    <w:rsid w:val="00C31FBD"/>
    <w:rsid w:val="00C320BB"/>
    <w:rsid w:val="00C35AB1"/>
    <w:rsid w:val="00C36D4C"/>
    <w:rsid w:val="00C418D6"/>
    <w:rsid w:val="00C41DF8"/>
    <w:rsid w:val="00C459FD"/>
    <w:rsid w:val="00C4610D"/>
    <w:rsid w:val="00C469E3"/>
    <w:rsid w:val="00C4731A"/>
    <w:rsid w:val="00C479E0"/>
    <w:rsid w:val="00C5118F"/>
    <w:rsid w:val="00C53E10"/>
    <w:rsid w:val="00C550F4"/>
    <w:rsid w:val="00C5708C"/>
    <w:rsid w:val="00C6081B"/>
    <w:rsid w:val="00C61234"/>
    <w:rsid w:val="00C62B03"/>
    <w:rsid w:val="00C6415B"/>
    <w:rsid w:val="00C708A0"/>
    <w:rsid w:val="00C72733"/>
    <w:rsid w:val="00C72A50"/>
    <w:rsid w:val="00C72ED6"/>
    <w:rsid w:val="00C76B4B"/>
    <w:rsid w:val="00C844D4"/>
    <w:rsid w:val="00C92443"/>
    <w:rsid w:val="00C951F0"/>
    <w:rsid w:val="00CA15D5"/>
    <w:rsid w:val="00CA16E0"/>
    <w:rsid w:val="00CA1FB9"/>
    <w:rsid w:val="00CA2134"/>
    <w:rsid w:val="00CA235B"/>
    <w:rsid w:val="00CA4AF6"/>
    <w:rsid w:val="00CB26F0"/>
    <w:rsid w:val="00CB3A1C"/>
    <w:rsid w:val="00CB4042"/>
    <w:rsid w:val="00CC103C"/>
    <w:rsid w:val="00CC6E92"/>
    <w:rsid w:val="00CC7FC4"/>
    <w:rsid w:val="00CD13C2"/>
    <w:rsid w:val="00CD1412"/>
    <w:rsid w:val="00CD6F83"/>
    <w:rsid w:val="00CE101F"/>
    <w:rsid w:val="00CE3618"/>
    <w:rsid w:val="00CE4B2C"/>
    <w:rsid w:val="00CF0EC3"/>
    <w:rsid w:val="00CF1D51"/>
    <w:rsid w:val="00CF5BA8"/>
    <w:rsid w:val="00CF746B"/>
    <w:rsid w:val="00CF782F"/>
    <w:rsid w:val="00D00EDF"/>
    <w:rsid w:val="00D0434A"/>
    <w:rsid w:val="00D062B4"/>
    <w:rsid w:val="00D16E28"/>
    <w:rsid w:val="00D172E2"/>
    <w:rsid w:val="00D208D6"/>
    <w:rsid w:val="00D22EF5"/>
    <w:rsid w:val="00D240ED"/>
    <w:rsid w:val="00D2429A"/>
    <w:rsid w:val="00D319FA"/>
    <w:rsid w:val="00D405A6"/>
    <w:rsid w:val="00D4411C"/>
    <w:rsid w:val="00D468F9"/>
    <w:rsid w:val="00D525D7"/>
    <w:rsid w:val="00D536F8"/>
    <w:rsid w:val="00D5433F"/>
    <w:rsid w:val="00D5493E"/>
    <w:rsid w:val="00D61757"/>
    <w:rsid w:val="00D650AB"/>
    <w:rsid w:val="00D70997"/>
    <w:rsid w:val="00D71EB9"/>
    <w:rsid w:val="00D726B4"/>
    <w:rsid w:val="00D74E11"/>
    <w:rsid w:val="00D765E7"/>
    <w:rsid w:val="00D76D3E"/>
    <w:rsid w:val="00D77DCF"/>
    <w:rsid w:val="00D77E7B"/>
    <w:rsid w:val="00D807A0"/>
    <w:rsid w:val="00D80B17"/>
    <w:rsid w:val="00D82F95"/>
    <w:rsid w:val="00D837B0"/>
    <w:rsid w:val="00D854AE"/>
    <w:rsid w:val="00D855C7"/>
    <w:rsid w:val="00D85D2E"/>
    <w:rsid w:val="00D860DC"/>
    <w:rsid w:val="00D87215"/>
    <w:rsid w:val="00D903E4"/>
    <w:rsid w:val="00D92C48"/>
    <w:rsid w:val="00D93614"/>
    <w:rsid w:val="00D97FFC"/>
    <w:rsid w:val="00DA02AD"/>
    <w:rsid w:val="00DA10D7"/>
    <w:rsid w:val="00DA1B41"/>
    <w:rsid w:val="00DA2BC1"/>
    <w:rsid w:val="00DA52BB"/>
    <w:rsid w:val="00DB0144"/>
    <w:rsid w:val="00DB0686"/>
    <w:rsid w:val="00DB0E30"/>
    <w:rsid w:val="00DB2D1C"/>
    <w:rsid w:val="00DB34D8"/>
    <w:rsid w:val="00DB4516"/>
    <w:rsid w:val="00DC03F3"/>
    <w:rsid w:val="00DC669E"/>
    <w:rsid w:val="00DC760B"/>
    <w:rsid w:val="00DD46DD"/>
    <w:rsid w:val="00DE3655"/>
    <w:rsid w:val="00DE4A0A"/>
    <w:rsid w:val="00DE51BE"/>
    <w:rsid w:val="00DE6010"/>
    <w:rsid w:val="00DE6B2B"/>
    <w:rsid w:val="00DE7395"/>
    <w:rsid w:val="00DF0394"/>
    <w:rsid w:val="00DF0BF7"/>
    <w:rsid w:val="00DF1151"/>
    <w:rsid w:val="00DF2C5B"/>
    <w:rsid w:val="00DF2E95"/>
    <w:rsid w:val="00DF4C55"/>
    <w:rsid w:val="00E0259D"/>
    <w:rsid w:val="00E03AF5"/>
    <w:rsid w:val="00E16866"/>
    <w:rsid w:val="00E17340"/>
    <w:rsid w:val="00E21040"/>
    <w:rsid w:val="00E23CAB"/>
    <w:rsid w:val="00E257D9"/>
    <w:rsid w:val="00E25C0F"/>
    <w:rsid w:val="00E261D5"/>
    <w:rsid w:val="00E2642F"/>
    <w:rsid w:val="00E2668F"/>
    <w:rsid w:val="00E30729"/>
    <w:rsid w:val="00E33254"/>
    <w:rsid w:val="00E33AC7"/>
    <w:rsid w:val="00E34CCD"/>
    <w:rsid w:val="00E35C21"/>
    <w:rsid w:val="00E36A9C"/>
    <w:rsid w:val="00E41081"/>
    <w:rsid w:val="00E41913"/>
    <w:rsid w:val="00E445BE"/>
    <w:rsid w:val="00E457BB"/>
    <w:rsid w:val="00E46BC7"/>
    <w:rsid w:val="00E50A5C"/>
    <w:rsid w:val="00E51AA2"/>
    <w:rsid w:val="00E5238A"/>
    <w:rsid w:val="00E52B68"/>
    <w:rsid w:val="00E539B4"/>
    <w:rsid w:val="00E546C3"/>
    <w:rsid w:val="00E560B5"/>
    <w:rsid w:val="00E573C0"/>
    <w:rsid w:val="00E60D5C"/>
    <w:rsid w:val="00E627E8"/>
    <w:rsid w:val="00E7094F"/>
    <w:rsid w:val="00E720AF"/>
    <w:rsid w:val="00E75C4B"/>
    <w:rsid w:val="00E77EA2"/>
    <w:rsid w:val="00E828E0"/>
    <w:rsid w:val="00E8421B"/>
    <w:rsid w:val="00E848BF"/>
    <w:rsid w:val="00E8667B"/>
    <w:rsid w:val="00E86E95"/>
    <w:rsid w:val="00E90034"/>
    <w:rsid w:val="00E937D3"/>
    <w:rsid w:val="00E966D0"/>
    <w:rsid w:val="00EA60A7"/>
    <w:rsid w:val="00EB0362"/>
    <w:rsid w:val="00EB0A1F"/>
    <w:rsid w:val="00EB2090"/>
    <w:rsid w:val="00EB2F30"/>
    <w:rsid w:val="00EB62BD"/>
    <w:rsid w:val="00EB65CD"/>
    <w:rsid w:val="00EB69E0"/>
    <w:rsid w:val="00EB7039"/>
    <w:rsid w:val="00EB75DD"/>
    <w:rsid w:val="00EB7D65"/>
    <w:rsid w:val="00EC35A5"/>
    <w:rsid w:val="00EC68B3"/>
    <w:rsid w:val="00EC767F"/>
    <w:rsid w:val="00ED0F2A"/>
    <w:rsid w:val="00ED3336"/>
    <w:rsid w:val="00ED7A7F"/>
    <w:rsid w:val="00EE0B9B"/>
    <w:rsid w:val="00EE1172"/>
    <w:rsid w:val="00EF0ADC"/>
    <w:rsid w:val="00EF3B51"/>
    <w:rsid w:val="00EF58DB"/>
    <w:rsid w:val="00EF78AE"/>
    <w:rsid w:val="00EF7BE6"/>
    <w:rsid w:val="00F0150B"/>
    <w:rsid w:val="00F01F05"/>
    <w:rsid w:val="00F01F50"/>
    <w:rsid w:val="00F05BE9"/>
    <w:rsid w:val="00F11515"/>
    <w:rsid w:val="00F1492E"/>
    <w:rsid w:val="00F16242"/>
    <w:rsid w:val="00F227BA"/>
    <w:rsid w:val="00F23C7E"/>
    <w:rsid w:val="00F23D2B"/>
    <w:rsid w:val="00F2752E"/>
    <w:rsid w:val="00F30E17"/>
    <w:rsid w:val="00F33051"/>
    <w:rsid w:val="00F34278"/>
    <w:rsid w:val="00F3585F"/>
    <w:rsid w:val="00F3665F"/>
    <w:rsid w:val="00F403B2"/>
    <w:rsid w:val="00F4269A"/>
    <w:rsid w:val="00F44188"/>
    <w:rsid w:val="00F460C6"/>
    <w:rsid w:val="00F46832"/>
    <w:rsid w:val="00F47512"/>
    <w:rsid w:val="00F52D75"/>
    <w:rsid w:val="00F560AA"/>
    <w:rsid w:val="00F617A8"/>
    <w:rsid w:val="00F62A3D"/>
    <w:rsid w:val="00F65253"/>
    <w:rsid w:val="00F66AB5"/>
    <w:rsid w:val="00F671BC"/>
    <w:rsid w:val="00F724C0"/>
    <w:rsid w:val="00F806AF"/>
    <w:rsid w:val="00F8371B"/>
    <w:rsid w:val="00F83B6B"/>
    <w:rsid w:val="00F846B8"/>
    <w:rsid w:val="00F92341"/>
    <w:rsid w:val="00F9382B"/>
    <w:rsid w:val="00F939B0"/>
    <w:rsid w:val="00F93D65"/>
    <w:rsid w:val="00F94BB7"/>
    <w:rsid w:val="00F95452"/>
    <w:rsid w:val="00F96AAF"/>
    <w:rsid w:val="00F96C24"/>
    <w:rsid w:val="00F96DC1"/>
    <w:rsid w:val="00F9794E"/>
    <w:rsid w:val="00FA5180"/>
    <w:rsid w:val="00FA5480"/>
    <w:rsid w:val="00FA5540"/>
    <w:rsid w:val="00FB24D7"/>
    <w:rsid w:val="00FB27A3"/>
    <w:rsid w:val="00FB2F19"/>
    <w:rsid w:val="00FB3BD0"/>
    <w:rsid w:val="00FB3E93"/>
    <w:rsid w:val="00FB4E79"/>
    <w:rsid w:val="00FB6DC3"/>
    <w:rsid w:val="00FB70C7"/>
    <w:rsid w:val="00FC0422"/>
    <w:rsid w:val="00FC0AF5"/>
    <w:rsid w:val="00FC29F6"/>
    <w:rsid w:val="00FC3503"/>
    <w:rsid w:val="00FC3A5D"/>
    <w:rsid w:val="00FC4243"/>
    <w:rsid w:val="00FC4817"/>
    <w:rsid w:val="00FD5AA3"/>
    <w:rsid w:val="00FD5B6E"/>
    <w:rsid w:val="00FE243A"/>
    <w:rsid w:val="00FE33EA"/>
    <w:rsid w:val="00FE681E"/>
    <w:rsid w:val="00FE7150"/>
    <w:rsid w:val="00FF1796"/>
    <w:rsid w:val="00FF7407"/>
    <w:rsid w:val="00FF7977"/>
    <w:rsid w:val="00FF7F08"/>
    <w:rsid w:val="10A8B2E9"/>
    <w:rsid w:val="175C708A"/>
    <w:rsid w:val="2DE9C35E"/>
    <w:rsid w:val="2F6CD009"/>
    <w:rsid w:val="36472BBD"/>
    <w:rsid w:val="45D9A048"/>
    <w:rsid w:val="4751127A"/>
    <w:rsid w:val="48C52C03"/>
    <w:rsid w:val="53AAEE4E"/>
    <w:rsid w:val="60915EDC"/>
    <w:rsid w:val="635AFF0A"/>
    <w:rsid w:val="73545A77"/>
    <w:rsid w:val="75A59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E9F0F"/>
  <w15:docId w15:val="{9D1DFDF1-D89B-4F45-AFF1-A8FEC5E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2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B31E85"/>
    <w:pPr>
      <w:keepNext/>
      <w:keepLines/>
      <w:spacing w:before="240"/>
      <w:outlineLvl w:val="0"/>
    </w:pPr>
    <w:rPr>
      <w:rFonts w:eastAsiaTheme="majorEastAsia"/>
      <w:b/>
      <w:bCs/>
      <w:color w:val="06926B"/>
      <w:sz w:val="32"/>
      <w:szCs w:val="32"/>
    </w:rPr>
  </w:style>
  <w:style w:type="paragraph" w:styleId="Heading2">
    <w:name w:val="heading 2"/>
    <w:basedOn w:val="Normal"/>
    <w:next w:val="Normal"/>
    <w:link w:val="Heading2Char"/>
    <w:uiPriority w:val="9"/>
    <w:unhideWhenUsed/>
    <w:qFormat/>
    <w:rsid w:val="00B31E85"/>
    <w:pPr>
      <w:outlineLvl w:val="1"/>
    </w:pPr>
    <w:rPr>
      <w:b/>
      <w:bCs/>
    </w:rPr>
  </w:style>
  <w:style w:type="paragraph" w:styleId="Heading3">
    <w:name w:val="heading 3"/>
    <w:basedOn w:val="Normal"/>
    <w:next w:val="Normal"/>
    <w:link w:val="Heading3Char"/>
    <w:uiPriority w:val="9"/>
    <w:unhideWhenUsed/>
    <w:qFormat/>
    <w:rsid w:val="000A06E2"/>
    <w:pPr>
      <w:keepNext/>
      <w:keepLines/>
      <w:spacing w:before="40"/>
      <w:outlineLvl w:val="2"/>
    </w:pPr>
    <w:rPr>
      <w:rFonts w:eastAsiaTheme="majorEastAsia"/>
      <w:color w:val="4FC0EA"/>
      <w:sz w:val="24"/>
      <w:szCs w:val="24"/>
    </w:rPr>
  </w:style>
  <w:style w:type="paragraph" w:styleId="Heading4">
    <w:name w:val="heading 4"/>
    <w:basedOn w:val="Normal"/>
    <w:next w:val="Normal"/>
    <w:link w:val="Heading4Char"/>
    <w:uiPriority w:val="9"/>
    <w:unhideWhenUsed/>
    <w:qFormat/>
    <w:rsid w:val="00B31E85"/>
    <w:pPr>
      <w:keepNext/>
      <w:keepLines/>
      <w:spacing w:before="40"/>
      <w:outlineLvl w:val="3"/>
    </w:pPr>
    <w:rPr>
      <w:rFonts w:eastAsiaTheme="majorEastAsia"/>
      <w:i/>
      <w:iCs/>
    </w:rPr>
  </w:style>
  <w:style w:type="paragraph" w:styleId="Heading5">
    <w:name w:val="heading 5"/>
    <w:basedOn w:val="Normal"/>
    <w:next w:val="Normal"/>
    <w:link w:val="Heading5Char"/>
    <w:uiPriority w:val="9"/>
    <w:unhideWhenUsed/>
    <w:qFormat/>
    <w:rsid w:val="00B31E85"/>
    <w:pPr>
      <w:keepNext/>
      <w:keepLines/>
      <w:spacing w:before="40"/>
      <w:outlineLvl w:val="4"/>
    </w:pPr>
    <w:rPr>
      <w:rFonts w:eastAsiaTheme="majorEastAsia"/>
    </w:rPr>
  </w:style>
  <w:style w:type="paragraph" w:styleId="Heading6">
    <w:name w:val="heading 6"/>
    <w:basedOn w:val="Normal"/>
    <w:next w:val="Normal"/>
    <w:link w:val="Heading6Char"/>
    <w:uiPriority w:val="9"/>
    <w:unhideWhenUsed/>
    <w:qFormat/>
    <w:rsid w:val="00B31E85"/>
    <w:pPr>
      <w:keepNext/>
      <w:keepLines/>
      <w:spacing w:before="40"/>
      <w:outlineLvl w:val="5"/>
    </w:pPr>
    <w:rPr>
      <w:rFonts w:eastAsiaTheme="majorEastAsia"/>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1913"/>
    <w:rPr>
      <w:color w:val="0000FF"/>
      <w:u w:val="single"/>
    </w:rPr>
  </w:style>
  <w:style w:type="paragraph" w:styleId="BalloonText">
    <w:name w:val="Balloon Text"/>
    <w:basedOn w:val="Normal"/>
    <w:link w:val="BalloonTextChar"/>
    <w:uiPriority w:val="99"/>
    <w:semiHidden/>
    <w:unhideWhenUsed/>
    <w:rsid w:val="00E41913"/>
    <w:rPr>
      <w:rFonts w:ascii="Tahoma" w:hAnsi="Tahoma" w:cs="Tahoma"/>
      <w:sz w:val="16"/>
      <w:szCs w:val="16"/>
    </w:rPr>
  </w:style>
  <w:style w:type="character" w:customStyle="1" w:styleId="BalloonTextChar">
    <w:name w:val="Balloon Text Char"/>
    <w:basedOn w:val="DefaultParagraphFont"/>
    <w:link w:val="BalloonText"/>
    <w:uiPriority w:val="99"/>
    <w:semiHidden/>
    <w:rsid w:val="00E41913"/>
    <w:rPr>
      <w:rFonts w:ascii="Tahoma" w:hAnsi="Tahoma" w:cs="Tahoma"/>
      <w:sz w:val="16"/>
      <w:szCs w:val="16"/>
    </w:rPr>
  </w:style>
  <w:style w:type="paragraph" w:styleId="Header">
    <w:name w:val="header"/>
    <w:basedOn w:val="Normal"/>
    <w:link w:val="HeaderChar"/>
    <w:uiPriority w:val="99"/>
    <w:unhideWhenUsed/>
    <w:rsid w:val="00124D3A"/>
    <w:pPr>
      <w:tabs>
        <w:tab w:val="center" w:pos="4513"/>
        <w:tab w:val="right" w:pos="9026"/>
      </w:tabs>
    </w:pPr>
  </w:style>
  <w:style w:type="character" w:customStyle="1" w:styleId="HeaderChar">
    <w:name w:val="Header Char"/>
    <w:basedOn w:val="DefaultParagraphFont"/>
    <w:link w:val="Header"/>
    <w:uiPriority w:val="99"/>
    <w:rsid w:val="00124D3A"/>
    <w:rPr>
      <w:rFonts w:ascii="Calibri" w:hAnsi="Calibri" w:cs="Times New Roman"/>
    </w:rPr>
  </w:style>
  <w:style w:type="paragraph" w:styleId="Footer">
    <w:name w:val="footer"/>
    <w:basedOn w:val="Normal"/>
    <w:link w:val="FooterChar"/>
    <w:uiPriority w:val="99"/>
    <w:unhideWhenUsed/>
    <w:rsid w:val="00124D3A"/>
    <w:pPr>
      <w:tabs>
        <w:tab w:val="center" w:pos="4513"/>
        <w:tab w:val="right" w:pos="9026"/>
      </w:tabs>
    </w:pPr>
  </w:style>
  <w:style w:type="character" w:customStyle="1" w:styleId="FooterChar">
    <w:name w:val="Footer Char"/>
    <w:basedOn w:val="DefaultParagraphFont"/>
    <w:link w:val="Footer"/>
    <w:uiPriority w:val="99"/>
    <w:rsid w:val="00124D3A"/>
    <w:rPr>
      <w:rFonts w:ascii="Calibri" w:hAnsi="Calibri" w:cs="Times New Roman"/>
    </w:rPr>
  </w:style>
  <w:style w:type="paragraph" w:styleId="BodyText">
    <w:name w:val="Body Text"/>
    <w:basedOn w:val="Normal"/>
    <w:link w:val="BodyTextChar"/>
    <w:uiPriority w:val="1"/>
    <w:qFormat/>
    <w:rsid w:val="00640845"/>
    <w:pPr>
      <w:widowControl w:val="0"/>
      <w:autoSpaceDE w:val="0"/>
      <w:autoSpaceDN w:val="0"/>
    </w:pPr>
    <w:rPr>
      <w:rFonts w:ascii="FuturaPT-Light" w:eastAsia="FuturaPT-Light" w:hAnsi="FuturaPT-Light" w:cs="FuturaPT-Light"/>
      <w:sz w:val="20"/>
      <w:szCs w:val="20"/>
      <w:lang w:val="en-US"/>
    </w:rPr>
  </w:style>
  <w:style w:type="character" w:customStyle="1" w:styleId="BodyTextChar">
    <w:name w:val="Body Text Char"/>
    <w:basedOn w:val="DefaultParagraphFont"/>
    <w:link w:val="BodyText"/>
    <w:uiPriority w:val="1"/>
    <w:rsid w:val="00640845"/>
    <w:rPr>
      <w:rFonts w:ascii="FuturaPT-Light" w:eastAsia="FuturaPT-Light" w:hAnsi="FuturaPT-Light" w:cs="FuturaPT-Light"/>
      <w:sz w:val="20"/>
      <w:szCs w:val="20"/>
      <w:lang w:val="en-US"/>
    </w:rPr>
  </w:style>
  <w:style w:type="character" w:customStyle="1" w:styleId="Heading1Char">
    <w:name w:val="Heading 1 Char"/>
    <w:basedOn w:val="DefaultParagraphFont"/>
    <w:link w:val="Heading1"/>
    <w:uiPriority w:val="9"/>
    <w:rsid w:val="00B31E85"/>
    <w:rPr>
      <w:rFonts w:ascii="Open Sans" w:eastAsiaTheme="majorEastAsia" w:hAnsi="Open Sans" w:cs="Open Sans"/>
      <w:b/>
      <w:bCs/>
      <w:color w:val="06926B"/>
      <w:sz w:val="32"/>
      <w:szCs w:val="32"/>
    </w:rPr>
  </w:style>
  <w:style w:type="character" w:customStyle="1" w:styleId="Heading2Char">
    <w:name w:val="Heading 2 Char"/>
    <w:basedOn w:val="DefaultParagraphFont"/>
    <w:link w:val="Heading2"/>
    <w:uiPriority w:val="9"/>
    <w:rsid w:val="00B31E85"/>
    <w:rPr>
      <w:rFonts w:ascii="Open Sans" w:hAnsi="Open Sans" w:cs="Open Sans"/>
      <w:b/>
      <w:bCs/>
    </w:rPr>
  </w:style>
  <w:style w:type="paragraph" w:styleId="NoSpacing">
    <w:name w:val="No Spacing"/>
    <w:uiPriority w:val="1"/>
    <w:qFormat/>
    <w:rsid w:val="00087B96"/>
    <w:pPr>
      <w:spacing w:after="0" w:line="240" w:lineRule="auto"/>
    </w:pPr>
    <w:rPr>
      <w:rFonts w:ascii="Open Sans" w:hAnsi="Open Sans" w:cs="Open Sans"/>
    </w:rPr>
  </w:style>
  <w:style w:type="character" w:customStyle="1" w:styleId="Heading3Char">
    <w:name w:val="Heading 3 Char"/>
    <w:basedOn w:val="DefaultParagraphFont"/>
    <w:link w:val="Heading3"/>
    <w:uiPriority w:val="9"/>
    <w:rsid w:val="000A06E2"/>
    <w:rPr>
      <w:rFonts w:ascii="Open Sans" w:eastAsiaTheme="majorEastAsia" w:hAnsi="Open Sans" w:cs="Open Sans"/>
      <w:color w:val="4FC0EA"/>
      <w:sz w:val="24"/>
      <w:szCs w:val="24"/>
    </w:rPr>
  </w:style>
  <w:style w:type="character" w:customStyle="1" w:styleId="Heading4Char">
    <w:name w:val="Heading 4 Char"/>
    <w:basedOn w:val="DefaultParagraphFont"/>
    <w:link w:val="Heading4"/>
    <w:uiPriority w:val="9"/>
    <w:rsid w:val="00B31E85"/>
    <w:rPr>
      <w:rFonts w:ascii="Open Sans" w:eastAsiaTheme="majorEastAsia" w:hAnsi="Open Sans" w:cs="Open Sans"/>
      <w:i/>
      <w:iCs/>
    </w:rPr>
  </w:style>
  <w:style w:type="character" w:customStyle="1" w:styleId="Heading5Char">
    <w:name w:val="Heading 5 Char"/>
    <w:basedOn w:val="DefaultParagraphFont"/>
    <w:link w:val="Heading5"/>
    <w:uiPriority w:val="9"/>
    <w:rsid w:val="00B31E85"/>
    <w:rPr>
      <w:rFonts w:ascii="Open Sans" w:eastAsiaTheme="majorEastAsia" w:hAnsi="Open Sans" w:cs="Open Sans"/>
    </w:rPr>
  </w:style>
  <w:style w:type="character" w:customStyle="1" w:styleId="Heading6Char">
    <w:name w:val="Heading 6 Char"/>
    <w:basedOn w:val="DefaultParagraphFont"/>
    <w:link w:val="Heading6"/>
    <w:uiPriority w:val="9"/>
    <w:rsid w:val="00B31E85"/>
    <w:rPr>
      <w:rFonts w:ascii="Open Sans" w:eastAsiaTheme="majorEastAsia" w:hAnsi="Open Sans" w:cs="Open Sans"/>
      <w:color w:val="243F60" w:themeColor="accent1" w:themeShade="7F"/>
    </w:rPr>
  </w:style>
  <w:style w:type="paragraph" w:styleId="ListParagraph">
    <w:name w:val="List Paragraph"/>
    <w:basedOn w:val="Normal"/>
    <w:uiPriority w:val="34"/>
    <w:qFormat/>
    <w:rsid w:val="00F16242"/>
    <w:pPr>
      <w:ind w:left="720"/>
      <w:contextualSpacing/>
    </w:pPr>
  </w:style>
  <w:style w:type="paragraph" w:styleId="NormalWeb">
    <w:name w:val="Normal (Web)"/>
    <w:basedOn w:val="Normal"/>
    <w:uiPriority w:val="99"/>
    <w:unhideWhenUsed/>
    <w:rsid w:val="009C2C75"/>
    <w:pPr>
      <w:spacing w:before="100" w:beforeAutospacing="1" w:after="100" w:afterAutospacing="1"/>
    </w:pPr>
    <w:rPr>
      <w:rFonts w:ascii="Times New Roman" w:eastAsia="Times New Roman" w:hAnsi="Times New Roman"/>
      <w:sz w:val="24"/>
      <w:szCs w:val="24"/>
      <w:lang w:val="en-US"/>
    </w:rPr>
  </w:style>
  <w:style w:type="paragraph" w:styleId="FootnoteText">
    <w:name w:val="footnote text"/>
    <w:basedOn w:val="Normal"/>
    <w:link w:val="FootnoteTextChar"/>
    <w:uiPriority w:val="99"/>
    <w:semiHidden/>
    <w:unhideWhenUsed/>
    <w:rsid w:val="00CF0EC3"/>
    <w:rPr>
      <w:sz w:val="20"/>
      <w:szCs w:val="20"/>
    </w:rPr>
  </w:style>
  <w:style w:type="character" w:customStyle="1" w:styleId="FootnoteTextChar">
    <w:name w:val="Footnote Text Char"/>
    <w:basedOn w:val="DefaultParagraphFont"/>
    <w:link w:val="FootnoteText"/>
    <w:uiPriority w:val="99"/>
    <w:semiHidden/>
    <w:rsid w:val="00CF0EC3"/>
    <w:rPr>
      <w:rFonts w:ascii="Calibri" w:hAnsi="Calibri" w:cs="Times New Roman"/>
      <w:sz w:val="20"/>
      <w:szCs w:val="20"/>
    </w:rPr>
  </w:style>
  <w:style w:type="character" w:styleId="FootnoteReference">
    <w:name w:val="footnote reference"/>
    <w:basedOn w:val="DefaultParagraphFont"/>
    <w:uiPriority w:val="99"/>
    <w:semiHidden/>
    <w:unhideWhenUsed/>
    <w:rsid w:val="00CF0EC3"/>
    <w:rPr>
      <w:vertAlign w:val="superscript"/>
    </w:rPr>
  </w:style>
  <w:style w:type="character" w:styleId="CommentReference">
    <w:name w:val="annotation reference"/>
    <w:basedOn w:val="DefaultParagraphFont"/>
    <w:uiPriority w:val="99"/>
    <w:semiHidden/>
    <w:unhideWhenUsed/>
    <w:rsid w:val="00312ADF"/>
    <w:rPr>
      <w:sz w:val="16"/>
      <w:szCs w:val="16"/>
    </w:rPr>
  </w:style>
  <w:style w:type="paragraph" w:styleId="CommentText">
    <w:name w:val="annotation text"/>
    <w:basedOn w:val="Normal"/>
    <w:link w:val="CommentTextChar"/>
    <w:uiPriority w:val="99"/>
    <w:unhideWhenUsed/>
    <w:rsid w:val="00312ADF"/>
    <w:rPr>
      <w:sz w:val="20"/>
      <w:szCs w:val="20"/>
    </w:rPr>
  </w:style>
  <w:style w:type="character" w:customStyle="1" w:styleId="CommentTextChar">
    <w:name w:val="Comment Text Char"/>
    <w:basedOn w:val="DefaultParagraphFont"/>
    <w:link w:val="CommentText"/>
    <w:uiPriority w:val="99"/>
    <w:rsid w:val="00312AD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2ADF"/>
    <w:rPr>
      <w:b/>
      <w:bCs/>
    </w:rPr>
  </w:style>
  <w:style w:type="character" w:customStyle="1" w:styleId="CommentSubjectChar">
    <w:name w:val="Comment Subject Char"/>
    <w:basedOn w:val="CommentTextChar"/>
    <w:link w:val="CommentSubject"/>
    <w:uiPriority w:val="99"/>
    <w:semiHidden/>
    <w:rsid w:val="00312ADF"/>
    <w:rPr>
      <w:rFonts w:ascii="Calibri" w:hAnsi="Calibri" w:cs="Times New Roman"/>
      <w:b/>
      <w:bCs/>
      <w:sz w:val="20"/>
      <w:szCs w:val="20"/>
    </w:rPr>
  </w:style>
  <w:style w:type="paragraph" w:styleId="Revision">
    <w:name w:val="Revision"/>
    <w:hidden/>
    <w:uiPriority w:val="99"/>
    <w:semiHidden/>
    <w:rsid w:val="0059002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6280">
      <w:bodyDiv w:val="1"/>
      <w:marLeft w:val="0"/>
      <w:marRight w:val="0"/>
      <w:marTop w:val="0"/>
      <w:marBottom w:val="0"/>
      <w:divBdr>
        <w:top w:val="none" w:sz="0" w:space="0" w:color="auto"/>
        <w:left w:val="none" w:sz="0" w:space="0" w:color="auto"/>
        <w:bottom w:val="none" w:sz="0" w:space="0" w:color="auto"/>
        <w:right w:val="none" w:sz="0" w:space="0" w:color="auto"/>
      </w:divBdr>
    </w:div>
    <w:div w:id="1048914186">
      <w:bodyDiv w:val="1"/>
      <w:marLeft w:val="0"/>
      <w:marRight w:val="0"/>
      <w:marTop w:val="0"/>
      <w:marBottom w:val="0"/>
      <w:divBdr>
        <w:top w:val="none" w:sz="0" w:space="0" w:color="auto"/>
        <w:left w:val="none" w:sz="0" w:space="0" w:color="auto"/>
        <w:bottom w:val="none" w:sz="0" w:space="0" w:color="auto"/>
        <w:right w:val="none" w:sz="0" w:space="0" w:color="auto"/>
      </w:divBdr>
    </w:div>
    <w:div w:id="170127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antha\Downloads\RE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Mark Sommerfeld</DisplayName>
        <AccountId>64</AccountId>
        <AccountType/>
      </UserInfo>
      <UserInfo>
        <DisplayName>Frank Gordon</DisplayName>
        <AccountId>68</AccountId>
        <AccountType/>
      </UserInfo>
      <UserInfo>
        <DisplayName>Kat McManus</DisplayName>
        <AccountId>314</AccountId>
        <AccountType/>
      </UserInfo>
      <UserInfo>
        <DisplayName>Samantha Smith</DisplayName>
        <AccountId>351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5" ma:contentTypeDescription="Create a new document." ma:contentTypeScope="" ma:versionID="9930edceeac99d9c502635eaaaca264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B66A4-72C7-4F72-B5EA-48CC17FAA50B}">
  <ds:schemaRefs>
    <ds:schemaRef ds:uri="http://schemas.openxmlformats.org/officeDocument/2006/bibliography"/>
  </ds:schemaRefs>
</ds:datastoreItem>
</file>

<file path=customXml/itemProps2.xml><?xml version="1.0" encoding="utf-8"?>
<ds:datastoreItem xmlns:ds="http://schemas.openxmlformats.org/officeDocument/2006/customXml" ds:itemID="{E71783E5-5421-4429-8095-1CB86C80524A}">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3.xml><?xml version="1.0" encoding="utf-8"?>
<ds:datastoreItem xmlns:ds="http://schemas.openxmlformats.org/officeDocument/2006/customXml" ds:itemID="{DBDD941B-9BF9-497C-B776-A9B7C0726440}">
  <ds:schemaRefs>
    <ds:schemaRef ds:uri="http://schemas.microsoft.com/sharepoint/v3/contenttype/forms"/>
  </ds:schemaRefs>
</ds:datastoreItem>
</file>

<file path=customXml/itemProps4.xml><?xml version="1.0" encoding="utf-8"?>
<ds:datastoreItem xmlns:ds="http://schemas.openxmlformats.org/officeDocument/2006/customXml" ds:itemID="{C01EBAF7-38F0-4FA4-BA13-BBEF04D8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REA Letterhead</Template>
  <TotalTime>4</TotalTime>
  <Pages>7</Pages>
  <Words>3822</Words>
  <Characters>21789</Characters>
  <Application>Microsoft Office Word</Application>
  <DocSecurity>0</DocSecurity>
  <Lines>181</Lines>
  <Paragraphs>51</Paragraphs>
  <ScaleCrop>false</ScaleCrop>
  <Company>REA</Company>
  <LinksUpToDate>false</LinksUpToDate>
  <CharactersWithSpaces>25560</CharactersWithSpaces>
  <SharedDoc>false</SharedDoc>
  <HLinks>
    <vt:vector size="12" baseType="variant">
      <vt:variant>
        <vt:i4>4653083</vt:i4>
      </vt:variant>
      <vt:variant>
        <vt:i4>6</vt:i4>
      </vt:variant>
      <vt:variant>
        <vt:i4>0</vt:i4>
      </vt:variant>
      <vt:variant>
        <vt:i4>5</vt:i4>
      </vt:variant>
      <vt:variant>
        <vt:lpwstr>http://www.r-e-a.net/</vt:lpwstr>
      </vt:variant>
      <vt:variant>
        <vt:lpwstr/>
      </vt:variant>
      <vt:variant>
        <vt:i4>6684755</vt:i4>
      </vt:variant>
      <vt:variant>
        <vt:i4>3</vt:i4>
      </vt:variant>
      <vt:variant>
        <vt:i4>0</vt:i4>
      </vt:variant>
      <vt:variant>
        <vt:i4>5</vt:i4>
      </vt:variant>
      <vt:variant>
        <vt:lpwstr>mailto:info@r-e-a.net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Smith</dc:creator>
  <cp:lastModifiedBy>Samantha Smith</cp:lastModifiedBy>
  <cp:revision>2</cp:revision>
  <dcterms:created xsi:type="dcterms:W3CDTF">2024-02-19T15:20:00Z</dcterms:created>
  <dcterms:modified xsi:type="dcterms:W3CDTF">2024-02-19T15:20:00Z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