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99419" w14:textId="4FF7EC04" w:rsidR="00C53E10" w:rsidRPr="00E7094F" w:rsidRDefault="001A064B" w:rsidP="00510648">
      <w:pPr>
        <w:pStyle w:val="Heading1"/>
        <w:jc w:val="center"/>
        <w:rPr>
          <w:sz w:val="28"/>
          <w:szCs w:val="28"/>
        </w:rPr>
      </w:pPr>
      <w:r>
        <w:rPr>
          <w:sz w:val="28"/>
          <w:szCs w:val="28"/>
        </w:rPr>
        <w:t xml:space="preserve">DRAFT </w:t>
      </w:r>
      <w:r w:rsidR="00510648" w:rsidRPr="00E7094F">
        <w:rPr>
          <w:sz w:val="28"/>
          <w:szCs w:val="28"/>
        </w:rPr>
        <w:t xml:space="preserve">REA consultation response: </w:t>
      </w:r>
      <w:r w:rsidR="00D107E1">
        <w:rPr>
          <w:sz w:val="28"/>
          <w:szCs w:val="28"/>
        </w:rPr>
        <w:t xml:space="preserve">Scottish Bioenergy Policy Statement </w:t>
      </w:r>
    </w:p>
    <w:p w14:paraId="450F0452" w14:textId="77777777" w:rsidR="00510648" w:rsidRDefault="00510648" w:rsidP="00510648"/>
    <w:p w14:paraId="2B53F643" w14:textId="4CC8FD44" w:rsidR="00067737" w:rsidRDefault="00067737" w:rsidP="00067737">
      <w:r>
        <w:t xml:space="preserve">The Association for Renewable Energy &amp; Clean Technology (REA) is pleased to submit this response to the above consultation. </w:t>
      </w:r>
      <w:r w:rsidR="00D93C8A">
        <w:t>T</w:t>
      </w:r>
      <w:r w:rsidR="00D93C8A" w:rsidRPr="006B1800">
        <w:t>he REA represents</w:t>
      </w:r>
      <w:r w:rsidR="00D93C8A">
        <w:t xml:space="preserve"> a wide variety of organisations, including generators, project developers, fuel and power suppliers, investors, equipment producers and service providers.</w:t>
      </w:r>
      <w:r w:rsidR="00517EA4">
        <w:t xml:space="preserve"> </w:t>
      </w:r>
      <w:r w:rsidR="00D93C8A">
        <w:t xml:space="preserve">The REA </w:t>
      </w:r>
      <w:r w:rsidR="00D264F1">
        <w:t>has</w:t>
      </w:r>
      <w:r w:rsidR="00637563" w:rsidRPr="006B1800">
        <w:t xml:space="preserve"> dedicated member forums focused on </w:t>
      </w:r>
      <w:r w:rsidR="00D264F1" w:rsidRPr="006B1800">
        <w:t>biomass power</w:t>
      </w:r>
      <w:r w:rsidR="00D264F1">
        <w:t>,</w:t>
      </w:r>
      <w:r w:rsidR="00D264F1" w:rsidRPr="006B1800">
        <w:t xml:space="preserve"> biomass heat, </w:t>
      </w:r>
      <w:r w:rsidR="00637563" w:rsidRPr="006B1800">
        <w:t xml:space="preserve">green gas </w:t>
      </w:r>
      <w:r w:rsidR="00637563">
        <w:t>and</w:t>
      </w:r>
      <w:r w:rsidR="00637563" w:rsidRPr="006B1800">
        <w:t xml:space="preserve"> hydrogen, renewable transport fuels, thermal storage</w:t>
      </w:r>
      <w:r w:rsidR="00D264F1">
        <w:t>,</w:t>
      </w:r>
      <w:r w:rsidR="00637563" w:rsidRPr="006B1800">
        <w:t xml:space="preserve"> and energy from waste (including advanced conversion technologies).</w:t>
      </w:r>
      <w:r w:rsidR="00637563" w:rsidRPr="00637563">
        <w:t xml:space="preserve"> </w:t>
      </w:r>
      <w:r>
        <w:t xml:space="preserve">Members range in size from major multinationals to sole traders. There are </w:t>
      </w:r>
      <w:r w:rsidR="002B0DA4">
        <w:t>around</w:t>
      </w:r>
      <w:r>
        <w:t xml:space="preserve"> 500 corporate members of the REA, making it the largest renewable</w:t>
      </w:r>
      <w:r w:rsidR="00080C04">
        <w:t xml:space="preserve"> </w:t>
      </w:r>
      <w:r>
        <w:t xml:space="preserve">energy trade association in the UK. </w:t>
      </w:r>
    </w:p>
    <w:p w14:paraId="6F744A1A" w14:textId="77777777" w:rsidR="005121EC" w:rsidRDefault="005121EC" w:rsidP="00CD13C2">
      <w:pPr>
        <w:rPr>
          <w:highlight w:val="yellow"/>
        </w:rPr>
      </w:pPr>
    </w:p>
    <w:p w14:paraId="37A446E6" w14:textId="66FC496F" w:rsidR="000D417A" w:rsidRPr="0045144E" w:rsidRDefault="000D417A" w:rsidP="000D417A">
      <w:pPr>
        <w:pStyle w:val="ListParagraph"/>
        <w:numPr>
          <w:ilvl w:val="0"/>
          <w:numId w:val="44"/>
        </w:numPr>
        <w:rPr>
          <w:b/>
          <w:bCs/>
        </w:rPr>
      </w:pPr>
      <w:r w:rsidRPr="0045144E">
        <w:rPr>
          <w:b/>
          <w:bCs/>
        </w:rPr>
        <w:t>Do you agree with the overarching principles for use of bioenergy, as set out in this document?</w:t>
      </w:r>
    </w:p>
    <w:p w14:paraId="7DA9A1CB" w14:textId="77777777" w:rsidR="00B371A6" w:rsidRDefault="00B371A6" w:rsidP="00B371A6"/>
    <w:p w14:paraId="6BD42078" w14:textId="424CAC72" w:rsidR="00B65E20" w:rsidRDefault="00BE7868" w:rsidP="00B371A6">
      <w:r>
        <w:t>Yes, the REA largely agrees with the overarching principles for the use of bioenergy</w:t>
      </w:r>
      <w:r w:rsidR="00223AD4">
        <w:t>, and more broadly, supports a principles-based approach, where policy supports desired outcomes</w:t>
      </w:r>
      <w:r w:rsidR="000E4407">
        <w:t xml:space="preserve"> such as </w:t>
      </w:r>
      <w:r w:rsidR="00E72E59">
        <w:t xml:space="preserve">emission </w:t>
      </w:r>
      <w:r w:rsidR="00505625">
        <w:t>reductions or sustainability</w:t>
      </w:r>
      <w:r w:rsidR="008B3F60">
        <w:t xml:space="preserve"> factors</w:t>
      </w:r>
      <w:r w:rsidR="00223AD4">
        <w:t xml:space="preserve">, rather than just end uses. </w:t>
      </w:r>
      <w:r w:rsidR="00E44D24">
        <w:t xml:space="preserve">This approach provides a </w:t>
      </w:r>
      <w:r w:rsidR="00B4201E">
        <w:t xml:space="preserve">helpful </w:t>
      </w:r>
      <w:r w:rsidR="00E700E2">
        <w:t>future direction for the sector</w:t>
      </w:r>
      <w:r w:rsidR="00136482">
        <w:t xml:space="preserve"> that all bioenergy sectors can deliver against.  However,</w:t>
      </w:r>
      <w:r w:rsidR="00710BEB">
        <w:t xml:space="preserve"> it is important to</w:t>
      </w:r>
      <w:r w:rsidR="00A97955">
        <w:t xml:space="preserve"> </w:t>
      </w:r>
      <w:r w:rsidR="004D28DB">
        <w:t xml:space="preserve">understand the different </w:t>
      </w:r>
      <w:r w:rsidR="00A97955">
        <w:t xml:space="preserve">nuances </w:t>
      </w:r>
      <w:r w:rsidR="00E44D24">
        <w:t xml:space="preserve">across bioenergy use in power, </w:t>
      </w:r>
      <w:r w:rsidR="00086CCE">
        <w:t>heat,</w:t>
      </w:r>
      <w:r w:rsidR="00E44D24">
        <w:t xml:space="preserve"> and transport </w:t>
      </w:r>
      <w:r w:rsidR="00B75EAE">
        <w:t xml:space="preserve">in </w:t>
      </w:r>
      <w:r w:rsidR="004D28DB">
        <w:t>Scotland</w:t>
      </w:r>
      <w:r w:rsidR="0080510F">
        <w:t xml:space="preserve">, ensuring these principles build on </w:t>
      </w:r>
      <w:r w:rsidR="00A90581">
        <w:t xml:space="preserve">both the </w:t>
      </w:r>
      <w:r w:rsidR="0080510F">
        <w:t xml:space="preserve">existing </w:t>
      </w:r>
      <w:r w:rsidR="00C2407A">
        <w:t xml:space="preserve">sectors and </w:t>
      </w:r>
      <w:r w:rsidR="00A90581">
        <w:t>their associated regulatory frameworks</w:t>
      </w:r>
      <w:r w:rsidR="00E44D24">
        <w:t>. Different feedstocks and conversion technologies have different characteristics, further</w:t>
      </w:r>
      <w:r w:rsidR="00B65E20">
        <w:t xml:space="preserve"> underlining the importance of having a wide variety of bioenergy technologies. </w:t>
      </w:r>
    </w:p>
    <w:p w14:paraId="332B4A4B" w14:textId="12A5DC1B" w:rsidR="009B73DA" w:rsidRDefault="009B73DA" w:rsidP="00B371A6"/>
    <w:p w14:paraId="1AA85E14" w14:textId="11F898C6" w:rsidR="00F14D84" w:rsidRDefault="00A135DC" w:rsidP="00B371A6">
      <w:r>
        <w:t xml:space="preserve">The sector </w:t>
      </w:r>
      <w:r w:rsidR="00FB459B">
        <w:t>is keen to see progress on the</w:t>
      </w:r>
      <w:r>
        <w:t xml:space="preserve"> development of the Cross Sector</w:t>
      </w:r>
      <w:r w:rsidR="00BE2985">
        <w:t>al</w:t>
      </w:r>
      <w:r>
        <w:t xml:space="preserve"> Sustainability</w:t>
      </w:r>
      <w:r w:rsidR="00BF18F3">
        <w:t xml:space="preserve"> </w:t>
      </w:r>
      <w:r w:rsidR="00194684">
        <w:t>Framework</w:t>
      </w:r>
      <w:r w:rsidR="00BF18F3">
        <w:t>, as committed to with</w:t>
      </w:r>
      <w:r w:rsidR="007E1C9B">
        <w:t>in</w:t>
      </w:r>
      <w:r w:rsidR="00BF18F3">
        <w:t xml:space="preserve"> the UK Biomass Strategy, </w:t>
      </w:r>
      <w:r w:rsidR="00194684">
        <w:t>and</w:t>
      </w:r>
      <w:r w:rsidR="00FB459B">
        <w:t xml:space="preserve"> stands ready to support the UK Government in its delivery. </w:t>
      </w:r>
      <w:r w:rsidR="00FF6A11">
        <w:t xml:space="preserve">We </w:t>
      </w:r>
      <w:r w:rsidR="002F7D7E">
        <w:t xml:space="preserve">also are keen to work with individual devolved </w:t>
      </w:r>
      <w:r w:rsidR="00510C47">
        <w:t xml:space="preserve">governments to ensure the evolution of a bioenergy sector meets each countries needs and standards. </w:t>
      </w:r>
    </w:p>
    <w:p w14:paraId="1E9F79E1" w14:textId="77777777" w:rsidR="00F14D84" w:rsidRDefault="00F14D84" w:rsidP="00B371A6"/>
    <w:p w14:paraId="35C55174" w14:textId="77777777" w:rsidR="0099336D" w:rsidRPr="0099336D" w:rsidRDefault="0099336D" w:rsidP="00B371A6">
      <w:pPr>
        <w:rPr>
          <w:b/>
          <w:bCs/>
        </w:rPr>
      </w:pPr>
      <w:r w:rsidRPr="0099336D">
        <w:rPr>
          <w:b/>
          <w:bCs/>
        </w:rPr>
        <w:t xml:space="preserve">Support beyond the Renewables Obligation </w:t>
      </w:r>
    </w:p>
    <w:p w14:paraId="26BCF1BF" w14:textId="7787F4C0" w:rsidR="00A135DC" w:rsidRDefault="00F14D84" w:rsidP="00B371A6">
      <w:r>
        <w:t xml:space="preserve">We also stress the time </w:t>
      </w:r>
      <w:r w:rsidR="00510C47">
        <w:t>scales</w:t>
      </w:r>
      <w:r>
        <w:t xml:space="preserve"> for which clarity</w:t>
      </w:r>
      <w:r w:rsidR="00510C47">
        <w:t xml:space="preserve"> is needed in relation to the Scottish Governments overarching </w:t>
      </w:r>
      <w:r w:rsidR="004D32F8">
        <w:t>approach to bioenergy.</w:t>
      </w:r>
      <w:r w:rsidR="00510C47">
        <w:t xml:space="preserve"> </w:t>
      </w:r>
      <w:r w:rsidR="008F7CAF">
        <w:t>As</w:t>
      </w:r>
      <w:r w:rsidR="004E372D">
        <w:t xml:space="preserve"> many biomass power </w:t>
      </w:r>
      <w:r w:rsidR="00A776BB">
        <w:t>assets</w:t>
      </w:r>
      <w:r w:rsidR="008F7CAF">
        <w:t xml:space="preserve"> approach the</w:t>
      </w:r>
      <w:r w:rsidR="004E372D">
        <w:t xml:space="preserve"> end of </w:t>
      </w:r>
      <w:r w:rsidR="00600C56">
        <w:t xml:space="preserve">their Renewables Obligation (RO) contracts (from 2027), getting clarity on future sustainability requirements is </w:t>
      </w:r>
      <w:r w:rsidR="007C3B31">
        <w:t xml:space="preserve">critical, particularly as the UK Government </w:t>
      </w:r>
      <w:r w:rsidR="008E1209">
        <w:t>is c</w:t>
      </w:r>
      <w:r w:rsidR="007C3B31">
        <w:t>onsider</w:t>
      </w:r>
      <w:r w:rsidR="008E1209">
        <w:t>ing</w:t>
      </w:r>
      <w:r w:rsidR="007C3B31">
        <w:t xml:space="preserve"> transitional support </w:t>
      </w:r>
      <w:r w:rsidR="00886118">
        <w:t>arrangements for large-scale generators.</w:t>
      </w:r>
      <w:r w:rsidR="00F87ED8">
        <w:t xml:space="preserve"> </w:t>
      </w:r>
      <w:r w:rsidR="00A3264B">
        <w:t>Considering</w:t>
      </w:r>
      <w:r w:rsidR="008E1209">
        <w:t xml:space="preserve"> the</w:t>
      </w:r>
      <w:r w:rsidR="00F87ED8">
        <w:t xml:space="preserve"> parallel workstreams being undertaken by the UK Government</w:t>
      </w:r>
      <w:r w:rsidR="008E1209">
        <w:t xml:space="preserve"> in relation to biomass and Bioenergy, Carbon, Capture and Storage (BECCS),</w:t>
      </w:r>
      <w:r w:rsidR="00AD428C">
        <w:t xml:space="preserve"> ensuring clarity and consistency within contracts is </w:t>
      </w:r>
      <w:r w:rsidR="008E1209">
        <w:t xml:space="preserve">important. </w:t>
      </w:r>
      <w:r w:rsidR="00A002CB">
        <w:t xml:space="preserve">Similarly, we </w:t>
      </w:r>
      <w:r w:rsidR="002127EC">
        <w:t xml:space="preserve">support the government’s call for biomass to be </w:t>
      </w:r>
      <w:r w:rsidR="00A56C74">
        <w:t>independently</w:t>
      </w:r>
      <w:r w:rsidR="002127EC">
        <w:t xml:space="preserve"> monitored and </w:t>
      </w:r>
      <w:r w:rsidR="00A3264B">
        <w:t>verified and</w:t>
      </w:r>
      <w:r w:rsidR="002127EC">
        <w:t xml:space="preserve"> are </w:t>
      </w:r>
      <w:r w:rsidR="00655D5E">
        <w:t xml:space="preserve">confident generators would continue to </w:t>
      </w:r>
      <w:r w:rsidR="007E4CE6">
        <w:t xml:space="preserve">use </w:t>
      </w:r>
      <w:r w:rsidR="000C4318">
        <w:t>voluntary schemes like the Sustainable Biomass Program (SBP) to audit and demonstrate compliance with relevant sustainability regulation</w:t>
      </w:r>
      <w:r w:rsidR="00157E66">
        <w:t>.</w:t>
      </w:r>
      <w:r w:rsidR="00A56C74">
        <w:rPr>
          <w:rStyle w:val="FootnoteReference"/>
        </w:rPr>
        <w:footnoteReference w:id="2"/>
      </w:r>
      <w:r w:rsidR="00157E66">
        <w:t xml:space="preserve"> </w:t>
      </w:r>
      <w:r w:rsidR="00886118">
        <w:t xml:space="preserve"> </w:t>
      </w:r>
    </w:p>
    <w:p w14:paraId="47151900" w14:textId="77777777" w:rsidR="00F86566" w:rsidRDefault="00F86566" w:rsidP="00B371A6"/>
    <w:p w14:paraId="148647DC" w14:textId="01165C31" w:rsidR="006A0053" w:rsidRPr="006A0053" w:rsidRDefault="00BA0654" w:rsidP="00BA0654">
      <w:r>
        <w:t>I</w:t>
      </w:r>
      <w:r w:rsidR="00190853">
        <w:t>t is important to recognise that t</w:t>
      </w:r>
      <w:r w:rsidR="00F86566" w:rsidRPr="00F86566">
        <w:t xml:space="preserve">he market already dictates and operates an economic cascading principle, ensuring wood is only used for </w:t>
      </w:r>
      <w:r w:rsidR="004F3804">
        <w:t>bioenergy</w:t>
      </w:r>
      <w:r w:rsidR="004F3804" w:rsidRPr="00F86566">
        <w:t xml:space="preserve"> </w:t>
      </w:r>
      <w:r w:rsidR="00F86566" w:rsidRPr="00F86566">
        <w:t>when</w:t>
      </w:r>
      <w:r w:rsidR="0016120F">
        <w:t xml:space="preserve"> </w:t>
      </w:r>
      <w:r w:rsidR="004F3804">
        <w:t>other</w:t>
      </w:r>
      <w:r w:rsidR="00E10F39">
        <w:t xml:space="preserve"> timber</w:t>
      </w:r>
      <w:r w:rsidR="004F3804">
        <w:t xml:space="preserve"> markets, who require </w:t>
      </w:r>
      <w:r w:rsidR="00E10F39">
        <w:t>high-quality</w:t>
      </w:r>
      <w:r w:rsidR="004F3804">
        <w:t xml:space="preserve"> </w:t>
      </w:r>
      <w:r w:rsidR="00E10F39">
        <w:t xml:space="preserve">material and can typically pay more, are unable to take </w:t>
      </w:r>
      <w:r w:rsidR="007F37EF">
        <w:t xml:space="preserve">the material. This includes offcuts, thinnings and </w:t>
      </w:r>
      <w:r w:rsidR="616BF924">
        <w:t>sawmill</w:t>
      </w:r>
      <w:r w:rsidR="007F37EF">
        <w:t xml:space="preserve"> residues which </w:t>
      </w:r>
      <w:r w:rsidR="004253EF">
        <w:t xml:space="preserve">would otherwise be wasted. </w:t>
      </w:r>
      <w:r w:rsidR="00E10F39">
        <w:t>e</w:t>
      </w:r>
      <w:r w:rsidR="005648BA">
        <w:t xml:space="preserve">. </w:t>
      </w:r>
      <w:r w:rsidR="00F86566" w:rsidRPr="00F86566">
        <w:t>The EU Council</w:t>
      </w:r>
      <w:r w:rsidR="00575099">
        <w:t xml:space="preserve"> agrees that</w:t>
      </w:r>
      <w:r w:rsidR="00F86566" w:rsidRPr="00F86566">
        <w:t xml:space="preserve"> </w:t>
      </w:r>
      <w:r w:rsidR="00AC590F">
        <w:t>“</w:t>
      </w:r>
      <w:r w:rsidR="00F86566" w:rsidRPr="00F86566">
        <w:t>a market-based approach</w:t>
      </w:r>
      <w:r w:rsidR="00F86566" w:rsidRPr="00F86566">
        <w:rPr>
          <w:vertAlign w:val="superscript"/>
        </w:rPr>
        <w:footnoteReference w:id="3"/>
      </w:r>
      <w:r w:rsidR="00F86566" w:rsidRPr="00F86566">
        <w:t>”</w:t>
      </w:r>
      <w:r w:rsidR="00575099">
        <w:t xml:space="preserve"> when it comes to resource </w:t>
      </w:r>
      <w:r w:rsidR="00AC590F">
        <w:t>efficiency is most favourable.</w:t>
      </w:r>
      <w:r>
        <w:t xml:space="preserve"> However, t</w:t>
      </w:r>
      <w:r w:rsidR="00EB58D2">
        <w:t>he REA agrees</w:t>
      </w:r>
      <w:r w:rsidR="00180C29">
        <w:t xml:space="preserve"> with the principal</w:t>
      </w:r>
      <w:r w:rsidR="00295F67">
        <w:t xml:space="preserve"> of using</w:t>
      </w:r>
      <w:r w:rsidR="006A0053" w:rsidRPr="006A0053">
        <w:t xml:space="preserve"> bioenergy technologies t</w:t>
      </w:r>
      <w:r w:rsidR="00295F67">
        <w:t>hat</w:t>
      </w:r>
      <w:r w:rsidR="008E7F2A">
        <w:t xml:space="preserve"> promote</w:t>
      </w:r>
      <w:r w:rsidR="006A0053" w:rsidRPr="006A0053">
        <w:t xml:space="preserve"> circular economies</w:t>
      </w:r>
      <w:r w:rsidR="00D31ABA">
        <w:t>, particularly on a localised basis</w:t>
      </w:r>
      <w:r w:rsidR="006A0053" w:rsidRPr="006A0053">
        <w:t xml:space="preserve">. </w:t>
      </w:r>
      <w:r w:rsidR="001919FF">
        <w:t>Th</w:t>
      </w:r>
      <w:r w:rsidR="00295F67">
        <w:t xml:space="preserve">ese could </w:t>
      </w:r>
      <w:r w:rsidR="006A0053" w:rsidRPr="006A0053">
        <w:t xml:space="preserve">include on-site </w:t>
      </w:r>
      <w:r w:rsidR="00FB2AF2">
        <w:t>A</w:t>
      </w:r>
      <w:r w:rsidR="006A0053" w:rsidRPr="006A0053">
        <w:t xml:space="preserve">naerobic </w:t>
      </w:r>
      <w:r w:rsidR="00FB2AF2">
        <w:t>D</w:t>
      </w:r>
      <w:r w:rsidR="006A0053" w:rsidRPr="006A0053">
        <w:t>igestion</w:t>
      </w:r>
      <w:r w:rsidR="00FB2AF2">
        <w:t xml:space="preserve"> (AD)</w:t>
      </w:r>
      <w:r w:rsidR="006A0053" w:rsidRPr="006A0053">
        <w:t xml:space="preserve">, where </w:t>
      </w:r>
      <w:r w:rsidR="006A0053" w:rsidRPr="006A0053">
        <w:lastRenderedPageBreak/>
        <w:t>agriculture or agri-food waste is used onsite to provide energy for further commercial activities.</w:t>
      </w:r>
      <w:r w:rsidR="00BC1DEA">
        <w:t xml:space="preserve"> Similarly, </w:t>
      </w:r>
      <w:r w:rsidR="006A0053" w:rsidRPr="006A0053">
        <w:t>localised wood chips or locally grown energy crops within biomass heat or CHP sites</w:t>
      </w:r>
      <w:r w:rsidR="00BC1DEA">
        <w:t xml:space="preserve"> should be </w:t>
      </w:r>
      <w:r w:rsidR="00DB27FF">
        <w:t>promoted</w:t>
      </w:r>
      <w:r w:rsidR="00BC1DEA">
        <w:t>, provided they come from</w:t>
      </w:r>
      <w:r w:rsidR="006A0053" w:rsidRPr="006A0053">
        <w:t xml:space="preserve"> sustainable sources</w:t>
      </w:r>
      <w:r w:rsidR="00FA40EC">
        <w:t xml:space="preserve">. </w:t>
      </w:r>
    </w:p>
    <w:p w14:paraId="2F3943E8" w14:textId="77777777" w:rsidR="00594A5D" w:rsidRDefault="00594A5D" w:rsidP="00F86566"/>
    <w:p w14:paraId="4D733621" w14:textId="6C99F918" w:rsidR="0042773F" w:rsidRDefault="0042773F" w:rsidP="0042773F">
      <w:r>
        <w:t>Electricity generation from landfill gas</w:t>
      </w:r>
      <w:r w:rsidR="005D3A2B">
        <w:t>, with 38 active sites in Scotland,</w:t>
      </w:r>
      <w:r>
        <w:t xml:space="preserve"> is in a similar position to much solid biomass power generation in that over 85% of current capacity loses support from 2027. The REA has commissioned independent consultants (WSP) to analyse the costs of generation. Their report demonstrates that almost no current generation would be financially viable if dependent on power sales revenue alone. We have shared this report with officials across the UK</w:t>
      </w:r>
      <w:r w:rsidR="00BB4EB1">
        <w:t xml:space="preserve"> G</w:t>
      </w:r>
      <w:r>
        <w:t xml:space="preserve">overnment and would be happy to do the same with the Scottish Government. We fully support UK and Scottish policies to avoid biodegradable material going to landfill, but even the material that is already in the ground will continue to produce methane for decades to come. </w:t>
      </w:r>
    </w:p>
    <w:p w14:paraId="57F061E2" w14:textId="77777777" w:rsidR="0042773F" w:rsidRDefault="0042773F" w:rsidP="0042773F"/>
    <w:p w14:paraId="3BE80966" w14:textId="77777777" w:rsidR="0042773F" w:rsidRDefault="0042773F" w:rsidP="0042773F">
      <w:r>
        <w:t>Given that methane is a far more potent greenhouse gas than CO2</w:t>
      </w:r>
      <w:r>
        <w:rPr>
          <w:rStyle w:val="FootnoteReference"/>
        </w:rPr>
        <w:footnoteReference w:id="4"/>
      </w:r>
      <w:r>
        <w:t>, it is essential that the experience and know-how in capturing this gas is not lost as even a small decline in rates of capture would be significant. Modelling by WSP shows that a 1% change in methane capture rates across the UK over 2028-2037 means emissions of 1.1MtCO2eq being avoided. This gives an undiscounted financial value of £321m over the period.</w:t>
      </w:r>
      <w:r>
        <w:rPr>
          <w:rStyle w:val="FootnoteReference"/>
        </w:rPr>
        <w:footnoteReference w:id="5"/>
      </w:r>
      <w:r>
        <w:t xml:space="preserve"> This shows the scale of the opportunity if the right policy is in place. It also highlights what is at risk, as the same values would apply if policy inaction </w:t>
      </w:r>
      <w:proofErr w:type="gramStart"/>
      <w:r>
        <w:t>leads</w:t>
      </w:r>
      <w:proofErr w:type="gramEnd"/>
      <w:r>
        <w:t xml:space="preserve"> to an equivalent increase in methane emissions.</w:t>
      </w:r>
    </w:p>
    <w:p w14:paraId="4FBD4FEB" w14:textId="77777777" w:rsidR="0042773F" w:rsidRDefault="0042773F" w:rsidP="0042773F"/>
    <w:p w14:paraId="2CAFB740" w14:textId="77777777" w:rsidR="0042773F" w:rsidRDefault="0042773F" w:rsidP="0042773F">
      <w:r>
        <w:t>Given that decisions on whether to decommission engines and disband operational teams need to be taken urgently, there is a need for interim support to maintain the status quo while a long-term policy is put in place. Maximising efforts to capture landfill gas would fit well within principle 4 of this draft strategy, and the electricity produced would fit with principle 2 as this would be making use of the bioenergy for material that cannot be put to any other beneficial use.</w:t>
      </w:r>
    </w:p>
    <w:p w14:paraId="04BC5CDC" w14:textId="77777777" w:rsidR="0042773F" w:rsidRDefault="0042773F" w:rsidP="00B371A6"/>
    <w:p w14:paraId="62135444" w14:textId="1D9F563E" w:rsidR="00F86566" w:rsidRDefault="00594A5D" w:rsidP="00B371A6">
      <w:r>
        <w:t xml:space="preserve">In addition to the principles already set out, we would suggest </w:t>
      </w:r>
      <w:r w:rsidR="00CD6886">
        <w:t xml:space="preserve">also </w:t>
      </w:r>
      <w:r>
        <w:t xml:space="preserve">including: </w:t>
      </w:r>
    </w:p>
    <w:p w14:paraId="6EE55211" w14:textId="77777777" w:rsidR="00387EDA" w:rsidRDefault="00387EDA" w:rsidP="00A33D3F">
      <w:pPr>
        <w:rPr>
          <w:b/>
          <w:bCs/>
          <w:i/>
          <w:iCs/>
        </w:rPr>
      </w:pPr>
    </w:p>
    <w:p w14:paraId="366CEF5D" w14:textId="09091B19" w:rsidR="001436CD" w:rsidRDefault="0042773F" w:rsidP="00A33D3F">
      <w:pPr>
        <w:rPr>
          <w:b/>
          <w:bCs/>
          <w:i/>
          <w:iCs/>
        </w:rPr>
      </w:pPr>
      <w:r>
        <w:rPr>
          <w:b/>
          <w:bCs/>
          <w:i/>
          <w:iCs/>
        </w:rPr>
        <w:t>Greenhouse</w:t>
      </w:r>
      <w:r w:rsidR="00A33D3F" w:rsidRPr="00A33D3F">
        <w:rPr>
          <w:b/>
          <w:bCs/>
          <w:i/>
          <w:iCs/>
        </w:rPr>
        <w:t xml:space="preserve"> savings in accordance with full life-cycle analysis</w:t>
      </w:r>
    </w:p>
    <w:p w14:paraId="65967E72" w14:textId="34EE562E" w:rsidR="00A33D3F" w:rsidRPr="00A33D3F" w:rsidRDefault="00A33D3F" w:rsidP="00A33D3F">
      <w:r w:rsidRPr="00A33D3F">
        <w:t xml:space="preserve">Methodologies for full life cycle analysis of emissions are well established for different bioenergy feedstocks and technologies. </w:t>
      </w:r>
      <w:r w:rsidR="009A4EE4">
        <w:t>Policy should</w:t>
      </w:r>
      <w:r w:rsidRPr="00A33D3F">
        <w:t xml:space="preserve"> focus on</w:t>
      </w:r>
      <w:r w:rsidR="008626E8">
        <w:t xml:space="preserve"> promoting technologies that can achieve </w:t>
      </w:r>
      <w:r w:rsidRPr="00A33D3F">
        <w:t xml:space="preserve">the highest </w:t>
      </w:r>
      <w:r w:rsidR="009A4EE4">
        <w:t>greenhouse gas (</w:t>
      </w:r>
      <w:r w:rsidRPr="00A33D3F">
        <w:t>GHG</w:t>
      </w:r>
      <w:r w:rsidR="009A4EE4">
        <w:t>)</w:t>
      </w:r>
      <w:r w:rsidRPr="00A33D3F">
        <w:t xml:space="preserve"> savings. </w:t>
      </w:r>
    </w:p>
    <w:p w14:paraId="6EE5011F" w14:textId="77777777" w:rsidR="0044688D" w:rsidRPr="0087305E" w:rsidRDefault="0044688D" w:rsidP="00A33D3F">
      <w:pPr>
        <w:rPr>
          <w:i/>
          <w:iCs/>
        </w:rPr>
      </w:pPr>
    </w:p>
    <w:p w14:paraId="597DC0A4" w14:textId="1F7CB487" w:rsidR="00A33D3F" w:rsidRPr="00A33D3F" w:rsidRDefault="00A33D3F" w:rsidP="00A33D3F">
      <w:pPr>
        <w:rPr>
          <w:b/>
          <w:bCs/>
          <w:i/>
          <w:iCs/>
        </w:rPr>
      </w:pPr>
      <w:r w:rsidRPr="00A33D3F">
        <w:rPr>
          <w:b/>
          <w:bCs/>
          <w:i/>
          <w:iCs/>
        </w:rPr>
        <w:t>Ability to deliver carbon storage</w:t>
      </w:r>
      <w:r w:rsidR="002B596E">
        <w:rPr>
          <w:b/>
          <w:bCs/>
          <w:i/>
          <w:iCs/>
        </w:rPr>
        <w:t xml:space="preserve">/and or </w:t>
      </w:r>
      <w:proofErr w:type="gramStart"/>
      <w:r w:rsidR="002B596E">
        <w:rPr>
          <w:b/>
          <w:bCs/>
          <w:i/>
          <w:iCs/>
        </w:rPr>
        <w:t>usage</w:t>
      </w:r>
      <w:proofErr w:type="gramEnd"/>
      <w:r w:rsidR="002B596E">
        <w:rPr>
          <w:b/>
          <w:bCs/>
          <w:i/>
          <w:iCs/>
        </w:rPr>
        <w:t xml:space="preserve"> </w:t>
      </w:r>
    </w:p>
    <w:p w14:paraId="48543CA1" w14:textId="6A80A80F" w:rsidR="00A33D3F" w:rsidRDefault="00A33D3F" w:rsidP="00A33D3F">
      <w:r>
        <w:t xml:space="preserve">In considering full life cycle analysis, carbon storage </w:t>
      </w:r>
      <w:r w:rsidR="007702A1">
        <w:t>potential</w:t>
      </w:r>
      <w:r>
        <w:t xml:space="preserve"> </w:t>
      </w:r>
      <w:r w:rsidR="00C77DB0">
        <w:t xml:space="preserve">should </w:t>
      </w:r>
      <w:r>
        <w:t>also be recognised. This is not only post-combustion but across supply chains. For example, carbon removals from AD plants can be stored and growth of perennial energy crops can provide carbon storage at the point of cultivation</w:t>
      </w:r>
      <w:r w:rsidR="00C77DB0">
        <w:t xml:space="preserve"> via carbon fixing within the soil</w:t>
      </w:r>
      <w:r>
        <w:t>.</w:t>
      </w:r>
      <w:r w:rsidR="000802A4">
        <w:t xml:space="preserve"> </w:t>
      </w:r>
    </w:p>
    <w:p w14:paraId="116F2D8A" w14:textId="77777777" w:rsidR="00A6414B" w:rsidRDefault="00A6414B" w:rsidP="00A33D3F"/>
    <w:p w14:paraId="458C1D8C" w14:textId="6CBFEA99" w:rsidR="00A6414B" w:rsidRPr="00A33D3F" w:rsidRDefault="00A6414B" w:rsidP="00A33D3F">
      <w:r>
        <w:t xml:space="preserve">However, it is worth noting </w:t>
      </w:r>
      <w:r w:rsidR="00FB27F7">
        <w:t xml:space="preserve">that many </w:t>
      </w:r>
      <w:r w:rsidR="002A0317">
        <w:t xml:space="preserve">smaller/single </w:t>
      </w:r>
      <w:r w:rsidR="00FB27F7">
        <w:t>biomethane plant</w:t>
      </w:r>
      <w:r w:rsidR="00F26BD5">
        <w:t xml:space="preserve"> operators</w:t>
      </w:r>
      <w:r w:rsidR="00FB27F7">
        <w:t xml:space="preserve"> </w:t>
      </w:r>
      <w:r w:rsidR="00E56C04">
        <w:t xml:space="preserve">are </w:t>
      </w:r>
      <w:r w:rsidR="007F688F">
        <w:t>often in rural</w:t>
      </w:r>
      <w:r w:rsidR="00F26BD5">
        <w:t>, inland</w:t>
      </w:r>
      <w:r w:rsidR="005712F8">
        <w:t xml:space="preserve"> </w:t>
      </w:r>
      <w:r w:rsidR="007F688F">
        <w:t>locations</w:t>
      </w:r>
      <w:r w:rsidR="00BE4A18">
        <w:t xml:space="preserve"> meaning access to </w:t>
      </w:r>
      <w:r w:rsidR="00F26BD5">
        <w:t>carbon</w:t>
      </w:r>
      <w:r w:rsidR="00A57E5C">
        <w:t xml:space="preserve"> storage, particularly geological or long-term storage, can be difficult and therefore </w:t>
      </w:r>
      <w:r w:rsidR="00831D79">
        <w:t xml:space="preserve">very expensive. </w:t>
      </w:r>
      <w:r w:rsidR="00EE2FE2" w:rsidRPr="00EE2FE2">
        <w:t>Unless there is a direct pipeline connection to the Track 1 and 2 clusters,</w:t>
      </w:r>
      <w:r w:rsidR="00934C13">
        <w:t xml:space="preserve"> or significant support is provided for Non</w:t>
      </w:r>
      <w:r w:rsidR="00515261">
        <w:t>-</w:t>
      </w:r>
      <w:r w:rsidR="00934C13">
        <w:t>Pipeline Transport</w:t>
      </w:r>
      <w:r w:rsidR="00515261">
        <w:t>,</w:t>
      </w:r>
      <w:r w:rsidR="00EE2FE2" w:rsidRPr="00EE2FE2">
        <w:t xml:space="preserve"> the ability to join those storage options is not possible. </w:t>
      </w:r>
      <w:r w:rsidR="00552587">
        <w:t xml:space="preserve">While most newer plants are being considered with the option of </w:t>
      </w:r>
      <w:r w:rsidR="00552587">
        <w:lastRenderedPageBreak/>
        <w:t xml:space="preserve">carbon capture, </w:t>
      </w:r>
      <w:r w:rsidR="008E5F8F" w:rsidRPr="008E5F8F">
        <w:t>not all are in the same position as Future Biogas with their Carbon Harvest project</w:t>
      </w:r>
      <w:r w:rsidR="008E5F8F">
        <w:rPr>
          <w:rStyle w:val="FootnoteReference"/>
        </w:rPr>
        <w:footnoteReference w:id="6"/>
      </w:r>
      <w:r w:rsidR="008E5F8F" w:rsidRPr="008E5F8F">
        <w:t xml:space="preserve">  to capture, liquify and transport the CO2 to geological storage. Therefore, consideration </w:t>
      </w:r>
      <w:r w:rsidR="004F5C71">
        <w:t xml:space="preserve">should also be given to </w:t>
      </w:r>
      <w:r w:rsidR="003B549D">
        <w:t>how sit</w:t>
      </w:r>
      <w:r w:rsidR="00ED2736">
        <w:t>es can use carbon</w:t>
      </w:r>
      <w:r w:rsidR="00CF78C7">
        <w:t xml:space="preserve">, especially in cases where it will displace </w:t>
      </w:r>
      <w:r w:rsidR="00480ADE">
        <w:t>fossil-based</w:t>
      </w:r>
      <w:r w:rsidR="00CF78C7">
        <w:t xml:space="preserve"> forms</w:t>
      </w:r>
      <w:r w:rsidR="00ED04E3">
        <w:t xml:space="preserve"> and deliver </w:t>
      </w:r>
      <w:r w:rsidR="008E5F8F" w:rsidRPr="008E5F8F">
        <w:t xml:space="preserve">significant GHG savings. The capture and use of CO2 is </w:t>
      </w:r>
      <w:r w:rsidR="00803AAB">
        <w:t>preferable</w:t>
      </w:r>
      <w:r w:rsidR="008E5F8F" w:rsidRPr="008E5F8F">
        <w:t xml:space="preserve"> to the option of venting.</w:t>
      </w:r>
      <w:r w:rsidR="00443168">
        <w:t xml:space="preserve"> </w:t>
      </w:r>
      <w:r w:rsidR="00A33A08">
        <w:t xml:space="preserve">Unless </w:t>
      </w:r>
      <w:r w:rsidR="001C2B0D">
        <w:t xml:space="preserve">a </w:t>
      </w:r>
      <w:r w:rsidR="00A55476">
        <w:t>cooperative</w:t>
      </w:r>
      <w:r w:rsidR="00317343">
        <w:t xml:space="preserve"> collection and transport (</w:t>
      </w:r>
      <w:r w:rsidR="00AA29B0">
        <w:t xml:space="preserve">like a transfer station or hub) can be created, then sites will continue to look </w:t>
      </w:r>
      <w:r w:rsidR="00E82199">
        <w:t>further afield – as is the case for Future Biogas – for storage options</w:t>
      </w:r>
      <w:r w:rsidR="00F06B21">
        <w:t xml:space="preserve">, while smaller sites may be unable to make the necessary </w:t>
      </w:r>
      <w:r w:rsidR="00C421FE">
        <w:t xml:space="preserve">storage </w:t>
      </w:r>
      <w:r w:rsidR="00F06B21">
        <w:t>investments</w:t>
      </w:r>
      <w:r w:rsidR="00521856">
        <w:t xml:space="preserve">, risking </w:t>
      </w:r>
      <w:r w:rsidR="004E5B9B">
        <w:t>the loss of</w:t>
      </w:r>
      <w:r w:rsidR="000F4822">
        <w:t xml:space="preserve"> </w:t>
      </w:r>
      <w:r w:rsidR="00BD0BDA">
        <w:t>critical GHG savings</w:t>
      </w:r>
      <w:r w:rsidR="004E5B9B">
        <w:t xml:space="preserve">. </w:t>
      </w:r>
    </w:p>
    <w:p w14:paraId="68AB975E" w14:textId="77777777" w:rsidR="00594A5D" w:rsidRDefault="00594A5D" w:rsidP="00A33D3F">
      <w:pPr>
        <w:rPr>
          <w:b/>
          <w:bCs/>
          <w:i/>
          <w:iCs/>
        </w:rPr>
      </w:pPr>
    </w:p>
    <w:p w14:paraId="62A6B94A" w14:textId="34DBA091" w:rsidR="00A33D3F" w:rsidRPr="00A33D3F" w:rsidRDefault="00A33D3F" w:rsidP="00A33D3F">
      <w:pPr>
        <w:rPr>
          <w:b/>
          <w:bCs/>
          <w:i/>
          <w:iCs/>
        </w:rPr>
      </w:pPr>
      <w:r w:rsidRPr="00A33D3F">
        <w:rPr>
          <w:b/>
          <w:bCs/>
          <w:i/>
          <w:iCs/>
        </w:rPr>
        <w:t xml:space="preserve">Rewarding energy conversion and scale efficiencies </w:t>
      </w:r>
    </w:p>
    <w:p w14:paraId="1775A313" w14:textId="3DAC9785" w:rsidR="00A33D3F" w:rsidRPr="00A33D3F" w:rsidRDefault="52B3E5E8" w:rsidP="00A33D3F">
      <w:r>
        <w:t>Direct production of heat from biomass has the highest conversion efficiency</w:t>
      </w:r>
      <w:r w:rsidR="725B7082">
        <w:t>,</w:t>
      </w:r>
      <w:r>
        <w:t xml:space="preserve"> approaching 90%. Improved efficiencies, in energy conversion, scale should therefore be promoted in bioenergy policy, to ultimately provide the best economic and GHG returns.</w:t>
      </w:r>
      <w:r w:rsidR="00F40387" w:rsidDel="00F40387">
        <w:t xml:space="preserve"> </w:t>
      </w:r>
      <w:r w:rsidR="00824B0E">
        <w:t xml:space="preserve">However, it’s important for government to recognise that scale </w:t>
      </w:r>
      <w:r w:rsidR="001E107F">
        <w:t>efficiencies</w:t>
      </w:r>
      <w:r w:rsidR="00FF7C56">
        <w:t xml:space="preserve"> are likely to benefit larger plants, </w:t>
      </w:r>
      <w:r w:rsidR="009A66B2">
        <w:t xml:space="preserve">and </w:t>
      </w:r>
      <w:r w:rsidR="00EB22C2">
        <w:t xml:space="preserve">therefore </w:t>
      </w:r>
      <w:r w:rsidR="009A66B2">
        <w:t xml:space="preserve">where possible, should be designed in a way </w:t>
      </w:r>
      <w:r w:rsidR="00D71284">
        <w:t xml:space="preserve">to ensure </w:t>
      </w:r>
      <w:r w:rsidR="007B6018">
        <w:t xml:space="preserve">the sustainable benefits of smaller plants, like </w:t>
      </w:r>
      <w:r w:rsidR="002B61D9">
        <w:t xml:space="preserve">digestate management and use of local feedstock, are </w:t>
      </w:r>
      <w:r w:rsidR="001E107F">
        <w:t>not disadvantaged.</w:t>
      </w:r>
      <w:r w:rsidR="00556520">
        <w:t xml:space="preserve"> </w:t>
      </w:r>
    </w:p>
    <w:p w14:paraId="479836D0" w14:textId="77777777" w:rsidR="00594A5D" w:rsidRDefault="00594A5D" w:rsidP="00A33D3F">
      <w:pPr>
        <w:rPr>
          <w:b/>
          <w:bCs/>
          <w:i/>
          <w:iCs/>
        </w:rPr>
      </w:pPr>
    </w:p>
    <w:p w14:paraId="788610F8" w14:textId="357BAF3E" w:rsidR="00A33D3F" w:rsidRPr="00A33D3F" w:rsidRDefault="00A33D3F" w:rsidP="00A33D3F">
      <w:pPr>
        <w:rPr>
          <w:b/>
          <w:bCs/>
          <w:i/>
          <w:iCs/>
        </w:rPr>
      </w:pPr>
      <w:r w:rsidRPr="00A33D3F">
        <w:rPr>
          <w:b/>
          <w:bCs/>
          <w:i/>
          <w:iCs/>
        </w:rPr>
        <w:t>Rewarding further environmental benefits</w:t>
      </w:r>
    </w:p>
    <w:p w14:paraId="792A2CBB" w14:textId="17411B6A" w:rsidR="00A33D3F" w:rsidRPr="00A33D3F" w:rsidRDefault="00A33D3F" w:rsidP="00A33D3F">
      <w:r w:rsidRPr="00A33D3F">
        <w:t xml:space="preserve">Bioenergy policy </w:t>
      </w:r>
      <w:r w:rsidR="003D5970">
        <w:t>should be</w:t>
      </w:r>
      <w:r w:rsidRPr="00A33D3F">
        <w:t xml:space="preserve"> designed in conjunction with environmental land management policies so that further environmental benefits beyond carbon abatement are also rewarded and encouraged. </w:t>
      </w:r>
      <w:r w:rsidR="00341EAB">
        <w:t>For example, g</w:t>
      </w:r>
      <w:r w:rsidRPr="00A33D3F">
        <w:t xml:space="preserve">rowth of domestic biomass feedstocks, when done right, can </w:t>
      </w:r>
      <w:r w:rsidR="008F66E3">
        <w:t>improve</w:t>
      </w:r>
      <w:r w:rsidRPr="00A33D3F">
        <w:t xml:space="preserve"> biodiversity, </w:t>
      </w:r>
      <w:r w:rsidR="008F66E3">
        <w:t xml:space="preserve">encourage </w:t>
      </w:r>
      <w:r w:rsidRPr="00A33D3F">
        <w:t xml:space="preserve">sustainable agricultural practices, carbon sequestration in soils, as well as flooding and wildfire management. </w:t>
      </w:r>
      <w:bookmarkStart w:id="0" w:name="_Hlk74575702"/>
      <w:r w:rsidRPr="00A33D3F">
        <w:t xml:space="preserve">Such policies </w:t>
      </w:r>
      <w:r w:rsidR="00DF4250">
        <w:t xml:space="preserve">would also help </w:t>
      </w:r>
      <w:r w:rsidRPr="00A33D3F">
        <w:t>deliver the 40% increase in hedgerow length as recommended by the C</w:t>
      </w:r>
      <w:r w:rsidR="007519B0">
        <w:t>limate Change Committee (CCC)</w:t>
      </w:r>
      <w:r w:rsidRPr="00A33D3F">
        <w:t>.</w:t>
      </w:r>
      <w:r w:rsidRPr="00A33D3F">
        <w:rPr>
          <w:vertAlign w:val="superscript"/>
        </w:rPr>
        <w:footnoteReference w:id="7"/>
      </w:r>
      <w:bookmarkEnd w:id="0"/>
      <w:r w:rsidR="007D45EB">
        <w:t xml:space="preserve"> </w:t>
      </w:r>
      <w:r w:rsidRPr="00A33D3F">
        <w:t xml:space="preserve">These benefits should be rewarded through land management policies, building them into </w:t>
      </w:r>
      <w:r w:rsidR="00237AA1">
        <w:t xml:space="preserve">Scotland’s </w:t>
      </w:r>
      <w:r w:rsidR="00DE3AD4" w:rsidRPr="00DE3AD4">
        <w:t>Agri-Environment Climate Scheme</w:t>
      </w:r>
      <w:r w:rsidR="00341EAB">
        <w:t xml:space="preserve">, which </w:t>
      </w:r>
      <w:r w:rsidR="005D40A8">
        <w:t>would also support the land regulations set out by the Scottish Environment Protection A</w:t>
      </w:r>
      <w:r w:rsidR="0045144E">
        <w:t xml:space="preserve">gency (SEPA). </w:t>
      </w:r>
      <w:r w:rsidR="00950DB7">
        <w:t>Given this</w:t>
      </w:r>
      <w:r w:rsidR="004F30A7">
        <w:t>,</w:t>
      </w:r>
      <w:r w:rsidR="00950DB7">
        <w:t xml:space="preserve"> we </w:t>
      </w:r>
      <w:r w:rsidR="004F30A7">
        <w:t>call for</w:t>
      </w:r>
      <w:r w:rsidR="00950DB7">
        <w:t xml:space="preserve"> the Scottish </w:t>
      </w:r>
      <w:r w:rsidR="004F30A7">
        <w:t>Government</w:t>
      </w:r>
      <w:r w:rsidR="00950DB7">
        <w:t xml:space="preserve"> to ensure that this Bioenergy Policy Statement is developed in </w:t>
      </w:r>
      <w:r w:rsidR="004F30A7">
        <w:t xml:space="preserve">conjunction with </w:t>
      </w:r>
      <w:r w:rsidR="00950DB7">
        <w:t xml:space="preserve">the </w:t>
      </w:r>
      <w:r w:rsidR="00D90A33">
        <w:t>Agriculture and Rural Communities</w:t>
      </w:r>
      <w:r w:rsidR="004F30A7">
        <w:t xml:space="preserve"> (Scotland)</w:t>
      </w:r>
      <w:r w:rsidR="00D90A33">
        <w:t xml:space="preserve"> Bill. </w:t>
      </w:r>
      <w:r w:rsidR="004F30A7">
        <w:t xml:space="preserve">Ensuring they </w:t>
      </w:r>
      <w:r w:rsidR="10FB1956">
        <w:t>complement</w:t>
      </w:r>
      <w:r w:rsidR="004F30A7">
        <w:t xml:space="preserve"> one another. </w:t>
      </w:r>
    </w:p>
    <w:p w14:paraId="5FE2275C" w14:textId="77777777" w:rsidR="00F954FD" w:rsidRDefault="00F954FD" w:rsidP="00A33D3F">
      <w:pPr>
        <w:rPr>
          <w:b/>
          <w:bCs/>
          <w:i/>
          <w:iCs/>
        </w:rPr>
      </w:pPr>
    </w:p>
    <w:p w14:paraId="3440C158" w14:textId="215C46CF" w:rsidR="000D417A" w:rsidRPr="0087305E" w:rsidRDefault="000D417A" w:rsidP="000D417A">
      <w:pPr>
        <w:pStyle w:val="ListParagraph"/>
        <w:numPr>
          <w:ilvl w:val="0"/>
          <w:numId w:val="44"/>
        </w:numPr>
        <w:rPr>
          <w:b/>
          <w:bCs/>
        </w:rPr>
      </w:pPr>
      <w:r w:rsidRPr="0087305E">
        <w:rPr>
          <w:b/>
          <w:bCs/>
        </w:rPr>
        <w:t>Do you agree with the priority uses of bioenergy, as set out in this document?</w:t>
      </w:r>
    </w:p>
    <w:p w14:paraId="17BE0380" w14:textId="77777777" w:rsidR="00B371A6" w:rsidRDefault="00B371A6" w:rsidP="00B371A6"/>
    <w:p w14:paraId="0AEF3BBB" w14:textId="09BFAB31" w:rsidR="00C00A62" w:rsidRDefault="009E72D3" w:rsidP="00B371A6">
      <w:r>
        <w:t xml:space="preserve">Yes, the REA agrees with the priority uses identified in the </w:t>
      </w:r>
      <w:r w:rsidR="007B5E56">
        <w:t>policy statement,</w:t>
      </w:r>
      <w:r w:rsidR="00E023C7">
        <w:t xml:space="preserve"> and</w:t>
      </w:r>
      <w:r w:rsidR="00C00A62">
        <w:t xml:space="preserve"> </w:t>
      </w:r>
      <w:r w:rsidR="00653A7A">
        <w:t>we are pleased to see short, medium, and long-term</w:t>
      </w:r>
      <w:r w:rsidR="00870C0C">
        <w:t xml:space="preserve"> considerations</w:t>
      </w:r>
      <w:r w:rsidR="001C296D">
        <w:t xml:space="preserve">, which should </w:t>
      </w:r>
      <w:r w:rsidR="00902B6A">
        <w:t>in turn</w:t>
      </w:r>
      <w:r w:rsidR="001C296D">
        <w:t xml:space="preserve"> drive</w:t>
      </w:r>
      <w:r w:rsidR="00902B6A">
        <w:t xml:space="preserve"> policy goals</w:t>
      </w:r>
      <w:r w:rsidR="00870C0C">
        <w:t>, ensuring</w:t>
      </w:r>
      <w:r w:rsidR="00902B6A">
        <w:t xml:space="preserve"> investor confidence is maintained </w:t>
      </w:r>
      <w:r w:rsidR="00870C0C">
        <w:t>while driving</w:t>
      </w:r>
      <w:r w:rsidR="00902B6A">
        <w:t xml:space="preserve"> innovation in bioenergy technologies. </w:t>
      </w:r>
      <w:r w:rsidR="007B5E56">
        <w:t xml:space="preserve">In the policy statement, the government says, “where possible, we support early adoption of Carbon Capture Utilisation and Storage (CCUS) paired with bioenergy applications.” While the REA supports this </w:t>
      </w:r>
      <w:r w:rsidR="0028229E">
        <w:t>approach, utilisation</w:t>
      </w:r>
      <w:r w:rsidR="00F407C8">
        <w:t xml:space="preserve"> can be varied, so we would encourage government to</w:t>
      </w:r>
      <w:r w:rsidR="00EE5483">
        <w:t xml:space="preserve"> prioritise</w:t>
      </w:r>
      <w:r w:rsidR="00F407C8">
        <w:t xml:space="preserve"> projects </w:t>
      </w:r>
      <w:r w:rsidR="00EE5483">
        <w:t>that can demonstrate</w:t>
      </w:r>
      <w:r w:rsidR="00F407C8">
        <w:t xml:space="preserve"> us</w:t>
      </w:r>
      <w:r w:rsidR="00EE5483">
        <w:t>ing</w:t>
      </w:r>
      <w:r w:rsidR="00F407C8">
        <w:t xml:space="preserve"> and stor</w:t>
      </w:r>
      <w:r w:rsidR="00EE5483">
        <w:t>ing</w:t>
      </w:r>
      <w:r w:rsidR="00F407C8">
        <w:t xml:space="preserve"> carbon over the long-term</w:t>
      </w:r>
      <w:r w:rsidR="00EE5483">
        <w:t xml:space="preserve">. </w:t>
      </w:r>
      <w:r w:rsidR="00855E22">
        <w:t xml:space="preserve">The uses </w:t>
      </w:r>
      <w:r w:rsidR="004B1DE8">
        <w:t>remain</w:t>
      </w:r>
      <w:r w:rsidR="00855E22">
        <w:t xml:space="preserve"> </w:t>
      </w:r>
      <w:proofErr w:type="gramStart"/>
      <w:r w:rsidR="004B1DE8">
        <w:t>fairly high-level</w:t>
      </w:r>
      <w:proofErr w:type="gramEnd"/>
      <w:r w:rsidR="004B1DE8">
        <w:t>,</w:t>
      </w:r>
      <w:r w:rsidR="00855E22">
        <w:t xml:space="preserve"> and government could be more explicit </w:t>
      </w:r>
      <w:r w:rsidR="00FA389F">
        <w:t xml:space="preserve">in its vision. </w:t>
      </w:r>
      <w:r w:rsidR="00281EF3">
        <w:t xml:space="preserve">It is </w:t>
      </w:r>
      <w:r w:rsidR="009D3A23">
        <w:t>critical</w:t>
      </w:r>
      <w:r w:rsidR="00281EF3">
        <w:t xml:space="preserve"> that the Bioenergy Policy </w:t>
      </w:r>
      <w:r w:rsidR="009D3A23">
        <w:t>Statement</w:t>
      </w:r>
      <w:r w:rsidR="00281EF3">
        <w:t xml:space="preserve"> builds on all the existing </w:t>
      </w:r>
      <w:r w:rsidR="009D3A23">
        <w:t>bioenergy sectors</w:t>
      </w:r>
      <w:r w:rsidR="00A2072D">
        <w:t xml:space="preserve"> already established in Scotland. </w:t>
      </w:r>
      <w:r w:rsidR="009D3A23">
        <w:t xml:space="preserve"> </w:t>
      </w:r>
      <w:r w:rsidR="00A2072D">
        <w:t>T</w:t>
      </w:r>
      <w:r w:rsidR="72C41895">
        <w:t>h</w:t>
      </w:r>
      <w:r w:rsidR="00A2072D">
        <w:t>ese sectors should be directly recognised within the Policy Statement including:</w:t>
      </w:r>
    </w:p>
    <w:p w14:paraId="3D633A16" w14:textId="77777777" w:rsidR="00C00A62" w:rsidRDefault="00C00A62" w:rsidP="00B371A6"/>
    <w:p w14:paraId="02688D80" w14:textId="77777777" w:rsidR="00E14FB5" w:rsidRPr="00387EDA" w:rsidRDefault="009E72D3" w:rsidP="00E14FB5">
      <w:pPr>
        <w:rPr>
          <w:i/>
          <w:iCs/>
        </w:rPr>
      </w:pPr>
      <w:r w:rsidRPr="00387EDA">
        <w:rPr>
          <w:b/>
          <w:bCs/>
          <w:i/>
          <w:iCs/>
        </w:rPr>
        <w:t>Biomass power</w:t>
      </w:r>
      <w:r w:rsidR="00E14FB5" w:rsidRPr="00387EDA">
        <w:rPr>
          <w:i/>
          <w:iCs/>
        </w:rPr>
        <w:t xml:space="preserve"> </w:t>
      </w:r>
    </w:p>
    <w:p w14:paraId="1E5E6F57" w14:textId="36C0378B" w:rsidR="0054560A" w:rsidRDefault="00962A88" w:rsidP="00EF356C">
      <w:r>
        <w:t>In the short-medium term, m</w:t>
      </w:r>
      <w:r w:rsidR="00EF356C">
        <w:t xml:space="preserve">aintain generation from existing biomass power plants beyond current support mechanisms to ensure continuing benefits from low carbon electricity generation. </w:t>
      </w:r>
      <w:r w:rsidR="00574EAE">
        <w:t>As w</w:t>
      </w:r>
      <w:r w:rsidR="002203E7">
        <w:t>ell</w:t>
      </w:r>
      <w:r w:rsidR="00574EAE">
        <w:t xml:space="preserve"> as supporting new </w:t>
      </w:r>
      <w:r w:rsidR="008E4D68">
        <w:t xml:space="preserve">biogas CHP plants, </w:t>
      </w:r>
      <w:r w:rsidR="00574EAE">
        <w:t>government should also support the e</w:t>
      </w:r>
      <w:r w:rsidR="00EF356C">
        <w:t xml:space="preserve">xpansion of the use of </w:t>
      </w:r>
      <w:r w:rsidR="00EF356C">
        <w:lastRenderedPageBreak/>
        <w:t>residual biogenic wastes</w:t>
      </w:r>
      <w:r w:rsidR="00C77F93">
        <w:t xml:space="preserve"> (e.g., waste wood)</w:t>
      </w:r>
      <w:r w:rsidR="00EF356C">
        <w:t xml:space="preserve"> including those from municipal and commercial and industrial waste streams (after economic reuse and recycling activities), waste wood and other waste fuels low carbon generation</w:t>
      </w:r>
      <w:r w:rsidR="00C838F2">
        <w:t xml:space="preserve"> such as landfill gas</w:t>
      </w:r>
      <w:r w:rsidR="00EF356C">
        <w:t xml:space="preserve">. </w:t>
      </w:r>
      <w:r w:rsidR="00AD7F61">
        <w:t xml:space="preserve">These </w:t>
      </w:r>
      <w:r w:rsidR="001E00EB">
        <w:t>forms of biomass power</w:t>
      </w:r>
      <w:r w:rsidR="00AD7F61">
        <w:t xml:space="preserve"> make </w:t>
      </w:r>
      <w:r w:rsidR="001E00EB">
        <w:t>are well established in Scotland</w:t>
      </w:r>
      <w:r w:rsidR="00BC2753">
        <w:t xml:space="preserve"> providing both low carbo</w:t>
      </w:r>
      <w:r w:rsidR="068E1BC5">
        <w:t>n</w:t>
      </w:r>
      <w:r w:rsidR="00BC2753">
        <w:t xml:space="preserve"> power and ess</w:t>
      </w:r>
      <w:r w:rsidR="00981C5C">
        <w:t xml:space="preserve">ential waste management capacity. </w:t>
      </w:r>
      <w:r w:rsidR="00621244">
        <w:t>Urgent</w:t>
      </w:r>
      <w:r w:rsidR="00981C5C">
        <w:t xml:space="preserve"> c</w:t>
      </w:r>
      <w:r w:rsidR="00243B4E">
        <w:t>larity on their future</w:t>
      </w:r>
      <w:r w:rsidR="00981C5C">
        <w:t xml:space="preserve"> is required</w:t>
      </w:r>
      <w:r w:rsidR="00935E7F">
        <w:t xml:space="preserve">, especially as they come to the end of existing contract arrangements under the Renewable Obligation. </w:t>
      </w:r>
    </w:p>
    <w:p w14:paraId="30DABC42" w14:textId="24747A1E" w:rsidR="009E72D3" w:rsidRPr="009E72D3" w:rsidRDefault="009E72D3" w:rsidP="00B371A6">
      <w:pPr>
        <w:rPr>
          <w:b/>
          <w:bCs/>
        </w:rPr>
      </w:pPr>
    </w:p>
    <w:p w14:paraId="0659F6A6" w14:textId="0C974F91" w:rsidR="007F049E" w:rsidRPr="009E72D3" w:rsidRDefault="009E72D3" w:rsidP="34789A93">
      <w:r w:rsidRPr="00387EDA">
        <w:rPr>
          <w:b/>
          <w:bCs/>
          <w:i/>
          <w:iCs/>
        </w:rPr>
        <w:t>Biomass heat</w:t>
      </w:r>
    </w:p>
    <w:p w14:paraId="349B4C69" w14:textId="04BDC766" w:rsidR="00446C7A" w:rsidRDefault="00994A2D" w:rsidP="00A113F5">
      <w:r>
        <w:t>We are pleased to see that</w:t>
      </w:r>
      <w:r w:rsidR="009A0722">
        <w:t xml:space="preserve"> that the Scottish Government recognise </w:t>
      </w:r>
      <w:r w:rsidR="00653FC1">
        <w:t>a</w:t>
      </w:r>
      <w:r w:rsidR="009A0722">
        <w:t xml:space="preserve"> role for bioenergy in heating</w:t>
      </w:r>
      <w:r w:rsidR="002A0BEA">
        <w:t>.</w:t>
      </w:r>
      <w:r w:rsidR="009A0722">
        <w:t xml:space="preserve"> </w:t>
      </w:r>
      <w:r w:rsidR="007A1320">
        <w:t xml:space="preserve">Bioenergy can particularly have a role to play where electrification may not be the most suitable solution, such as rural and island communities with poor grid connections, certain non-domestic buildings requiring high heat loads, and complex-to-decarbonise homes. </w:t>
      </w:r>
      <w:r w:rsidR="00FE5C8F">
        <w:t xml:space="preserve">However, </w:t>
      </w:r>
      <w:r w:rsidR="00797C19">
        <w:t>we note that in the long-term the government may look to limit this use</w:t>
      </w:r>
      <w:r w:rsidR="006D7060">
        <w:t xml:space="preserve"> and we would disagree with this.</w:t>
      </w:r>
      <w:r w:rsidR="00FE5C8F">
        <w:t xml:space="preserve"> </w:t>
      </w:r>
      <w:r w:rsidR="00CB4160">
        <w:t>Many complex-to-decarbonise homes, of which</w:t>
      </w:r>
      <w:r w:rsidR="00FA161C">
        <w:t xml:space="preserve"> </w:t>
      </w:r>
      <w:r w:rsidR="009A0722">
        <w:t xml:space="preserve">512,230 </w:t>
      </w:r>
      <w:r w:rsidR="00CB4160">
        <w:t xml:space="preserve">are </w:t>
      </w:r>
      <w:r w:rsidR="009A0722">
        <w:t>off-gas-grid in Scotland (around 2/3 in rural areas and 1/3 in Highlands and Islands)</w:t>
      </w:r>
      <w:r w:rsidR="003E279F">
        <w:rPr>
          <w:rStyle w:val="FootnoteReference"/>
        </w:rPr>
        <w:footnoteReference w:id="8"/>
      </w:r>
      <w:r w:rsidR="00947C5E">
        <w:t xml:space="preserve">, </w:t>
      </w:r>
      <w:r w:rsidR="00CB4160">
        <w:t xml:space="preserve">will still not be ready to install a heat pump </w:t>
      </w:r>
      <w:r w:rsidR="00A208F3">
        <w:t>after 2035</w:t>
      </w:r>
      <w:r w:rsidR="00221717">
        <w:t>. If</w:t>
      </w:r>
      <w:r w:rsidR="00DC754E">
        <w:t xml:space="preserve"> the government </w:t>
      </w:r>
      <w:r w:rsidR="00221717">
        <w:t>were to</w:t>
      </w:r>
      <w:r w:rsidR="00DC754E">
        <w:t xml:space="preserve"> limit its use too narrowly</w:t>
      </w:r>
      <w:r w:rsidR="00221717">
        <w:t xml:space="preserve"> it</w:t>
      </w:r>
      <w:r w:rsidR="007545C0">
        <w:t xml:space="preserve"> would leave many consumers without</w:t>
      </w:r>
      <w:r w:rsidR="00221717">
        <w:t xml:space="preserve"> adequate, financially feasible options to decarbonise.</w:t>
      </w:r>
      <w:r w:rsidR="00974FDB">
        <w:t xml:space="preserve"> </w:t>
      </w:r>
      <w:r w:rsidR="00ED0EDE">
        <w:t>It should also recognise that decarbonising rural areas is very different to urban areas.</w:t>
      </w:r>
      <w:r w:rsidR="007545C0">
        <w:t xml:space="preserve"> </w:t>
      </w:r>
      <w:r w:rsidR="004D2D5A" w:rsidRPr="004D2D5A">
        <w:t>It is essential that current consultations considering building standards and retrofit applications, recognise an ongoing role for biomass heating in heat decarbonisation.</w:t>
      </w:r>
    </w:p>
    <w:p w14:paraId="59C658D9" w14:textId="77777777" w:rsidR="00446C7A" w:rsidRDefault="00446C7A" w:rsidP="00A113F5"/>
    <w:p w14:paraId="3EED0692" w14:textId="44CF24DF" w:rsidR="00F11C2A" w:rsidRDefault="00D31FC3" w:rsidP="00A113F5">
      <w:r>
        <w:t>Allowing bioenergy and hybrid-heat-pumps with bioenergy options would help give choice of heat supply for consumers, particularly those in rural and island communities, and off-gas-grid areas – who may be concerned about both the lack of connection to the electrical grid, and the robustness of the grid system.</w:t>
      </w:r>
      <w:r w:rsidR="007545C0">
        <w:t xml:space="preserve"> </w:t>
      </w:r>
      <w:r w:rsidR="003B698A">
        <w:t>Furthermore, b</w:t>
      </w:r>
      <w:r w:rsidR="00B93F1D">
        <w:t>ioenergy can play a key role in the just transition in Scotland and ensure rural communities aren’t left behind. Biomass is also an important tool in addressing fuel poverty – which is particularly high in remote rural areas (where 29% of households are in fuel poverty) and was highest for those using electricity as their primary fuel</w:t>
      </w:r>
      <w:r w:rsidR="00B93F1D">
        <w:rPr>
          <w:rStyle w:val="FootnoteReference"/>
        </w:rPr>
        <w:footnoteReference w:id="9"/>
      </w:r>
      <w:r w:rsidR="003B698A">
        <w:t>.</w:t>
      </w:r>
    </w:p>
    <w:p w14:paraId="0EBB7C2D" w14:textId="77777777" w:rsidR="00F26A22" w:rsidRDefault="00F26A22" w:rsidP="00F26A22"/>
    <w:p w14:paraId="49B93786" w14:textId="51C4414F" w:rsidR="00D21841" w:rsidRDefault="00B25D5D" w:rsidP="00A113F5">
      <w:r>
        <w:t xml:space="preserve">Furthermore, </w:t>
      </w:r>
      <w:r w:rsidR="00A07D88">
        <w:t>it</w:t>
      </w:r>
      <w:r w:rsidR="00D21841">
        <w:t xml:space="preserve"> would be counterproductive to allow bioenergy </w:t>
      </w:r>
      <w:r w:rsidR="00A07D88">
        <w:t xml:space="preserve">to be used in individual buildings or </w:t>
      </w:r>
      <w:r w:rsidR="00D21841">
        <w:t xml:space="preserve">in heat networks </w:t>
      </w:r>
      <w:r w:rsidR="00A07D88">
        <w:t>in the short-term</w:t>
      </w:r>
      <w:r w:rsidR="00D21841">
        <w:t xml:space="preserve"> but </w:t>
      </w:r>
      <w:r w:rsidR="0000169F">
        <w:t xml:space="preserve">then </w:t>
      </w:r>
      <w:r w:rsidR="00D21841">
        <w:t xml:space="preserve">make </w:t>
      </w:r>
      <w:r w:rsidR="00E73F73">
        <w:t>changes post-2035</w:t>
      </w:r>
      <w:r w:rsidR="00B9741B">
        <w:t>. This is particularly true in heat networks</w:t>
      </w:r>
      <w:r w:rsidR="00D21841">
        <w:t xml:space="preserve"> as you’ll have already invested in the infrastructure and pipework. Failure to do so would create a waste of public money, when an appropriately low carbon heating source is already in place. Furthermore, a heat network operating at 80 degrees wouldn’t be the same as a heat network running off 50-60 degrees from a heat pump, and it would be a waste of resources to have to switch this back over again</w:t>
      </w:r>
      <w:r w:rsidR="0000078C">
        <w:t>.</w:t>
      </w:r>
    </w:p>
    <w:p w14:paraId="7F96DB47" w14:textId="77777777" w:rsidR="00D31FC3" w:rsidRPr="000A306F" w:rsidRDefault="00D31FC3" w:rsidP="00A113F5"/>
    <w:p w14:paraId="00F19FBD" w14:textId="77777777" w:rsidR="00B36F85" w:rsidRDefault="00B36F85" w:rsidP="00B36F85">
      <w:pPr>
        <w:pStyle w:val="ListParagraph"/>
        <w:ind w:left="0"/>
      </w:pPr>
      <w:r>
        <w:t xml:space="preserve">Those who have proactively chosen to install bioenergy systems already, or install systems in the short term should be allowed to continue using these systems in the long term, for the following reasons: </w:t>
      </w:r>
    </w:p>
    <w:p w14:paraId="5089D3C6" w14:textId="77777777" w:rsidR="00B36F85" w:rsidRDefault="00B36F85" w:rsidP="00B36F85">
      <w:pPr>
        <w:pStyle w:val="ListParagraph"/>
        <w:ind w:left="0"/>
      </w:pPr>
    </w:p>
    <w:p w14:paraId="528E4306" w14:textId="77777777" w:rsidR="00B36F85" w:rsidRDefault="00B36F85" w:rsidP="00B36F85">
      <w:pPr>
        <w:pStyle w:val="ListParagraph"/>
        <w:numPr>
          <w:ilvl w:val="0"/>
          <w:numId w:val="46"/>
        </w:numPr>
      </w:pPr>
      <w:r>
        <w:t xml:space="preserve">These properties are already contributing to the Scottish Government’s renewable heat </w:t>
      </w:r>
      <w:proofErr w:type="gramStart"/>
      <w:r>
        <w:t>target;</w:t>
      </w:r>
      <w:proofErr w:type="gramEnd"/>
      <w:r>
        <w:t xml:space="preserve"> </w:t>
      </w:r>
    </w:p>
    <w:p w14:paraId="36AE184B" w14:textId="77777777" w:rsidR="00B36F85" w:rsidRDefault="00B36F85" w:rsidP="00B36F85">
      <w:pPr>
        <w:pStyle w:val="ListParagraph"/>
        <w:numPr>
          <w:ilvl w:val="0"/>
          <w:numId w:val="46"/>
        </w:numPr>
      </w:pPr>
      <w:r>
        <w:t xml:space="preserve">Many of these properties will be in receipt of the Renewable Heat Incentive, and we do not believe it would be fair or reasonable for the term of the RHI to be cut short; and  </w:t>
      </w:r>
    </w:p>
    <w:p w14:paraId="4FE6CA4A" w14:textId="77777777" w:rsidR="00B36F85" w:rsidRDefault="00B36F85" w:rsidP="00B36F85">
      <w:pPr>
        <w:pStyle w:val="ListParagraph"/>
        <w:numPr>
          <w:ilvl w:val="0"/>
          <w:numId w:val="46"/>
        </w:numPr>
      </w:pPr>
      <w:r>
        <w:t xml:space="preserve">The reasons that led to the owners of these properties installing biomass rather than other forms of no/low carbon heating may continue to present barriers to the deployment of a heat pump. </w:t>
      </w:r>
    </w:p>
    <w:p w14:paraId="5901F354" w14:textId="77777777" w:rsidR="00B36F85" w:rsidRPr="000A306F" w:rsidRDefault="00B36F85" w:rsidP="00A113F5"/>
    <w:p w14:paraId="6F39A0AA" w14:textId="11C3DCEB" w:rsidR="00621244" w:rsidRDefault="00621244" w:rsidP="00621244">
      <w:r>
        <w:t xml:space="preserve">In the </w:t>
      </w:r>
      <w:r w:rsidR="004D2D5A">
        <w:t xml:space="preserve">medium to </w:t>
      </w:r>
      <w:r>
        <w:t xml:space="preserve">long-term, acknowledge the use </w:t>
      </w:r>
      <w:r w:rsidR="004D2D5A">
        <w:t xml:space="preserve">of renewable liquid fuels (such as </w:t>
      </w:r>
      <w:proofErr w:type="spellStart"/>
      <w:r w:rsidR="004D2D5A">
        <w:t>BioLPG</w:t>
      </w:r>
      <w:proofErr w:type="spellEnd"/>
      <w:r w:rsidR="004D2D5A">
        <w:t xml:space="preserve"> or </w:t>
      </w:r>
      <w:proofErr w:type="spellStart"/>
      <w:r w:rsidR="0023205F">
        <w:t>rDME</w:t>
      </w:r>
      <w:proofErr w:type="spellEnd"/>
      <w:r w:rsidR="0023205F">
        <w:t>) in</w:t>
      </w:r>
      <w:r>
        <w:t xml:space="preserve"> buildings and industry as a drop-in fuel using existing heating systems, especially in hard to treat off gas grid homes. Similarly, government should encourage the conversion of solid biomass or waste gasification for expansion of biomethane supply for gas grid injection or hydrogen production. When coupled with CCS technology this can deliver negative GHG emissions (BECCS). </w:t>
      </w:r>
    </w:p>
    <w:p w14:paraId="10D57A32" w14:textId="77777777" w:rsidR="00621244" w:rsidRDefault="00621244" w:rsidP="00621244"/>
    <w:p w14:paraId="68BD7AF2" w14:textId="77777777" w:rsidR="00621244" w:rsidRPr="00EB1343" w:rsidRDefault="00621244" w:rsidP="00621244">
      <w:r>
        <w:t xml:space="preserve">In the longer-term, the production of biohydrogen from steam methane reforming of biomethane could also be considered. However, government need to include a clear definition of biomethane beyond 2035, particularly regarding the assurance of a gas grid or perceived future beyond 2035.   </w:t>
      </w:r>
    </w:p>
    <w:p w14:paraId="1BFCE101" w14:textId="77777777" w:rsidR="00621244" w:rsidRDefault="00621244" w:rsidP="34789A93">
      <w:pPr>
        <w:rPr>
          <w:b/>
          <w:bCs/>
          <w:i/>
          <w:iCs/>
        </w:rPr>
      </w:pPr>
    </w:p>
    <w:p w14:paraId="63E0EBCC" w14:textId="1F2F91FD" w:rsidR="009E72D3" w:rsidRPr="00387EDA" w:rsidRDefault="009E72D3" w:rsidP="00B371A6">
      <w:pPr>
        <w:rPr>
          <w:b/>
          <w:bCs/>
          <w:i/>
          <w:iCs/>
        </w:rPr>
      </w:pPr>
      <w:r w:rsidRPr="00387EDA">
        <w:rPr>
          <w:b/>
          <w:bCs/>
          <w:i/>
          <w:iCs/>
        </w:rPr>
        <w:t xml:space="preserve">Transport </w:t>
      </w:r>
    </w:p>
    <w:p w14:paraId="5116ED2E" w14:textId="47F6F1CC" w:rsidR="001206F5" w:rsidRPr="0078648F" w:rsidRDefault="00AA0563" w:rsidP="001206F5">
      <w:r w:rsidRPr="00AA0563">
        <w:t>We agree that the focus in the short-medium term should be on the e</w:t>
      </w:r>
      <w:r w:rsidR="001206F5" w:rsidRPr="00AA0563">
        <w:t>xpansion</w:t>
      </w:r>
      <w:r w:rsidR="001206F5" w:rsidRPr="0078648F">
        <w:t xml:space="preserve"> of bioethanol and biodiesel use by ramping up the blending levels.</w:t>
      </w:r>
      <w:r>
        <w:t xml:space="preserve"> </w:t>
      </w:r>
      <w:r w:rsidR="00F251AD">
        <w:t>Government should look at the use of</w:t>
      </w:r>
      <w:r w:rsidR="001206F5" w:rsidRPr="0078648F">
        <w:t xml:space="preserve"> Biomethane as replacement of diesel, notably for logistics and HGV sectors using existing gas infrastructure. </w:t>
      </w:r>
      <w:r w:rsidR="00C93828" w:rsidRPr="0078648F">
        <w:t xml:space="preserve">It can also be used to fuel non-road mobile machinery including agricultural and forestry tractors.  </w:t>
      </w:r>
      <w:r w:rsidR="00C93828">
        <w:t>They should also support the use of higher blends of liquid renewable fuels, where this is the preferred option, using rebates on fuel duty to drive uptake. T</w:t>
      </w:r>
      <w:r w:rsidR="00C93828" w:rsidRPr="0078648F">
        <w:t xml:space="preserve">here are possibilities of co-production benefits with biofuels used in heating, such as </w:t>
      </w:r>
      <w:proofErr w:type="spellStart"/>
      <w:r w:rsidR="00C93828" w:rsidRPr="0078648F">
        <w:t>BioLPG</w:t>
      </w:r>
      <w:proofErr w:type="spellEnd"/>
      <w:r w:rsidR="00C93828">
        <w:t xml:space="preserve">. </w:t>
      </w:r>
    </w:p>
    <w:p w14:paraId="653A52EC" w14:textId="77777777" w:rsidR="00FF140A" w:rsidRPr="0078648F" w:rsidRDefault="00FF140A" w:rsidP="001206F5"/>
    <w:p w14:paraId="11EF4302" w14:textId="6C4070C5" w:rsidR="006B1BBE" w:rsidRPr="0078648F" w:rsidRDefault="0061677A" w:rsidP="00FF140A">
      <w:r>
        <w:t>We agree that in the longer-term, the focus is likely to be on the r</w:t>
      </w:r>
      <w:r w:rsidR="00FF140A" w:rsidRPr="0078648F">
        <w:t xml:space="preserve">eplacement of aviation and shipping fuels with sustainable biofuels as fuels become available to provide carbon reductions. </w:t>
      </w:r>
      <w:r w:rsidR="006E551D">
        <w:t xml:space="preserve">All being well, the UK government will introduce a mandate for Sustainable Aviation Fuel from January 2025. Other areas of the sector are falling behind, however. Policy </w:t>
      </w:r>
      <w:proofErr w:type="gramStart"/>
      <w:r w:rsidR="006E551D">
        <w:t>work</w:t>
      </w:r>
      <w:proofErr w:type="gramEnd"/>
      <w:r w:rsidR="006E551D">
        <w:t xml:space="preserve"> on an equivalent incentive for maritime is at a very early stage and we do not expect an update on the renewable transport fuels in road transport until after the general election. Since policy for road transport has only been set to 2032, there needs to be a far greater sense of urgency if policy is to be put in place in time for fuel producers, infrastructure providers and fuel consumers to respond.</w:t>
      </w:r>
    </w:p>
    <w:p w14:paraId="69851BA5" w14:textId="77777777" w:rsidR="001206F5" w:rsidRPr="000D417A" w:rsidRDefault="001206F5" w:rsidP="000D417A">
      <w:pPr>
        <w:pStyle w:val="ListParagraph"/>
        <w:rPr>
          <w:b/>
          <w:bCs/>
        </w:rPr>
      </w:pPr>
    </w:p>
    <w:p w14:paraId="33461400" w14:textId="748B6784" w:rsidR="000D417A" w:rsidRPr="000D417A" w:rsidRDefault="000D417A" w:rsidP="000D417A">
      <w:pPr>
        <w:pStyle w:val="ListParagraph"/>
        <w:numPr>
          <w:ilvl w:val="0"/>
          <w:numId w:val="44"/>
        </w:numPr>
        <w:rPr>
          <w:b/>
          <w:bCs/>
        </w:rPr>
      </w:pPr>
      <w:r w:rsidRPr="000D417A">
        <w:rPr>
          <w:b/>
          <w:bCs/>
        </w:rPr>
        <w:t>Do you agree with the intention to phase out unabated combustion of biomass?</w:t>
      </w:r>
    </w:p>
    <w:p w14:paraId="4BE3E8AF" w14:textId="77777777" w:rsidR="00B371A6" w:rsidRDefault="00B371A6" w:rsidP="00B371A6"/>
    <w:p w14:paraId="7A5238E0" w14:textId="68EE3B03" w:rsidR="00345257" w:rsidRDefault="0081668F" w:rsidP="0B15CE1D">
      <w:pPr>
        <w:pStyle w:val="ListParagraph"/>
        <w:ind w:left="0"/>
      </w:pPr>
      <w:r>
        <w:t>While w</w:t>
      </w:r>
      <w:r w:rsidR="3057D610">
        <w:t>e agree that in the long-term</w:t>
      </w:r>
      <w:r w:rsidR="00AC7867">
        <w:t xml:space="preserve"> that</w:t>
      </w:r>
      <w:r w:rsidR="00265A2C">
        <w:t xml:space="preserve"> </w:t>
      </w:r>
      <w:proofErr w:type="gramStart"/>
      <w:r w:rsidR="00F635A1">
        <w:t>the majority of</w:t>
      </w:r>
      <w:proofErr w:type="gramEnd"/>
      <w:r w:rsidR="00F635A1">
        <w:t xml:space="preserve"> </w:t>
      </w:r>
      <w:r w:rsidR="3057D610">
        <w:t>unabated combustion of biomass should be phased out</w:t>
      </w:r>
      <w:r>
        <w:t xml:space="preserve">, it </w:t>
      </w:r>
      <w:r w:rsidR="00057FDE">
        <w:t xml:space="preserve">is important to recognise the </w:t>
      </w:r>
      <w:r w:rsidR="00100551">
        <w:t>important role biomass currently plays.</w:t>
      </w:r>
      <w:r w:rsidR="007D1C52">
        <w:t xml:space="preserve"> Any </w:t>
      </w:r>
      <w:r w:rsidR="00265A2C">
        <w:t>long-term</w:t>
      </w:r>
      <w:r w:rsidR="007D1C52">
        <w:t xml:space="preserve"> ambition </w:t>
      </w:r>
      <w:r w:rsidR="00597617">
        <w:t xml:space="preserve">must build off and support the current </w:t>
      </w:r>
      <w:r w:rsidR="00981A94">
        <w:t xml:space="preserve">sector, recognising the critical role bioenergy already plays in helping to </w:t>
      </w:r>
      <w:r w:rsidR="00345257">
        <w:t>decarbonise</w:t>
      </w:r>
      <w:r w:rsidR="00981A94">
        <w:t xml:space="preserve"> the power, </w:t>
      </w:r>
      <w:r w:rsidR="00345257">
        <w:t>heat</w:t>
      </w:r>
      <w:r w:rsidR="00265A2C">
        <w:t>,</w:t>
      </w:r>
      <w:r w:rsidR="00345257">
        <w:t xml:space="preserve"> and transport sectors.</w:t>
      </w:r>
      <w:r w:rsidR="00801702">
        <w:t xml:space="preserve"> This means that the Policy Statement must provide a realistic pathway by which abatement technologies can be installed, </w:t>
      </w:r>
      <w:r w:rsidR="00C51E0F">
        <w:t>without</w:t>
      </w:r>
      <w:r w:rsidR="00801702">
        <w:t xml:space="preserve"> </w:t>
      </w:r>
      <w:r w:rsidR="001418D3">
        <w:t>putting the ex</w:t>
      </w:r>
      <w:r w:rsidR="00C51E0F">
        <w:t xml:space="preserve">isting sectors at risk of </w:t>
      </w:r>
      <w:r w:rsidR="00C22A84">
        <w:t xml:space="preserve">contraction. </w:t>
      </w:r>
    </w:p>
    <w:p w14:paraId="13DBED74" w14:textId="77777777" w:rsidR="00345257" w:rsidRDefault="00345257" w:rsidP="0B15CE1D">
      <w:pPr>
        <w:pStyle w:val="ListParagraph"/>
        <w:ind w:left="0"/>
      </w:pPr>
    </w:p>
    <w:p w14:paraId="7F8F35F5" w14:textId="3E3CBE91" w:rsidR="00FE6B1D" w:rsidRDefault="00100551" w:rsidP="0B15CE1D">
      <w:pPr>
        <w:pStyle w:val="ListParagraph"/>
        <w:ind w:left="0"/>
      </w:pPr>
      <w:r>
        <w:t>A</w:t>
      </w:r>
      <w:r w:rsidR="00E13D41">
        <w:t>s the second la</w:t>
      </w:r>
      <w:r w:rsidR="00057FDE" w:rsidRPr="00057FDE">
        <w:t>rgest producer of low carbon energy</w:t>
      </w:r>
      <w:r w:rsidR="00C6767F">
        <w:t xml:space="preserve">, </w:t>
      </w:r>
      <w:r w:rsidR="00D039E7">
        <w:t xml:space="preserve">biomass power </w:t>
      </w:r>
      <w:r w:rsidR="00057FDE" w:rsidRPr="00057FDE">
        <w:t>accounts for about 13% of UK electricity generation</w:t>
      </w:r>
      <w:r>
        <w:t>,</w:t>
      </w:r>
      <w:r w:rsidR="00C1668C">
        <w:rPr>
          <w:rStyle w:val="FootnoteReference"/>
        </w:rPr>
        <w:footnoteReference w:id="10"/>
      </w:r>
      <w:r w:rsidR="00057FDE" w:rsidRPr="00057FDE">
        <w:t xml:space="preserve"> </w:t>
      </w:r>
      <w:r w:rsidRPr="00057FDE">
        <w:t>provid</w:t>
      </w:r>
      <w:r>
        <w:t>ing</w:t>
      </w:r>
      <w:r w:rsidR="00057FDE" w:rsidRPr="00057FDE">
        <w:t xml:space="preserve"> firm baseload power, complementing other forms of renewable energy, like wind and solar, and ensuring the UK has a continuous, secure energy supply with a mix of technologies in the system.</w:t>
      </w:r>
      <w:r w:rsidR="00C53C06">
        <w:t xml:space="preserve"> </w:t>
      </w:r>
      <w:r w:rsidR="00C515A6">
        <w:t>The scale of it</w:t>
      </w:r>
      <w:r w:rsidR="001A6E23">
        <w:t>s contribution to the UK grid</w:t>
      </w:r>
      <w:r w:rsidR="004D423C">
        <w:t xml:space="preserve">, </w:t>
      </w:r>
      <w:r w:rsidR="00C004E8">
        <w:t xml:space="preserve">and </w:t>
      </w:r>
      <w:r w:rsidR="004D423C">
        <w:t xml:space="preserve">ability to offer </w:t>
      </w:r>
      <w:r w:rsidR="00964B77">
        <w:t xml:space="preserve">firm, baseload power </w:t>
      </w:r>
      <w:r w:rsidR="00453BAB">
        <w:t>makes it a unique low carbon technology,</w:t>
      </w:r>
      <w:r w:rsidR="001C6632">
        <w:t xml:space="preserve"> critical in helping the UK transition away from fossil fuels. </w:t>
      </w:r>
    </w:p>
    <w:p w14:paraId="4B66C969" w14:textId="77777777" w:rsidR="00FE6B1D" w:rsidRDefault="00FE6B1D" w:rsidP="0B15CE1D">
      <w:pPr>
        <w:pStyle w:val="ListParagraph"/>
        <w:ind w:left="0"/>
      </w:pPr>
    </w:p>
    <w:p w14:paraId="0805DA64" w14:textId="13E19831" w:rsidR="00FE6B1D" w:rsidRPr="00E0797F" w:rsidRDefault="00FE6B1D" w:rsidP="0B15CE1D">
      <w:pPr>
        <w:pStyle w:val="ListParagraph"/>
        <w:ind w:left="0"/>
      </w:pPr>
      <w:r w:rsidRPr="00E0797F">
        <w:t xml:space="preserve">We </w:t>
      </w:r>
      <w:r w:rsidR="00397E1F" w:rsidRPr="00E0797F">
        <w:t xml:space="preserve">also </w:t>
      </w:r>
      <w:r w:rsidRPr="00E0797F">
        <w:t xml:space="preserve">need BECCS </w:t>
      </w:r>
      <w:r w:rsidR="00C07ECE">
        <w:t>for the delivery of</w:t>
      </w:r>
      <w:r w:rsidRPr="00E0797F">
        <w:t xml:space="preserve"> </w:t>
      </w:r>
      <w:r w:rsidR="00397E1F" w:rsidRPr="00E0797F">
        <w:t>critical</w:t>
      </w:r>
      <w:r w:rsidRPr="00E0797F">
        <w:t xml:space="preserve"> negative emissions. With the right government support, BECCS can be deployed commercially and cost effectively, helping us get to Net Zero more quickly. It’s why the </w:t>
      </w:r>
      <w:bookmarkStart w:id="1" w:name="_Hlk164939333"/>
      <w:r w:rsidRPr="00E0797F">
        <w:t>C</w:t>
      </w:r>
      <w:r w:rsidR="00226364" w:rsidRPr="00E0797F">
        <w:t>CC</w:t>
      </w:r>
      <w:r w:rsidRPr="00E0797F">
        <w:rPr>
          <w:rStyle w:val="FootnoteReference"/>
        </w:rPr>
        <w:footnoteReference w:id="11"/>
      </w:r>
      <w:r w:rsidRPr="00E0797F">
        <w:t>, International Energy Agency</w:t>
      </w:r>
      <w:r w:rsidRPr="00E0797F">
        <w:rPr>
          <w:rStyle w:val="FootnoteReference"/>
        </w:rPr>
        <w:footnoteReference w:id="12"/>
      </w:r>
      <w:r w:rsidRPr="00E0797F">
        <w:t>, and UN Intergovernmental Panel on Climate Change</w:t>
      </w:r>
      <w:r w:rsidRPr="00E0797F">
        <w:rPr>
          <w:rStyle w:val="FootnoteReference"/>
        </w:rPr>
        <w:footnoteReference w:id="13"/>
      </w:r>
      <w:r w:rsidRPr="00E0797F">
        <w:t xml:space="preserve"> </w:t>
      </w:r>
      <w:bookmarkEnd w:id="1"/>
      <w:r w:rsidRPr="00E0797F">
        <w:t>all recognise the role it can play in removing carbon from the atmosphere and meeting our Net Zero targets.</w:t>
      </w:r>
    </w:p>
    <w:p w14:paraId="3E3EB4D6" w14:textId="77777777" w:rsidR="00A500E2" w:rsidRPr="008E2C91" w:rsidRDefault="00A500E2" w:rsidP="00A500E2"/>
    <w:p w14:paraId="2A97FA58" w14:textId="57CA8A74" w:rsidR="001A642A" w:rsidRDefault="00C76A90" w:rsidP="005A542C">
      <w:r w:rsidRPr="008E2C91">
        <w:t>The UK Biomass Strategy also recognised the role that biomass could play in hard to decarbonise sectors that may not be able to universally deploy BECCS</w:t>
      </w:r>
      <w:r w:rsidR="00A500E2" w:rsidRPr="008E2C91">
        <w:t xml:space="preserve">, like aviation, maritime, and off gas grid properties. As such, while </w:t>
      </w:r>
      <w:r w:rsidR="005A542C" w:rsidRPr="008E2C91">
        <w:t xml:space="preserve">the use of unabated biomass is likely to fall in the medium term, until </w:t>
      </w:r>
      <w:r w:rsidR="3057D610" w:rsidRPr="008E2C91">
        <w:t xml:space="preserve">fossil fuels have been entirely phased out and zero carbon energy systems have reached maturity, </w:t>
      </w:r>
      <w:r w:rsidR="0060382A" w:rsidRPr="008E2C91">
        <w:t xml:space="preserve">maintaining </w:t>
      </w:r>
      <w:r w:rsidR="00545306">
        <w:t xml:space="preserve">a proportion of </w:t>
      </w:r>
      <w:r w:rsidR="3057D610" w:rsidRPr="008E2C91">
        <w:t xml:space="preserve">unabated biomass power generation </w:t>
      </w:r>
      <w:r w:rsidR="00CC3824" w:rsidRPr="008E2C91">
        <w:t>will be important</w:t>
      </w:r>
      <w:r w:rsidR="00890EE4" w:rsidRPr="008E2C91">
        <w:t xml:space="preserve"> in helping transition and decarbonise and </w:t>
      </w:r>
      <w:r w:rsidR="00CC3824" w:rsidRPr="008E2C91">
        <w:t>safeguarding</w:t>
      </w:r>
      <w:r w:rsidR="00890EE4" w:rsidRPr="008E2C91">
        <w:t xml:space="preserve"> UK energy security</w:t>
      </w:r>
      <w:r w:rsidR="3057D610" w:rsidRPr="008E2C91">
        <w:t>.</w:t>
      </w:r>
      <w:r w:rsidR="006B1BBE" w:rsidRPr="00DD68B4">
        <w:rPr>
          <w:i/>
          <w:iCs/>
        </w:rPr>
        <w:br/>
      </w:r>
    </w:p>
    <w:p w14:paraId="4C310477" w14:textId="684859E6" w:rsidR="006B1BBE" w:rsidRPr="000D417A" w:rsidRDefault="003F2C75" w:rsidP="005A542C">
      <w:r>
        <w:t xml:space="preserve">The government should not look to stop unabated biomass use for heat in rural areas. </w:t>
      </w:r>
      <w:r w:rsidR="006F431A">
        <w:t>As mentioned in Question 2 i</w:t>
      </w:r>
      <w:r w:rsidR="001852E8">
        <w:t xml:space="preserve">t is important to recognise that rural properties are not the same as urban properties, and that a different approach is required when decarbonising these properties. </w:t>
      </w:r>
      <w:r w:rsidR="00C10933">
        <w:t xml:space="preserve">Furthermore, biomass </w:t>
      </w:r>
      <w:r w:rsidR="008F55CD">
        <w:t xml:space="preserve">has strong links to the forestry sector and generates many local circular economy benefits in rural areas. </w:t>
      </w:r>
      <w:r w:rsidR="000C0E4B">
        <w:t>Indeed</w:t>
      </w:r>
      <w:r w:rsidR="00F4530C">
        <w:t>, one biomass boiler installation can support 10-15 supply chain jobs</w:t>
      </w:r>
      <w:r w:rsidR="00E461C9">
        <w:rPr>
          <w:rStyle w:val="FootnoteReference"/>
        </w:rPr>
        <w:footnoteReference w:id="14"/>
      </w:r>
      <w:r w:rsidR="00F4530C">
        <w:t>, which is particularly valuable in rural areas – Dumfries and Galloway and Highland have the highest concentrations of biomass installations and it is a valuable employer in these areas</w:t>
      </w:r>
      <w:r w:rsidR="00602ACD">
        <w:t>. Furthermore,</w:t>
      </w:r>
      <w:r w:rsidR="000C0E4B">
        <w:t xml:space="preserve"> </w:t>
      </w:r>
      <w:r w:rsidR="00F4530C">
        <w:t xml:space="preserve">research proves </w:t>
      </w:r>
      <w:r w:rsidR="000C0E4B">
        <w:t xml:space="preserve">that </w:t>
      </w:r>
      <w:r w:rsidR="00DA1749">
        <w:t>managed forestry, lead</w:t>
      </w:r>
      <w:r w:rsidR="00F4530C">
        <w:t xml:space="preserve">s </w:t>
      </w:r>
      <w:r w:rsidR="00DA1749">
        <w:t>to healthier and more productive woodlands that sequester more carbon than unmanaged woodlands</w:t>
      </w:r>
      <w:r w:rsidR="001073FF">
        <w:rPr>
          <w:rStyle w:val="FootnoteReference"/>
        </w:rPr>
        <w:footnoteReference w:id="15"/>
      </w:r>
      <w:r w:rsidR="003B16B6">
        <w:t>.</w:t>
      </w:r>
      <w:r w:rsidR="00602ACD">
        <w:t xml:space="preserve"> Therefore, l</w:t>
      </w:r>
      <w:r w:rsidR="008F55CD">
        <w:t>imiting its use</w:t>
      </w:r>
      <w:r w:rsidR="00E16D6F">
        <w:t xml:space="preserve"> in the long-term</w:t>
      </w:r>
      <w:r w:rsidR="00257CC8">
        <w:t xml:space="preserve"> </w:t>
      </w:r>
      <w:r w:rsidR="000D6F13">
        <w:t>would impact job security</w:t>
      </w:r>
      <w:r w:rsidR="00D034DB">
        <w:t xml:space="preserve">, </w:t>
      </w:r>
      <w:r w:rsidR="000C0E4B">
        <w:t>the health of woodlands</w:t>
      </w:r>
      <w:r w:rsidR="00D034DB">
        <w:t xml:space="preserve"> and reduce </w:t>
      </w:r>
      <w:r w:rsidR="002B2C39">
        <w:t>financially feasible options to decarbonise</w:t>
      </w:r>
      <w:r w:rsidR="00D034DB">
        <w:t xml:space="preserve"> for rural</w:t>
      </w:r>
      <w:r w:rsidR="002B2C39">
        <w:t xml:space="preserve"> consumers which could have negative repercussions on fuel poverty, as mentioned in question 2</w:t>
      </w:r>
      <w:r w:rsidR="000C0E4B">
        <w:t xml:space="preserve">. </w:t>
      </w:r>
    </w:p>
    <w:p w14:paraId="141BF67C" w14:textId="1BF3A56D" w:rsidR="006B1BBE" w:rsidRPr="000D417A" w:rsidRDefault="006B1BBE" w:rsidP="0B15CE1D">
      <w:pPr>
        <w:pStyle w:val="ListParagraph"/>
        <w:ind w:left="0"/>
        <w:rPr>
          <w:b/>
          <w:bCs/>
        </w:rPr>
      </w:pPr>
    </w:p>
    <w:p w14:paraId="227A2555" w14:textId="7B4DD7FC" w:rsidR="000D417A" w:rsidRPr="00D62B52" w:rsidRDefault="000D417A" w:rsidP="000D417A">
      <w:pPr>
        <w:pStyle w:val="ListParagraph"/>
        <w:numPr>
          <w:ilvl w:val="0"/>
          <w:numId w:val="44"/>
        </w:numPr>
        <w:rPr>
          <w:b/>
          <w:bCs/>
        </w:rPr>
      </w:pPr>
      <w:r w:rsidRPr="00D62B52">
        <w:rPr>
          <w:b/>
          <w:bCs/>
        </w:rPr>
        <w:t>Should there be a minimum threshold at which carbon capture should be considered for bioenergy technologies and should refurbishment of plants also be included?</w:t>
      </w:r>
    </w:p>
    <w:p w14:paraId="59F4AB40" w14:textId="77777777" w:rsidR="000D417A" w:rsidRDefault="000D417A" w:rsidP="000D417A">
      <w:pPr>
        <w:pStyle w:val="ListParagraph"/>
        <w:rPr>
          <w:b/>
          <w:bCs/>
        </w:rPr>
      </w:pPr>
    </w:p>
    <w:p w14:paraId="02B84F4B" w14:textId="3701A562" w:rsidR="00F229F6" w:rsidRDefault="00734924" w:rsidP="00F229F6">
      <w:r>
        <w:t>A</w:t>
      </w:r>
      <w:r w:rsidR="00D6730D">
        <w:t xml:space="preserve">ppropriate </w:t>
      </w:r>
      <w:r w:rsidR="00696B16">
        <w:t xml:space="preserve">requirements should be implemented via </w:t>
      </w:r>
      <w:r w:rsidR="00D77A5A">
        <w:t xml:space="preserve">decarbonisation readiness </w:t>
      </w:r>
      <w:r w:rsidR="00B6329D">
        <w:t>requirements</w:t>
      </w:r>
      <w:r w:rsidR="00D77A5A">
        <w:t xml:space="preserve"> </w:t>
      </w:r>
      <w:r w:rsidR="00696B16">
        <w:t xml:space="preserve">applied through </w:t>
      </w:r>
      <w:r w:rsidR="00F229F6">
        <w:t xml:space="preserve">environmental </w:t>
      </w:r>
      <w:r w:rsidR="00D77A5A">
        <w:t>permitting</w:t>
      </w:r>
      <w:r w:rsidR="00696B16">
        <w:t>, as is currently being proposed for England</w:t>
      </w:r>
      <w:r w:rsidR="00F229F6">
        <w:t>.</w:t>
      </w:r>
      <w:r w:rsidR="00C87169" w:rsidRPr="00C87169">
        <w:rPr>
          <w:rStyle w:val="FootnoteReference"/>
        </w:rPr>
        <w:t xml:space="preserve"> </w:t>
      </w:r>
      <w:r w:rsidR="00C87169">
        <w:rPr>
          <w:rStyle w:val="FootnoteReference"/>
        </w:rPr>
        <w:footnoteReference w:id="16"/>
      </w:r>
      <w:r w:rsidR="00FD293D">
        <w:t xml:space="preserve"> This allows for appropriate CCS requirements to be in place </w:t>
      </w:r>
      <w:r w:rsidR="00967279">
        <w:t>where they</w:t>
      </w:r>
      <w:r w:rsidR="00C87169">
        <w:t xml:space="preserve"> are possible and provide a reasonable timetable for their delivery.</w:t>
      </w:r>
      <w:r>
        <w:t xml:space="preserve"> This </w:t>
      </w:r>
      <w:r w:rsidR="000A327D">
        <w:t xml:space="preserve">can then include minimum thresholds appropriate to the biomass </w:t>
      </w:r>
      <w:r w:rsidR="00640FB1">
        <w:t>use</w:t>
      </w:r>
      <w:r w:rsidR="00E43E06">
        <w:t xml:space="preserve"> in question</w:t>
      </w:r>
      <w:r w:rsidR="00015480">
        <w:t>, where it is physically possible to do it</w:t>
      </w:r>
      <w:r w:rsidR="00E43E06">
        <w:t xml:space="preserve">. </w:t>
      </w:r>
      <w:r w:rsidR="0055353F">
        <w:t xml:space="preserve">Similarly, the Scottish government should seek to align policies around minimal thresholds or plant refurbishment with </w:t>
      </w:r>
      <w:r w:rsidR="00B67F1A">
        <w:t xml:space="preserve">those in place in the rest of the UK. </w:t>
      </w:r>
      <w:r w:rsidR="00D43626">
        <w:t xml:space="preserve">Any requirements should apply to both new and </w:t>
      </w:r>
      <w:r w:rsidR="005726C1">
        <w:t>‘</w:t>
      </w:r>
      <w:r w:rsidR="00ED2A37">
        <w:t>substantially refurbishe</w:t>
      </w:r>
      <w:r w:rsidR="005726C1">
        <w:t xml:space="preserve">d’ </w:t>
      </w:r>
      <w:r w:rsidR="00ED2A37">
        <w:t>plants.</w:t>
      </w:r>
      <w:r w:rsidR="001C2176" w:rsidRPr="001C2176">
        <w:t xml:space="preserve"> </w:t>
      </w:r>
      <w:r w:rsidR="005726C1">
        <w:t>We refer to</w:t>
      </w:r>
      <w:r w:rsidR="00470EE9">
        <w:t xml:space="preserve"> the</w:t>
      </w:r>
      <w:r w:rsidR="005726C1">
        <w:t xml:space="preserve"> definition in the Energy Efficiency Directive, and accepted by SEPA, for ‘s</w:t>
      </w:r>
      <w:r w:rsidR="001C2176" w:rsidRPr="001C2176">
        <w:t>ubstantially refurbished</w:t>
      </w:r>
      <w:r w:rsidR="005726C1">
        <w:t>’ plants.</w:t>
      </w:r>
      <w:r w:rsidR="005726C1">
        <w:rPr>
          <w:rStyle w:val="FootnoteReference"/>
        </w:rPr>
        <w:footnoteReference w:id="17"/>
      </w:r>
      <w:r w:rsidR="00064936">
        <w:t xml:space="preserve"> Appropriate allowances should also be made for use of bioenergy systems in complex to decarbonise situations, where it remains the best solution for </w:t>
      </w:r>
      <w:r w:rsidR="00DD1C16">
        <w:t xml:space="preserve">decarbonisation, </w:t>
      </w:r>
      <w:r w:rsidR="00064936">
        <w:t xml:space="preserve">even if carbon capture is not a realistic option. </w:t>
      </w:r>
    </w:p>
    <w:p w14:paraId="261C468A" w14:textId="10CE3092" w:rsidR="00F229F6" w:rsidRDefault="00F229F6" w:rsidP="00F229F6">
      <w:r>
        <w:t xml:space="preserve"> </w:t>
      </w:r>
    </w:p>
    <w:p w14:paraId="7A3C6CB3" w14:textId="41844E12" w:rsidR="00F229F6" w:rsidRDefault="00E471F0" w:rsidP="009F6AD3">
      <w:r>
        <w:t>Government should be mindful that</w:t>
      </w:r>
      <w:r w:rsidR="00F229F6">
        <w:t xml:space="preserve"> the </w:t>
      </w:r>
      <w:r w:rsidR="005E6804">
        <w:t xml:space="preserve">lack of a </w:t>
      </w:r>
      <w:r w:rsidR="00F229F6">
        <w:t>current commercial route to market to see CCS retrofitted</w:t>
      </w:r>
      <w:r w:rsidR="005E6804">
        <w:t xml:space="preserve"> may remain a barrier for installing </w:t>
      </w:r>
      <w:r w:rsidR="00C54529">
        <w:t>carbon capture o</w:t>
      </w:r>
      <w:r w:rsidR="005E6804">
        <w:t xml:space="preserve">n certain sites, particularly </w:t>
      </w:r>
      <w:r w:rsidR="00F229F6">
        <w:t>if the cost of retrofit is uncommercial, or the environmental benefit remains low</w:t>
      </w:r>
      <w:r w:rsidR="005E6804">
        <w:t>.</w:t>
      </w:r>
      <w:r w:rsidR="003926B1">
        <w:t xml:space="preserve"> </w:t>
      </w:r>
      <w:r w:rsidR="00C54529">
        <w:t>As such</w:t>
      </w:r>
      <w:r w:rsidR="003926B1">
        <w:t xml:space="preserve">, </w:t>
      </w:r>
      <w:r w:rsidR="009F6AD3">
        <w:t>any</w:t>
      </w:r>
      <w:r w:rsidR="00F229F6">
        <w:t xml:space="preserve"> </w:t>
      </w:r>
      <w:r w:rsidR="009F6AD3" w:rsidRPr="009F6AD3">
        <w:t xml:space="preserve">requirements must be proportional, especially for small to medium scale plants where space requirements may mean that </w:t>
      </w:r>
      <w:r w:rsidR="00C54529">
        <w:t>carbon capture</w:t>
      </w:r>
      <w:r w:rsidR="009F6AD3" w:rsidRPr="009F6AD3">
        <w:t xml:space="preserve"> is not possible.</w:t>
      </w:r>
    </w:p>
    <w:p w14:paraId="4A858B67" w14:textId="77777777" w:rsidR="00387EDA" w:rsidRPr="00387EDA" w:rsidRDefault="00387EDA" w:rsidP="00387EDA">
      <w:pPr>
        <w:rPr>
          <w:b/>
          <w:bCs/>
        </w:rPr>
      </w:pPr>
    </w:p>
    <w:p w14:paraId="42F705D8" w14:textId="6E8A4BA9" w:rsidR="000D417A" w:rsidRPr="00844A02" w:rsidRDefault="000D417A" w:rsidP="000D417A">
      <w:pPr>
        <w:pStyle w:val="ListParagraph"/>
        <w:numPr>
          <w:ilvl w:val="0"/>
          <w:numId w:val="44"/>
        </w:numPr>
        <w:rPr>
          <w:b/>
          <w:bCs/>
        </w:rPr>
      </w:pPr>
      <w:r w:rsidRPr="00844A02">
        <w:rPr>
          <w:b/>
          <w:bCs/>
        </w:rPr>
        <w:t>From what date should any mandate to consider carbon capture technology be implemented for bioenergy plants?</w:t>
      </w:r>
    </w:p>
    <w:p w14:paraId="580AD0D9" w14:textId="77777777" w:rsidR="00B371A6" w:rsidRDefault="00B371A6" w:rsidP="00B371A6"/>
    <w:p w14:paraId="591B387C" w14:textId="030FB13D" w:rsidR="004D3EA8" w:rsidRDefault="00275298" w:rsidP="00B371A6">
      <w:r>
        <w:t>G</w:t>
      </w:r>
      <w:r w:rsidRPr="00275298">
        <w:t>iven need for decarb</w:t>
      </w:r>
      <w:r>
        <w:t>onisation</w:t>
      </w:r>
      <w:r w:rsidRPr="00275298">
        <w:t xml:space="preserve"> and negative emissions, all plants should be looking into this now, but wider policy</w:t>
      </w:r>
      <w:r>
        <w:t xml:space="preserve"> and a </w:t>
      </w:r>
      <w:r w:rsidRPr="00275298">
        <w:t>viable</w:t>
      </w:r>
      <w:r>
        <w:t xml:space="preserve"> commercial CCS market needs to be established, so that plants can realistically look to fit carbon capture technology.</w:t>
      </w:r>
      <w:r w:rsidR="00E16295">
        <w:t xml:space="preserve"> This could be facilitated b</w:t>
      </w:r>
      <w:r w:rsidR="004F79F1">
        <w:t>y</w:t>
      </w:r>
      <w:r w:rsidR="00E16295">
        <w:t xml:space="preserve"> decarbonisation readiness requirements being built into environmental permitting for relevant bioenergy uses. </w:t>
      </w:r>
      <w:r w:rsidR="00EE3ACC">
        <w:t xml:space="preserve"> Ensuring </w:t>
      </w:r>
      <w:r w:rsidR="00141365">
        <w:t xml:space="preserve">bioenergy plants have plans in place and abilities to </w:t>
      </w:r>
      <w:r w:rsidR="00B81352">
        <w:t>decarbonise</w:t>
      </w:r>
      <w:r w:rsidR="00141365">
        <w:t xml:space="preserve"> will </w:t>
      </w:r>
      <w:r w:rsidR="00CC4B61">
        <w:t xml:space="preserve">ensure the sector is </w:t>
      </w:r>
      <w:r w:rsidR="004B23F8">
        <w:t>prepared</w:t>
      </w:r>
      <w:r w:rsidR="00CC4B61">
        <w:t>,</w:t>
      </w:r>
      <w:r w:rsidR="00141365">
        <w:t xml:space="preserve"> </w:t>
      </w:r>
      <w:r w:rsidR="00EA1693">
        <w:t>while support mechanisms for CCS and the negative emission market are establishe</w:t>
      </w:r>
      <w:r w:rsidR="00CC4B61">
        <w:t xml:space="preserve">d. This is likely to be more effective </w:t>
      </w:r>
      <w:r w:rsidR="00670E9B">
        <w:t>than</w:t>
      </w:r>
      <w:r w:rsidR="004F79F1">
        <w:t xml:space="preserve"> </w:t>
      </w:r>
      <w:r w:rsidR="006F367C">
        <w:t xml:space="preserve">setting </w:t>
      </w:r>
      <w:r w:rsidR="00B47E3C">
        <w:t>an arbitrary date which industry</w:t>
      </w:r>
      <w:r w:rsidR="00DB2EEB">
        <w:t xml:space="preserve"> </w:t>
      </w:r>
      <w:r w:rsidR="00B47E3C">
        <w:t xml:space="preserve">would not yet </w:t>
      </w:r>
      <w:r w:rsidR="00464E96">
        <w:t>be able to commit to meeting</w:t>
      </w:r>
      <w:r w:rsidR="00670E9B" w:rsidRPr="00670E9B">
        <w:t xml:space="preserve"> </w:t>
      </w:r>
      <w:r w:rsidR="00670E9B">
        <w:t>due to the nascent nature of the market</w:t>
      </w:r>
      <w:r w:rsidR="00464E96">
        <w:t xml:space="preserve">. </w:t>
      </w:r>
      <w:r>
        <w:t xml:space="preserve"> </w:t>
      </w:r>
    </w:p>
    <w:p w14:paraId="760C6AFD" w14:textId="77777777" w:rsidR="004D3EA8" w:rsidRDefault="004D3EA8" w:rsidP="00B371A6"/>
    <w:p w14:paraId="12381190" w14:textId="37DE7A0D" w:rsidR="00284C69" w:rsidRPr="00B371A6" w:rsidRDefault="00284C69" w:rsidP="00B371A6">
      <w:pPr>
        <w:rPr>
          <w:b/>
          <w:bCs/>
        </w:rPr>
      </w:pPr>
      <w:r>
        <w:t xml:space="preserve">It should be noted that </w:t>
      </w:r>
      <w:r w:rsidR="00152676">
        <w:t>only certain bioenergy technologies can install carbon capture technology</w:t>
      </w:r>
      <w:r w:rsidR="001A166C">
        <w:t>. Smaller installations, such as many</w:t>
      </w:r>
      <w:r w:rsidR="00152676" w:rsidDel="001A166C">
        <w:t xml:space="preserve"> </w:t>
      </w:r>
      <w:r w:rsidR="009A6092">
        <w:t>biomass</w:t>
      </w:r>
      <w:r w:rsidR="00575BA9">
        <w:t xml:space="preserve"> </w:t>
      </w:r>
      <w:r w:rsidR="004E3BD2">
        <w:t>boilers</w:t>
      </w:r>
      <w:r w:rsidR="001A166C">
        <w:t>,</w:t>
      </w:r>
      <w:r w:rsidR="004E3BD2">
        <w:t xml:space="preserve"> </w:t>
      </w:r>
      <w:r w:rsidR="001A166C">
        <w:t>are unlikely to be able to</w:t>
      </w:r>
      <w:r w:rsidR="00B61630">
        <w:t xml:space="preserve"> support carbon capture technology</w:t>
      </w:r>
      <w:r w:rsidR="001A166C">
        <w:t xml:space="preserve"> given their size. However</w:t>
      </w:r>
      <w:r w:rsidR="00B61630">
        <w:t xml:space="preserve">, this should not be </w:t>
      </w:r>
      <w:r w:rsidR="009502EE">
        <w:t xml:space="preserve">used </w:t>
      </w:r>
      <w:proofErr w:type="gramStart"/>
      <w:r w:rsidR="009502EE">
        <w:t>as a means to</w:t>
      </w:r>
      <w:proofErr w:type="gramEnd"/>
      <w:r w:rsidR="009502EE">
        <w:t xml:space="preserve"> </w:t>
      </w:r>
      <w:r w:rsidR="00CB0DC5">
        <w:t>limit deployment of biomass boilers</w:t>
      </w:r>
      <w:r w:rsidR="00341AC2">
        <w:t xml:space="preserve"> which will continue to have a role to play in helping to decarbonise complex to treat </w:t>
      </w:r>
      <w:r w:rsidR="00FD4602">
        <w:t>situations</w:t>
      </w:r>
      <w:r w:rsidR="00760D87">
        <w:t>, such rural off gas grid areas</w:t>
      </w:r>
      <w:r w:rsidR="00CB0DC5">
        <w:t>.</w:t>
      </w:r>
      <w:r w:rsidR="004E3BD2">
        <w:t xml:space="preserve"> </w:t>
      </w:r>
      <w:r w:rsidR="006E1BCD">
        <w:t>Many modern biomass boilers utilise particulate emissions abatement technologies – for instance, electrostatic precipitators which filter out 99% of particles. Furthermore, innovation is happening all the time in the sector to further drive down emissions.</w:t>
      </w:r>
    </w:p>
    <w:p w14:paraId="6C9579B5" w14:textId="77777777" w:rsidR="00B371A6" w:rsidRPr="000D417A" w:rsidRDefault="00B371A6" w:rsidP="000D417A">
      <w:pPr>
        <w:pStyle w:val="ListParagraph"/>
        <w:rPr>
          <w:b/>
          <w:bCs/>
        </w:rPr>
      </w:pPr>
    </w:p>
    <w:p w14:paraId="705919DC" w14:textId="77777777" w:rsidR="00B371A6" w:rsidRDefault="000D417A" w:rsidP="00B371A6">
      <w:pPr>
        <w:pStyle w:val="ListParagraph"/>
        <w:numPr>
          <w:ilvl w:val="0"/>
          <w:numId w:val="44"/>
        </w:numPr>
        <w:rPr>
          <w:b/>
          <w:bCs/>
        </w:rPr>
      </w:pPr>
      <w:r w:rsidRPr="000D417A">
        <w:rPr>
          <w:b/>
          <w:bCs/>
        </w:rPr>
        <w:t>Should decarbonisation options other than fitting carbon capture and storag</w:t>
      </w:r>
      <w:r w:rsidRPr="00B371A6">
        <w:rPr>
          <w:b/>
          <w:bCs/>
        </w:rPr>
        <w:t>e technology be considered suitable as part of decarbonisation requirements for biomass plants, for example use of waste heat as part of a combined heat and power (CHP) plant or heat network?</w:t>
      </w:r>
    </w:p>
    <w:p w14:paraId="216132D2" w14:textId="77777777" w:rsidR="00B371A6" w:rsidRDefault="00B371A6" w:rsidP="00B371A6"/>
    <w:p w14:paraId="288410EE" w14:textId="0B6D15DE" w:rsidR="004D2F5A" w:rsidRDefault="00B371A6" w:rsidP="004D609C">
      <w:pPr>
        <w:spacing w:line="276" w:lineRule="auto"/>
      </w:pPr>
      <w:r>
        <w:t>Yes.</w:t>
      </w:r>
      <w:r w:rsidR="00AB076B">
        <w:t xml:space="preserve"> Scotland </w:t>
      </w:r>
      <w:r w:rsidR="00044747">
        <w:t xml:space="preserve">will need a wide range of technologies to get to net zero, and bioenergy has the potential to play multiple roles, especially in </w:t>
      </w:r>
      <w:r w:rsidR="0078178F">
        <w:t xml:space="preserve">complex to decarbonise areas. </w:t>
      </w:r>
      <w:r w:rsidR="00236419">
        <w:t>Both CHP</w:t>
      </w:r>
      <w:r w:rsidR="00F767ED">
        <w:t xml:space="preserve"> bioenergy sites and connecting waste heat to </w:t>
      </w:r>
      <w:r w:rsidR="004D609C">
        <w:t>heat network</w:t>
      </w:r>
      <w:r w:rsidR="00CA399C">
        <w:t>s</w:t>
      </w:r>
      <w:r w:rsidR="00717861">
        <w:t xml:space="preserve"> </w:t>
      </w:r>
      <w:r w:rsidR="004D609C">
        <w:t xml:space="preserve">will </w:t>
      </w:r>
      <w:r w:rsidR="001F0B76">
        <w:t xml:space="preserve">help deliver </w:t>
      </w:r>
      <w:r w:rsidR="004D609C">
        <w:t xml:space="preserve">future ambitions of heat </w:t>
      </w:r>
      <w:r w:rsidR="00972344">
        <w:t xml:space="preserve">decarbonisation </w:t>
      </w:r>
      <w:r w:rsidR="009537DE">
        <w:t xml:space="preserve">and should be allowed </w:t>
      </w:r>
      <w:r w:rsidR="00717861">
        <w:t>as part of decarbonisation requirements</w:t>
      </w:r>
      <w:r w:rsidR="004D609C">
        <w:t xml:space="preserve">. New applications could be viewed with this in mind and opportunities to link up </w:t>
      </w:r>
      <w:r w:rsidR="00867937">
        <w:t xml:space="preserve">to heat network systems </w:t>
      </w:r>
      <w:r w:rsidR="004D609C">
        <w:t xml:space="preserve">should be investigated. </w:t>
      </w:r>
      <w:r w:rsidR="008B0453">
        <w:t xml:space="preserve">Future flexibility </w:t>
      </w:r>
      <w:r w:rsidR="00867937">
        <w:t xml:space="preserve">should also be considered </w:t>
      </w:r>
      <w:r w:rsidR="00133140">
        <w:t xml:space="preserve">given the role of bioenergy in </w:t>
      </w:r>
      <w:r w:rsidR="004D609C">
        <w:t>production of renewable fuels, SAF and hydrogen</w:t>
      </w:r>
      <w:r w:rsidR="00D04245">
        <w:t xml:space="preserve">, all of which should be considered applicable decarbonisation </w:t>
      </w:r>
      <w:r w:rsidR="004D2F5A">
        <w:t xml:space="preserve">routes. </w:t>
      </w:r>
    </w:p>
    <w:p w14:paraId="61454E78" w14:textId="45D13FF5" w:rsidR="00A55C17" w:rsidRPr="0060644C" w:rsidRDefault="00B371A6" w:rsidP="004D609C">
      <w:pPr>
        <w:spacing w:line="276" w:lineRule="auto"/>
        <w:rPr>
          <w:i/>
          <w:iCs/>
        </w:rPr>
      </w:pPr>
      <w:r w:rsidRPr="0060644C">
        <w:rPr>
          <w:i/>
          <w:iCs/>
        </w:rPr>
        <w:br/>
      </w:r>
      <w:r w:rsidR="00A55C17" w:rsidRPr="0060644C">
        <w:rPr>
          <w:rFonts w:asciiTheme="minorHAnsi" w:eastAsia="Aptos" w:hAnsiTheme="minorHAnsi" w:cstheme="minorBidi"/>
          <w:b/>
          <w:bCs/>
          <w:i/>
          <w:iCs/>
          <w:color w:val="000000" w:themeColor="text1"/>
        </w:rPr>
        <w:t>Biochar</w:t>
      </w:r>
    </w:p>
    <w:p w14:paraId="2050DF73" w14:textId="6D52C07E" w:rsidR="000F53EC" w:rsidRDefault="00133140" w:rsidP="0B15CE1D">
      <w:pPr>
        <w:spacing w:after="160" w:line="276" w:lineRule="auto"/>
        <w:rPr>
          <w:rFonts w:asciiTheme="minorHAnsi" w:eastAsia="Aptos" w:hAnsiTheme="minorHAnsi" w:cstheme="minorHAnsi"/>
          <w:color w:val="000000" w:themeColor="text1"/>
        </w:rPr>
      </w:pPr>
      <w:r>
        <w:rPr>
          <w:rFonts w:asciiTheme="minorHAnsi" w:eastAsia="Aptos" w:hAnsiTheme="minorHAnsi" w:cstheme="minorHAnsi"/>
          <w:color w:val="000000" w:themeColor="text1"/>
        </w:rPr>
        <w:t>Biochar should also be included as an option</w:t>
      </w:r>
      <w:r w:rsidR="007B0E77">
        <w:rPr>
          <w:rFonts w:asciiTheme="minorHAnsi" w:eastAsia="Aptos" w:hAnsiTheme="minorHAnsi" w:cstheme="minorHAnsi"/>
          <w:color w:val="000000" w:themeColor="text1"/>
        </w:rPr>
        <w:t xml:space="preserve">. </w:t>
      </w:r>
      <w:r w:rsidR="41ED397B" w:rsidRPr="00AE4EC9">
        <w:rPr>
          <w:rFonts w:asciiTheme="minorHAnsi" w:eastAsia="Aptos" w:hAnsiTheme="minorHAnsi" w:cstheme="minorHAnsi"/>
          <w:color w:val="000000" w:themeColor="text1"/>
        </w:rPr>
        <w:t>Biomass plants can utilise pyrolysis, gasification, or hydrothermal carboni</w:t>
      </w:r>
      <w:r w:rsidR="00A55C17">
        <w:rPr>
          <w:rFonts w:asciiTheme="minorHAnsi" w:eastAsia="Aptos" w:hAnsiTheme="minorHAnsi" w:cstheme="minorHAnsi"/>
          <w:color w:val="000000" w:themeColor="text1"/>
        </w:rPr>
        <w:t>s</w:t>
      </w:r>
      <w:r w:rsidR="41ED397B" w:rsidRPr="00AE4EC9">
        <w:rPr>
          <w:rFonts w:asciiTheme="minorHAnsi" w:eastAsia="Aptos" w:hAnsiTheme="minorHAnsi" w:cstheme="minorHAnsi"/>
          <w:color w:val="000000" w:themeColor="text1"/>
        </w:rPr>
        <w:t>ation to produce e</w:t>
      </w:r>
      <w:r w:rsidR="00A55C17">
        <w:rPr>
          <w:rFonts w:asciiTheme="minorHAnsi" w:eastAsia="Aptos" w:hAnsiTheme="minorHAnsi" w:cstheme="minorHAnsi"/>
          <w:color w:val="000000" w:themeColor="text1"/>
        </w:rPr>
        <w:t>-</w:t>
      </w:r>
      <w:r w:rsidR="41ED397B" w:rsidRPr="00AE4EC9">
        <w:rPr>
          <w:rFonts w:asciiTheme="minorHAnsi" w:eastAsia="Aptos" w:hAnsiTheme="minorHAnsi" w:cstheme="minorHAnsi"/>
          <w:color w:val="000000" w:themeColor="text1"/>
        </w:rPr>
        <w:t>fuels and biochar, the latter of which sequesters CO</w:t>
      </w:r>
      <w:r w:rsidR="002243CE" w:rsidRPr="002243CE">
        <w:rPr>
          <w:rFonts w:asciiTheme="minorHAnsi" w:eastAsia="Aptos" w:hAnsiTheme="minorHAnsi" w:cstheme="minorHAnsi"/>
          <w:color w:val="000000" w:themeColor="text1"/>
          <w:vertAlign w:val="subscript"/>
        </w:rPr>
        <w:t>2</w:t>
      </w:r>
      <w:r w:rsidR="41ED397B" w:rsidRPr="00AE4EC9">
        <w:rPr>
          <w:rFonts w:asciiTheme="minorHAnsi" w:eastAsia="Aptos" w:hAnsiTheme="minorHAnsi" w:cstheme="minorHAnsi"/>
          <w:color w:val="000000" w:themeColor="text1"/>
        </w:rPr>
        <w:t xml:space="preserve"> in solid form. Biochar has previously been recognised in Scottish Government’s NETS feasibility study </w:t>
      </w:r>
      <w:hyperlink r:id="rId11">
        <w:r w:rsidR="41ED397B" w:rsidRPr="00AE4EC9">
          <w:rPr>
            <w:rStyle w:val="Hyperlink"/>
            <w:rFonts w:asciiTheme="minorHAnsi" w:hAnsiTheme="minorHAnsi" w:cstheme="minorHAnsi"/>
            <w:color w:val="96607D"/>
          </w:rPr>
          <w:t>(link</w:t>
        </w:r>
      </w:hyperlink>
      <w:r w:rsidR="41ED397B" w:rsidRPr="00AE4EC9">
        <w:rPr>
          <w:rFonts w:asciiTheme="minorHAnsi" w:eastAsia="Aptos" w:hAnsiTheme="minorHAnsi" w:cstheme="minorHAnsi"/>
          <w:color w:val="000000" w:themeColor="text1"/>
        </w:rPr>
        <w:t>) as a versatile form of carbon storage that does not require connection to CO</w:t>
      </w:r>
      <w:r w:rsidR="002243CE" w:rsidRPr="002243CE">
        <w:rPr>
          <w:rFonts w:asciiTheme="minorHAnsi" w:eastAsia="Aptos" w:hAnsiTheme="minorHAnsi" w:cstheme="minorHAnsi"/>
          <w:color w:val="000000" w:themeColor="text1"/>
          <w:vertAlign w:val="subscript"/>
        </w:rPr>
        <w:t>2</w:t>
      </w:r>
      <w:r w:rsidR="41ED397B" w:rsidRPr="00AE4EC9">
        <w:rPr>
          <w:rFonts w:asciiTheme="minorHAnsi" w:eastAsia="Aptos" w:hAnsiTheme="minorHAnsi" w:cstheme="minorHAnsi"/>
          <w:color w:val="000000" w:themeColor="text1"/>
        </w:rPr>
        <w:t xml:space="preserve"> transport and storage networks and can also act as a soil conditioner. </w:t>
      </w:r>
    </w:p>
    <w:p w14:paraId="7F63E771" w14:textId="32BE1271" w:rsidR="000D417A" w:rsidRPr="00AE4EC9" w:rsidRDefault="41ED397B" w:rsidP="0B15CE1D">
      <w:pPr>
        <w:spacing w:after="160" w:line="276" w:lineRule="auto"/>
        <w:rPr>
          <w:rFonts w:asciiTheme="minorHAnsi" w:hAnsiTheme="minorHAnsi" w:cstheme="minorHAnsi"/>
          <w:highlight w:val="yellow"/>
        </w:rPr>
      </w:pPr>
      <w:r w:rsidRPr="00AE4EC9">
        <w:rPr>
          <w:rFonts w:asciiTheme="minorHAnsi" w:eastAsia="Aptos" w:hAnsiTheme="minorHAnsi" w:cstheme="minorHAnsi"/>
          <w:color w:val="000000" w:themeColor="text1"/>
        </w:rPr>
        <w:t xml:space="preserve">Given appropriate </w:t>
      </w:r>
      <w:r w:rsidR="000F53EC">
        <w:rPr>
          <w:rFonts w:asciiTheme="minorHAnsi" w:eastAsia="Aptos" w:hAnsiTheme="minorHAnsi" w:cstheme="minorHAnsi"/>
          <w:color w:val="000000" w:themeColor="text1"/>
        </w:rPr>
        <w:t>Monitoring, Report and Verification (</w:t>
      </w:r>
      <w:r w:rsidRPr="00AE4EC9">
        <w:rPr>
          <w:rFonts w:asciiTheme="minorHAnsi" w:eastAsia="Aptos" w:hAnsiTheme="minorHAnsi" w:cstheme="minorHAnsi"/>
          <w:color w:val="000000" w:themeColor="text1"/>
        </w:rPr>
        <w:t>MRV</w:t>
      </w:r>
      <w:r w:rsidR="000F53EC">
        <w:rPr>
          <w:rFonts w:asciiTheme="minorHAnsi" w:eastAsia="Aptos" w:hAnsiTheme="minorHAnsi" w:cstheme="minorHAnsi"/>
          <w:color w:val="000000" w:themeColor="text1"/>
        </w:rPr>
        <w:t>)</w:t>
      </w:r>
      <w:r w:rsidRPr="00AE4EC9">
        <w:rPr>
          <w:rFonts w:asciiTheme="minorHAnsi" w:eastAsia="Aptos" w:hAnsiTheme="minorHAnsi" w:cstheme="minorHAnsi"/>
          <w:color w:val="000000" w:themeColor="text1"/>
        </w:rPr>
        <w:t xml:space="preserve"> to ensure </w:t>
      </w:r>
      <w:r w:rsidR="00480C91">
        <w:rPr>
          <w:rFonts w:asciiTheme="minorHAnsi" w:eastAsia="Aptos" w:hAnsiTheme="minorHAnsi" w:cstheme="minorHAnsi"/>
          <w:color w:val="000000" w:themeColor="text1"/>
        </w:rPr>
        <w:t>carbon stays sequestered</w:t>
      </w:r>
      <w:r w:rsidRPr="00AE4EC9">
        <w:rPr>
          <w:rFonts w:asciiTheme="minorHAnsi" w:eastAsia="Aptos" w:hAnsiTheme="minorHAnsi" w:cstheme="minorHAnsi"/>
          <w:color w:val="000000" w:themeColor="text1"/>
        </w:rPr>
        <w:t>, it</w:t>
      </w:r>
      <w:r w:rsidR="00600852">
        <w:rPr>
          <w:rFonts w:asciiTheme="minorHAnsi" w:eastAsia="Aptos" w:hAnsiTheme="minorHAnsi" w:cstheme="minorHAnsi"/>
          <w:color w:val="000000" w:themeColor="text1"/>
        </w:rPr>
        <w:t xml:space="preserve"> </w:t>
      </w:r>
      <w:r w:rsidRPr="00AE4EC9">
        <w:rPr>
          <w:rFonts w:asciiTheme="minorHAnsi" w:eastAsia="Aptos" w:hAnsiTheme="minorHAnsi" w:cstheme="minorHAnsi"/>
          <w:color w:val="000000" w:themeColor="text1"/>
        </w:rPr>
        <w:t>should be recognised as having substitutability with CCS technologies for biomass plants utilising advanced conversion technologies – especially for smaller scale plants where fitting CCS technology is less feasible.</w:t>
      </w:r>
    </w:p>
    <w:p w14:paraId="5FE41D13" w14:textId="5B7B7D42" w:rsidR="000D417A" w:rsidRPr="000D417A" w:rsidRDefault="000D417A" w:rsidP="000D417A">
      <w:pPr>
        <w:pStyle w:val="ListParagraph"/>
        <w:numPr>
          <w:ilvl w:val="0"/>
          <w:numId w:val="44"/>
        </w:numPr>
        <w:rPr>
          <w:b/>
          <w:bCs/>
        </w:rPr>
      </w:pPr>
      <w:r w:rsidRPr="000D417A">
        <w:rPr>
          <w:b/>
          <w:bCs/>
        </w:rPr>
        <w:t>The Climate Change Committee (CCC) advise that the UK will need 700,000 hectares of perennial energy crops by 2050 to meet their pathway to net zero. How much could Scotland contribute towards this figure and what evidence is available to support your view?</w:t>
      </w:r>
    </w:p>
    <w:p w14:paraId="298EE5C9" w14:textId="77777777" w:rsidR="005C7DD2" w:rsidRDefault="005C7DD2" w:rsidP="00B371A6">
      <w:pPr>
        <w:rPr>
          <w:b/>
          <w:bCs/>
        </w:rPr>
      </w:pPr>
    </w:p>
    <w:p w14:paraId="175594F1" w14:textId="65606F0A" w:rsidR="000D666E" w:rsidRDefault="0060741D" w:rsidP="000D666E">
      <w:r>
        <w:t>The REA largely agree</w:t>
      </w:r>
      <w:r w:rsidR="00DE0F02">
        <w:t>s</w:t>
      </w:r>
      <w:r>
        <w:t xml:space="preserve"> with the </w:t>
      </w:r>
      <w:r w:rsidR="00B5184B">
        <w:t xml:space="preserve">previous </w:t>
      </w:r>
      <w:proofErr w:type="spellStart"/>
      <w:r w:rsidR="00B5184B">
        <w:t>ClimateX</w:t>
      </w:r>
      <w:r w:rsidR="008D7097">
        <w:t>C</w:t>
      </w:r>
      <w:r w:rsidR="00B5184B">
        <w:t>hange</w:t>
      </w:r>
      <w:proofErr w:type="spellEnd"/>
      <w:r w:rsidR="00B5184B">
        <w:t xml:space="preserve"> study </w:t>
      </w:r>
      <w:r w:rsidR="00B61531">
        <w:t>on per</w:t>
      </w:r>
      <w:r w:rsidR="008F1215">
        <w:t>ennial energy crop potential in Scotland</w:t>
      </w:r>
      <w:r w:rsidR="000D666E">
        <w:t>.</w:t>
      </w:r>
      <w:r w:rsidR="008F1215">
        <w:t xml:space="preserve"> </w:t>
      </w:r>
      <w:r w:rsidR="000D666E">
        <w:t>In terms of total area, their geospatial modelling shows a theoretical potential for each crop type in Scotland (based on current data) of:</w:t>
      </w:r>
    </w:p>
    <w:p w14:paraId="493FAA3B" w14:textId="77777777" w:rsidR="000D666E" w:rsidRDefault="000D666E" w:rsidP="000D666E"/>
    <w:p w14:paraId="2A727A9E" w14:textId="7823BC97" w:rsidR="000D666E" w:rsidRDefault="000D666E" w:rsidP="005377ED">
      <w:pPr>
        <w:pStyle w:val="ListParagraph"/>
        <w:numPr>
          <w:ilvl w:val="0"/>
          <w:numId w:val="47"/>
        </w:numPr>
      </w:pPr>
      <w:r>
        <w:t>912,600 ha of suitable land is currently available for planting of SRF,</w:t>
      </w:r>
    </w:p>
    <w:p w14:paraId="04D6C96E" w14:textId="22982639" w:rsidR="000D666E" w:rsidRDefault="000D666E" w:rsidP="005377ED">
      <w:pPr>
        <w:pStyle w:val="ListParagraph"/>
        <w:numPr>
          <w:ilvl w:val="0"/>
          <w:numId w:val="47"/>
        </w:numPr>
      </w:pPr>
      <w:r>
        <w:t>219,100 ha is available for SRC and</w:t>
      </w:r>
    </w:p>
    <w:p w14:paraId="7D2D69A8" w14:textId="79AC9A43" w:rsidR="005C7DD2" w:rsidRDefault="000D666E" w:rsidP="000D666E">
      <w:pPr>
        <w:pStyle w:val="ListParagraph"/>
        <w:numPr>
          <w:ilvl w:val="0"/>
          <w:numId w:val="47"/>
        </w:numPr>
      </w:pPr>
      <w:r>
        <w:t>51,800 ha is available for miscanthus</w:t>
      </w:r>
      <w:r w:rsidR="00D648D6">
        <w:t>.</w:t>
      </w:r>
    </w:p>
    <w:p w14:paraId="7933353E" w14:textId="77777777" w:rsidR="000D666E" w:rsidRDefault="000D666E" w:rsidP="000D666E"/>
    <w:p w14:paraId="0A12684D" w14:textId="4CDDB3F5" w:rsidR="000D666E" w:rsidRDefault="000D666E" w:rsidP="000D666E">
      <w:pPr>
        <w:rPr>
          <w:rStyle w:val="Hyperlink"/>
        </w:rPr>
      </w:pPr>
      <w:r>
        <w:t xml:space="preserve">Full study available here: </w:t>
      </w:r>
      <w:hyperlink r:id="rId12" w:history="1">
        <w:r w:rsidR="00AF5A31" w:rsidRPr="009A1A27">
          <w:rPr>
            <w:rStyle w:val="Hyperlink"/>
          </w:rPr>
          <w:t>https://www.climatexchange.org.uk/projects/perennial-energy-crops-and-their-potential-in-scotland-evidence-review/</w:t>
        </w:r>
      </w:hyperlink>
    </w:p>
    <w:p w14:paraId="4FBF0FF8" w14:textId="77777777" w:rsidR="0036004C" w:rsidRDefault="0036004C" w:rsidP="000D666E">
      <w:pPr>
        <w:rPr>
          <w:rStyle w:val="Hyperlink"/>
        </w:rPr>
      </w:pPr>
    </w:p>
    <w:p w14:paraId="6F479FAD" w14:textId="30A31221" w:rsidR="0036004C" w:rsidRDefault="00CD7894" w:rsidP="0036004C">
      <w:r>
        <w:t>In addition, f</w:t>
      </w:r>
      <w:r w:rsidR="0036004C">
        <w:t xml:space="preserve">igure 1.1 of chapter 2 of the </w:t>
      </w:r>
      <w:r w:rsidR="00F632EF">
        <w:t>d</w:t>
      </w:r>
      <w:r w:rsidR="0036004C">
        <w:t xml:space="preserve">raft policy statement anticipates that perennial energy crops will provide the majority of domestic feedstock, rising from almost zero today </w:t>
      </w:r>
      <w:r w:rsidR="00253D28">
        <w:t xml:space="preserve">to </w:t>
      </w:r>
      <w:r w:rsidR="0036004C">
        <w:t>3.25</w:t>
      </w:r>
      <w:r w:rsidR="001B4324">
        <w:t xml:space="preserve"> T</w:t>
      </w:r>
      <w:r w:rsidR="00253D28">
        <w:t>W</w:t>
      </w:r>
      <w:r w:rsidR="0036004C">
        <w:t>h by 2045. Assuming an average annual equivalent yield of 10</w:t>
      </w:r>
      <w:r w:rsidR="001B4324">
        <w:t xml:space="preserve"> </w:t>
      </w:r>
      <w:r w:rsidR="00C37970">
        <w:t>tonne/</w:t>
      </w:r>
      <w:r w:rsidR="00133028">
        <w:t>h</w:t>
      </w:r>
      <w:r w:rsidR="0036004C">
        <w:t xml:space="preserve">a (in the case of Miscanthus) </w:t>
      </w:r>
      <w:r w:rsidR="00403F91">
        <w:t xml:space="preserve">around </w:t>
      </w:r>
      <w:r w:rsidR="0036004C">
        <w:t>4000</w:t>
      </w:r>
      <w:r w:rsidR="00033BA4">
        <w:t xml:space="preserve"> k</w:t>
      </w:r>
      <w:r w:rsidR="00BE7FED">
        <w:t>W</w:t>
      </w:r>
      <w:r w:rsidR="0036004C">
        <w:t>h/tonne,</w:t>
      </w:r>
      <w:r w:rsidR="00403F91">
        <w:t xml:space="preserve"> or</w:t>
      </w:r>
      <w:r w:rsidR="0036004C">
        <w:t xml:space="preserve"> 81,250</w:t>
      </w:r>
      <w:r w:rsidR="00033BA4">
        <w:t xml:space="preserve"> </w:t>
      </w:r>
      <w:r w:rsidR="0036004C">
        <w:t>to 120,000</w:t>
      </w:r>
      <w:r w:rsidR="006834FF">
        <w:t xml:space="preserve"> </w:t>
      </w:r>
      <w:r w:rsidR="0036004C">
        <w:t xml:space="preserve">ha would be needed, dependant on </w:t>
      </w:r>
      <w:r w:rsidR="00403F91">
        <w:t xml:space="preserve">the </w:t>
      </w:r>
      <w:r w:rsidR="0036004C">
        <w:t>speed of deployment</w:t>
      </w:r>
      <w:r w:rsidR="00403F91">
        <w:t>.</w:t>
      </w:r>
    </w:p>
    <w:p w14:paraId="29C5A3FD" w14:textId="77777777" w:rsidR="0036004C" w:rsidRDefault="0036004C" w:rsidP="0036004C"/>
    <w:p w14:paraId="45BD3EB8" w14:textId="0FA1ADC0" w:rsidR="0036004C" w:rsidRDefault="0036004C" w:rsidP="0036004C">
      <w:r>
        <w:t xml:space="preserve">If </w:t>
      </w:r>
      <w:r w:rsidR="00A0531E">
        <w:t xml:space="preserve">the Scottish government wishes </w:t>
      </w:r>
      <w:r>
        <w:t xml:space="preserve">to participate in </w:t>
      </w:r>
      <w:r w:rsidR="00A12F2A">
        <w:t xml:space="preserve">wider </w:t>
      </w:r>
      <w:r>
        <w:t xml:space="preserve">bio industries, and in line with the </w:t>
      </w:r>
      <w:r w:rsidR="00A12F2A">
        <w:t>d</w:t>
      </w:r>
      <w:r>
        <w:t xml:space="preserve">raft policy's proposed hierarchy of uses, then perennial energy crops might be better deployed in harder-to-decarbonise sectors such as bio-chemicals. If </w:t>
      </w:r>
      <w:r w:rsidR="00675EA2">
        <w:t xml:space="preserve">deployed </w:t>
      </w:r>
      <w:r>
        <w:t xml:space="preserve">in addition to bioenergy, then the </w:t>
      </w:r>
      <w:r w:rsidR="00675EA2">
        <w:t xml:space="preserve">land required </w:t>
      </w:r>
      <w:r>
        <w:t>would need to double to between 160</w:t>
      </w:r>
      <w:r w:rsidR="00F4741F">
        <w:t>k</w:t>
      </w:r>
      <w:r>
        <w:t>ha to 240</w:t>
      </w:r>
      <w:r w:rsidR="00F4741F">
        <w:t>k</w:t>
      </w:r>
      <w:r>
        <w:t>ha.</w:t>
      </w:r>
    </w:p>
    <w:p w14:paraId="7C37C7B8" w14:textId="77777777" w:rsidR="00AF5A31" w:rsidRDefault="00AF5A31" w:rsidP="000D666E"/>
    <w:p w14:paraId="4D3C4D20" w14:textId="13EF9569" w:rsidR="000D417A" w:rsidRPr="000D417A" w:rsidRDefault="000D417A" w:rsidP="000D417A">
      <w:pPr>
        <w:pStyle w:val="ListParagraph"/>
        <w:numPr>
          <w:ilvl w:val="0"/>
          <w:numId w:val="44"/>
        </w:numPr>
        <w:rPr>
          <w:b/>
          <w:bCs/>
        </w:rPr>
      </w:pPr>
      <w:r w:rsidRPr="000D417A">
        <w:rPr>
          <w:b/>
          <w:bCs/>
        </w:rPr>
        <w:t>What would encourage you to use biomass from domestic perennial energy crops as a feedstock?</w:t>
      </w:r>
    </w:p>
    <w:p w14:paraId="0E4AC14B" w14:textId="77777777" w:rsidR="00490948" w:rsidRDefault="00490948" w:rsidP="00490948">
      <w:pPr>
        <w:rPr>
          <w:b/>
          <w:bCs/>
        </w:rPr>
      </w:pPr>
    </w:p>
    <w:p w14:paraId="1633EE57" w14:textId="4711E352" w:rsidR="00490948" w:rsidRDefault="00490948" w:rsidP="00490948">
      <w:r w:rsidRPr="00490948">
        <w:t>While the UK Biomass Strategy once again highlighted the potential of perennial energy crops, commitment to a long-term strategy for increasing supply remains absent, while current supply is negligible. Without clear direction</w:t>
      </w:r>
      <w:r w:rsidR="00E72CB6">
        <w:t xml:space="preserve"> </w:t>
      </w:r>
      <w:r w:rsidRPr="00490948">
        <w:t xml:space="preserve">and ambitious </w:t>
      </w:r>
      <w:r w:rsidR="00E72CB6">
        <w:t>targets</w:t>
      </w:r>
      <w:r w:rsidRPr="00490948">
        <w:t xml:space="preserve"> for growth, the biomass industry still does not have confidence they need in long-term availability PECs, so switching feedstocks remains unattractive. Targets should be officially committed to, providing confidence and direction to the market</w:t>
      </w:r>
      <w:r w:rsidR="00E72CB6">
        <w:t>. Following this,</w:t>
      </w:r>
      <w:r w:rsidRPr="00490948">
        <w:t xml:space="preserve"> a strategic pathway </w:t>
      </w:r>
      <w:r w:rsidR="00E72CB6">
        <w:t>should identify and focus</w:t>
      </w:r>
      <w:r w:rsidRPr="00490948">
        <w:t xml:space="preserve"> on key regions</w:t>
      </w:r>
      <w:r w:rsidR="00E72CB6">
        <w:t xml:space="preserve"> for growth</w:t>
      </w:r>
      <w:r w:rsidRPr="00490948">
        <w:t>, supporting farmer</w:t>
      </w:r>
      <w:r w:rsidR="00E72CB6">
        <w:t>s</w:t>
      </w:r>
      <w:r w:rsidRPr="00490948">
        <w:t xml:space="preserve"> and landowners to increase the available hectarage for energy crops on appropriate marginal land. This would help establish the commercial business case for PECs or SRF within geographical regions and grow confidence in the crop.</w:t>
      </w:r>
    </w:p>
    <w:p w14:paraId="7FCF1787" w14:textId="77777777" w:rsidR="00A71992" w:rsidRDefault="00A71992" w:rsidP="00490948"/>
    <w:p w14:paraId="1FE49C6B" w14:textId="1D91F6BC" w:rsidR="00490948" w:rsidRPr="00E72CB6" w:rsidRDefault="005C7DD2" w:rsidP="00490948">
      <w:r>
        <w:t>Along with</w:t>
      </w:r>
      <w:r w:rsidR="00490948" w:rsidRPr="00490948">
        <w:t xml:space="preserve"> support for </w:t>
      </w:r>
      <w:r w:rsidR="00490948">
        <w:t>improving</w:t>
      </w:r>
      <w:r w:rsidR="00B86288">
        <w:t xml:space="preserve"> the</w:t>
      </w:r>
      <w:r w:rsidR="00490948">
        <w:t xml:space="preserve"> supply</w:t>
      </w:r>
      <w:r w:rsidR="00490948" w:rsidRPr="00490948">
        <w:t xml:space="preserve"> of </w:t>
      </w:r>
      <w:r w:rsidR="00490948">
        <w:t>PECs</w:t>
      </w:r>
      <w:r w:rsidR="00490948" w:rsidRPr="00490948">
        <w:t xml:space="preserve">, it is essential that </w:t>
      </w:r>
      <w:r w:rsidR="003B70EA">
        <w:t xml:space="preserve">the </w:t>
      </w:r>
      <w:r w:rsidR="00400DF3">
        <w:t>Scottish</w:t>
      </w:r>
      <w:r w:rsidR="003B70EA">
        <w:t xml:space="preserve"> </w:t>
      </w:r>
      <w:r w:rsidR="00A71992">
        <w:t>G</w:t>
      </w:r>
      <w:r w:rsidR="003B70EA">
        <w:t xml:space="preserve">overnment </w:t>
      </w:r>
      <w:r w:rsidR="00C9211C">
        <w:t xml:space="preserve">work with colleagues in Whitehall to maintain </w:t>
      </w:r>
      <w:r w:rsidR="00490948" w:rsidRPr="00490948">
        <w:t>a strong offtake bioenergy market. There is concern that given the imminent end of existing Renewable</w:t>
      </w:r>
      <w:r w:rsidR="003D5ED4">
        <w:t>s</w:t>
      </w:r>
      <w:r w:rsidR="00490948" w:rsidRPr="00490948">
        <w:t xml:space="preserve"> Obligation </w:t>
      </w:r>
      <w:r w:rsidR="003D5ED4" w:rsidRPr="00490948">
        <w:t>(</w:t>
      </w:r>
      <w:r w:rsidR="003D5ED4">
        <w:t xml:space="preserve">starting to </w:t>
      </w:r>
      <w:r w:rsidR="003D5ED4" w:rsidRPr="00490948">
        <w:t>com</w:t>
      </w:r>
      <w:r w:rsidR="003D5ED4">
        <w:t>e</w:t>
      </w:r>
      <w:r w:rsidR="003D5ED4" w:rsidRPr="00490948">
        <w:t xml:space="preserve"> to an end from 2027) </w:t>
      </w:r>
      <w:r w:rsidR="00490948" w:rsidRPr="00490948">
        <w:t>or RHI contracts for biomass power and heat infrastructure that this could damage demand, undermining the long-term business case for farmers or landowners to take on PECs or SRF. Government should</w:t>
      </w:r>
      <w:r w:rsidR="00E72CB6">
        <w:t xml:space="preserve"> provide clarity on support mechanisms for the industry and</w:t>
      </w:r>
      <w:r w:rsidR="00490948" w:rsidRPr="00490948">
        <w:t xml:space="preserve"> commit to maintain</w:t>
      </w:r>
      <w:r w:rsidR="00E72CB6">
        <w:t>ing</w:t>
      </w:r>
      <w:r w:rsidR="00490948" w:rsidRPr="00490948">
        <w:t xml:space="preserve"> existing bioenergy infrastructure, as well as helping to facilitate the use of PECs and SRF within bioenergy carbon capture and storage. </w:t>
      </w:r>
    </w:p>
    <w:p w14:paraId="6F54E51B" w14:textId="77777777" w:rsidR="004218B4" w:rsidRPr="004218B4" w:rsidRDefault="004218B4" w:rsidP="004218B4">
      <w:pPr>
        <w:ind w:left="142"/>
        <w:rPr>
          <w:b/>
          <w:bCs/>
        </w:rPr>
      </w:pPr>
    </w:p>
    <w:p w14:paraId="1D679BB2" w14:textId="7436A495" w:rsidR="000D417A" w:rsidRPr="00D66903" w:rsidRDefault="000D417A" w:rsidP="000D417A">
      <w:pPr>
        <w:pStyle w:val="ListParagraph"/>
        <w:numPr>
          <w:ilvl w:val="0"/>
          <w:numId w:val="44"/>
        </w:numPr>
        <w:rPr>
          <w:b/>
          <w:bCs/>
        </w:rPr>
      </w:pPr>
      <w:r w:rsidRPr="00D66903">
        <w:rPr>
          <w:b/>
          <w:bCs/>
        </w:rPr>
        <w:t>What are the opportunities or challenges to growing energy crops and what would encourage planting at a commercial scale in Scotland?</w:t>
      </w:r>
    </w:p>
    <w:p w14:paraId="6CD40CF8" w14:textId="77777777" w:rsidR="00130FBB" w:rsidRDefault="00130FBB" w:rsidP="00B371A6"/>
    <w:p w14:paraId="09FEB2CA" w14:textId="6278CF16" w:rsidR="00CE506B" w:rsidRDefault="008D279F" w:rsidP="00E02019">
      <w:r>
        <w:t xml:space="preserve">The UK </w:t>
      </w:r>
      <w:r w:rsidR="00E45312">
        <w:t>Government previously attempted to use mandates on bioenergy producers to create a strong offtake market for</w:t>
      </w:r>
      <w:r w:rsidR="007D46B4">
        <w:t xml:space="preserve"> Perennial Energy Crops (</w:t>
      </w:r>
      <w:r w:rsidR="00E45312">
        <w:t>PEC</w:t>
      </w:r>
      <w:r w:rsidR="007D46B4">
        <w:t>)</w:t>
      </w:r>
      <w:r w:rsidR="00E45312">
        <w:t xml:space="preserve"> and</w:t>
      </w:r>
      <w:r>
        <w:t xml:space="preserve"> Short Rotation Forestry (S</w:t>
      </w:r>
      <w:r w:rsidR="00E45312">
        <w:t>FR</w:t>
      </w:r>
      <w:r>
        <w:t>)</w:t>
      </w:r>
      <w:r w:rsidR="00E45312">
        <w:t xml:space="preserve"> feedstocks. In the 2000s, </w:t>
      </w:r>
      <w:r w:rsidR="008C2C85">
        <w:t>t</w:t>
      </w:r>
      <w:r w:rsidR="00E45312">
        <w:t>he Renewable</w:t>
      </w:r>
      <w:r w:rsidR="008C2C85">
        <w:t>s</w:t>
      </w:r>
      <w:r w:rsidR="00E45312">
        <w:t xml:space="preserve"> Obligation required co-firers to take a certain proportion of their feedstock from PECs, with an increasing proportion over time. While this policy was welcome, the requirements were too high and introduced too quickly. This led to push back from energy generators and resulted in the then energy department, removing the </w:t>
      </w:r>
      <w:r w:rsidR="00C14290">
        <w:t>requirement</w:t>
      </w:r>
      <w:r w:rsidR="008C2C85">
        <w:t xml:space="preserve"> completely</w:t>
      </w:r>
      <w:r w:rsidR="00E45312">
        <w:t>.</w:t>
      </w:r>
      <w:r w:rsidR="008C2C85">
        <w:t xml:space="preserve"> </w:t>
      </w:r>
      <w:r w:rsidR="00E45312">
        <w:t xml:space="preserve">At the same time, DEFRA and Natural England introduced the Energy Crops Scheme (ECS) which offered energy crop establishment grants for farmers in England. However, </w:t>
      </w:r>
      <w:r w:rsidR="00BB096C">
        <w:t>without the</w:t>
      </w:r>
      <w:r w:rsidR="00E45312">
        <w:t xml:space="preserve"> RO requirement</w:t>
      </w:r>
      <w:r w:rsidR="00BB096C">
        <w:t xml:space="preserve">, the market for the crop contracted significantly. </w:t>
      </w:r>
      <w:r w:rsidR="00E45312">
        <w:t xml:space="preserve">This damaged landowners, farmers, and investor confidence. </w:t>
      </w:r>
    </w:p>
    <w:p w14:paraId="0D4AE916" w14:textId="77777777" w:rsidR="00CE506B" w:rsidRDefault="00CE506B" w:rsidP="00E02019"/>
    <w:p w14:paraId="0EB4BDE6" w14:textId="0B1DB239" w:rsidR="00E02019" w:rsidRPr="00516FA5" w:rsidRDefault="00E02019" w:rsidP="00E02019">
      <w:r>
        <w:t>This, coupled with lack of adequate reward for growing</w:t>
      </w:r>
      <w:r w:rsidR="003C2276">
        <w:t xml:space="preserve"> energy crops </w:t>
      </w:r>
      <w:r w:rsidR="0090202E">
        <w:t>continue to be</w:t>
      </w:r>
      <w:r>
        <w:t xml:space="preserve"> a </w:t>
      </w:r>
      <w:r w:rsidR="0090202E">
        <w:t>challenge</w:t>
      </w:r>
      <w:r>
        <w:t xml:space="preserve">. </w:t>
      </w:r>
      <w:r w:rsidR="00C866FB">
        <w:t xml:space="preserve">Growing </w:t>
      </w:r>
      <w:r>
        <w:t xml:space="preserve">energy crops must be seen by landowners and developers as a long-term profitable exercise, one that is able to compete with other land uses, especially when feedstock cultivation could provide additional environmental benefits. </w:t>
      </w:r>
    </w:p>
    <w:p w14:paraId="3FA3EC80" w14:textId="77777777" w:rsidR="00E02019" w:rsidRDefault="00E02019" w:rsidP="00E45312"/>
    <w:p w14:paraId="6BD880FC" w14:textId="6BD10BA4" w:rsidR="007076D8" w:rsidRPr="00E45312" w:rsidRDefault="007076D8" w:rsidP="00E45312">
      <w:r>
        <w:t xml:space="preserve">Scotland’s biggest opportunity </w:t>
      </w:r>
      <w:r w:rsidR="00FA7EAB">
        <w:t>for growing energy crops is the amount of potential land available for this purpose</w:t>
      </w:r>
      <w:r w:rsidR="00255590">
        <w:t xml:space="preserve">. To encourage planting at scale in Scotland, the REA would encourage the Scottish Government to: </w:t>
      </w:r>
    </w:p>
    <w:p w14:paraId="2DE55FB6" w14:textId="77777777" w:rsidR="004F3797" w:rsidRDefault="004F3797" w:rsidP="00E45312">
      <w:pPr>
        <w:rPr>
          <w:b/>
          <w:bCs/>
          <w:i/>
          <w:iCs/>
        </w:rPr>
      </w:pPr>
    </w:p>
    <w:p w14:paraId="54175AC5" w14:textId="0DE6057D" w:rsidR="00E45312" w:rsidRPr="00387EDA" w:rsidRDefault="00092E0F" w:rsidP="00E45312">
      <w:pPr>
        <w:rPr>
          <w:b/>
          <w:bCs/>
          <w:i/>
          <w:iCs/>
        </w:rPr>
      </w:pPr>
      <w:r w:rsidRPr="00387EDA">
        <w:rPr>
          <w:b/>
          <w:bCs/>
          <w:i/>
          <w:iCs/>
        </w:rPr>
        <w:t xml:space="preserve">Ensure Scotland’s fourth </w:t>
      </w:r>
      <w:r w:rsidR="00217F7F" w:rsidRPr="00387EDA">
        <w:rPr>
          <w:b/>
          <w:bCs/>
          <w:i/>
          <w:iCs/>
        </w:rPr>
        <w:t xml:space="preserve">land use strategy includes explicit </w:t>
      </w:r>
      <w:r w:rsidR="008747AA" w:rsidRPr="00387EDA">
        <w:rPr>
          <w:b/>
          <w:bCs/>
          <w:i/>
          <w:iCs/>
        </w:rPr>
        <w:t xml:space="preserve">plans </w:t>
      </w:r>
      <w:proofErr w:type="gramStart"/>
      <w:r w:rsidR="008747AA" w:rsidRPr="00387EDA">
        <w:rPr>
          <w:b/>
          <w:bCs/>
          <w:i/>
          <w:iCs/>
        </w:rPr>
        <w:t xml:space="preserve">for </w:t>
      </w:r>
      <w:r w:rsidR="00217F7F" w:rsidRPr="00387EDA">
        <w:rPr>
          <w:b/>
          <w:bCs/>
          <w:i/>
          <w:iCs/>
        </w:rPr>
        <w:t xml:space="preserve">the </w:t>
      </w:r>
      <w:r w:rsidR="00E45312" w:rsidRPr="00387EDA">
        <w:rPr>
          <w:b/>
          <w:bCs/>
          <w:i/>
          <w:iCs/>
        </w:rPr>
        <w:t>amount of</w:t>
      </w:r>
      <w:proofErr w:type="gramEnd"/>
      <w:r w:rsidR="00E45312" w:rsidRPr="00387EDA">
        <w:rPr>
          <w:b/>
          <w:bCs/>
          <w:i/>
          <w:iCs/>
        </w:rPr>
        <w:t xml:space="preserve"> energy-crop hectarage </w:t>
      </w:r>
      <w:r w:rsidR="00217F7F" w:rsidRPr="00387EDA">
        <w:rPr>
          <w:b/>
          <w:bCs/>
          <w:i/>
          <w:iCs/>
        </w:rPr>
        <w:t xml:space="preserve">that can </w:t>
      </w:r>
      <w:r w:rsidR="004A4CB2" w:rsidRPr="00387EDA">
        <w:rPr>
          <w:b/>
          <w:bCs/>
          <w:i/>
          <w:iCs/>
        </w:rPr>
        <w:t xml:space="preserve">be </w:t>
      </w:r>
      <w:r w:rsidR="00217F7F" w:rsidRPr="00387EDA">
        <w:rPr>
          <w:b/>
          <w:bCs/>
          <w:i/>
          <w:iCs/>
        </w:rPr>
        <w:t>feasibly</w:t>
      </w:r>
      <w:r w:rsidR="004A4CB2" w:rsidRPr="00387EDA">
        <w:rPr>
          <w:b/>
          <w:bCs/>
          <w:i/>
          <w:iCs/>
        </w:rPr>
        <w:t xml:space="preserve"> provided</w:t>
      </w:r>
      <w:r w:rsidR="00394E67" w:rsidRPr="00387EDA">
        <w:rPr>
          <w:b/>
          <w:bCs/>
          <w:i/>
          <w:iCs/>
        </w:rPr>
        <w:t xml:space="preserve"> to support BECCS development in Scotland</w:t>
      </w:r>
      <w:r w:rsidR="00B86288" w:rsidRPr="00387EDA">
        <w:rPr>
          <w:b/>
          <w:bCs/>
          <w:i/>
          <w:iCs/>
        </w:rPr>
        <w:t>.</w:t>
      </w:r>
    </w:p>
    <w:p w14:paraId="1F021E38" w14:textId="0317BC59" w:rsidR="00E45312" w:rsidRPr="00E45312" w:rsidRDefault="00394E67" w:rsidP="00E45312">
      <w:r w:rsidRPr="001B3910">
        <w:t xml:space="preserve">It was </w:t>
      </w:r>
      <w:r w:rsidR="000430ED">
        <w:t>encouraging to</w:t>
      </w:r>
      <w:r w:rsidRPr="001B3910">
        <w:t xml:space="preserve"> see reference made to BECCS and the </w:t>
      </w:r>
      <w:r w:rsidR="002851CC" w:rsidRPr="001B3910">
        <w:t>additional domestic feedstock required to support its development in Scotland’s third land use strategy document</w:t>
      </w:r>
      <w:r w:rsidR="000430ED">
        <w:rPr>
          <w:rStyle w:val="FootnoteReference"/>
        </w:rPr>
        <w:footnoteReference w:id="18"/>
      </w:r>
      <w:r w:rsidR="002851CC" w:rsidRPr="001B3910">
        <w:t xml:space="preserve">, but </w:t>
      </w:r>
      <w:r w:rsidR="001B3910" w:rsidRPr="001B3910">
        <w:t>considering</w:t>
      </w:r>
      <w:r w:rsidR="006D2F2D" w:rsidRPr="001B3910">
        <w:t xml:space="preserve"> the work commissioned by the Scottish Government since its publication, and the initial position in this policy statement, </w:t>
      </w:r>
      <w:r w:rsidR="006D6FDB" w:rsidRPr="001B3910">
        <w:t xml:space="preserve">more explicit figures are needed. This will boost investor, </w:t>
      </w:r>
      <w:r w:rsidR="001B3910" w:rsidRPr="001B3910">
        <w:t>landowner,</w:t>
      </w:r>
      <w:r w:rsidR="006D6FDB" w:rsidRPr="001B3910">
        <w:t xml:space="preserve"> and farmer confidence, giving them the assurance that the</w:t>
      </w:r>
      <w:r w:rsidR="001B3910" w:rsidRPr="001B3910">
        <w:t xml:space="preserve">y will have a market in the long-term. </w:t>
      </w:r>
    </w:p>
    <w:p w14:paraId="39748CD7" w14:textId="77777777" w:rsidR="000A0A52" w:rsidRDefault="000A0A52" w:rsidP="00516FA5">
      <w:pPr>
        <w:rPr>
          <w:b/>
          <w:bCs/>
          <w:i/>
          <w:iCs/>
        </w:rPr>
      </w:pPr>
    </w:p>
    <w:p w14:paraId="243DEDC3" w14:textId="46CE3F1E" w:rsidR="00773720" w:rsidRPr="00516FA5" w:rsidRDefault="00773720" w:rsidP="00516FA5">
      <w:pPr>
        <w:rPr>
          <w:b/>
          <w:bCs/>
          <w:i/>
          <w:iCs/>
        </w:rPr>
      </w:pPr>
      <w:r w:rsidRPr="00387EDA">
        <w:rPr>
          <w:b/>
          <w:bCs/>
          <w:i/>
          <w:iCs/>
        </w:rPr>
        <w:t xml:space="preserve">Extend the eligibility criteria of the Agri-Environment Climate Scheme </w:t>
      </w:r>
      <w:r w:rsidR="00516FA5" w:rsidRPr="00387EDA">
        <w:rPr>
          <w:b/>
          <w:bCs/>
          <w:i/>
          <w:iCs/>
        </w:rPr>
        <w:t>to reward domestic feedstock production</w:t>
      </w:r>
      <w:r w:rsidR="00B86288" w:rsidRPr="00387EDA">
        <w:rPr>
          <w:b/>
          <w:bCs/>
          <w:i/>
          <w:iCs/>
        </w:rPr>
        <w:t>.</w:t>
      </w:r>
    </w:p>
    <w:p w14:paraId="2C376C93" w14:textId="0D333979" w:rsidR="00516FA5" w:rsidRPr="00516FA5" w:rsidRDefault="004071D4" w:rsidP="002D0316">
      <w:r>
        <w:t xml:space="preserve">Extending the eligibility criteria in </w:t>
      </w:r>
      <w:r w:rsidR="00AA130B">
        <w:t>Scotland’s well established Agri-Environment Climate Scheme (AECS)</w:t>
      </w:r>
      <w:r>
        <w:t xml:space="preserve"> </w:t>
      </w:r>
      <w:r w:rsidR="005A724B">
        <w:t>to reward farmers or landowners for planting approved energy crops</w:t>
      </w:r>
      <w:r w:rsidR="00414655">
        <w:t xml:space="preserve"> </w:t>
      </w:r>
      <w:r w:rsidR="003C1B4D">
        <w:t xml:space="preserve">on </w:t>
      </w:r>
      <w:r w:rsidR="00414655">
        <w:t>their</w:t>
      </w:r>
      <w:r w:rsidR="005A724B">
        <w:t xml:space="preserve"> land would incentivise </w:t>
      </w:r>
      <w:r w:rsidR="002D0316">
        <w:t xml:space="preserve">crop growth. </w:t>
      </w:r>
      <w:r w:rsidR="008D3723">
        <w:t>Safeguards could</w:t>
      </w:r>
      <w:r w:rsidR="00374DFC">
        <w:t xml:space="preserve"> </w:t>
      </w:r>
      <w:r w:rsidR="008D3723">
        <w:t>be put in place to en</w:t>
      </w:r>
      <w:r w:rsidR="00F04EDC">
        <w:t xml:space="preserve">sure that </w:t>
      </w:r>
      <w:r w:rsidR="00374DFC">
        <w:t>applications do not undermin</w:t>
      </w:r>
      <w:r w:rsidR="00E35DA4">
        <w:t xml:space="preserve">e </w:t>
      </w:r>
      <w:r w:rsidR="00374DFC">
        <w:t xml:space="preserve">food </w:t>
      </w:r>
      <w:r w:rsidR="00E35DA4">
        <w:t>production and</w:t>
      </w:r>
      <w:r w:rsidR="00374DFC">
        <w:t xml:space="preserve"> would only be approved for land un</w:t>
      </w:r>
      <w:r w:rsidR="00F04EDC">
        <w:t xml:space="preserve">suitable for </w:t>
      </w:r>
      <w:r w:rsidR="003C1B4D">
        <w:t xml:space="preserve">growing food crops. </w:t>
      </w:r>
      <w:r w:rsidR="00E35DA4">
        <w:t xml:space="preserve"> </w:t>
      </w:r>
      <w:r w:rsidR="00414655">
        <w:t xml:space="preserve"> </w:t>
      </w:r>
    </w:p>
    <w:p w14:paraId="25618FEA" w14:textId="77777777" w:rsidR="0069415E" w:rsidRDefault="0069415E" w:rsidP="00A87B16">
      <w:pPr>
        <w:rPr>
          <w:b/>
          <w:bCs/>
          <w:i/>
          <w:iCs/>
        </w:rPr>
      </w:pPr>
    </w:p>
    <w:p w14:paraId="4DA36F17" w14:textId="40561100" w:rsidR="00A87B16" w:rsidRPr="00516FA5" w:rsidRDefault="006A28F1" w:rsidP="00A87B16">
      <w:r>
        <w:t>T</w:t>
      </w:r>
      <w:r w:rsidR="00A87B16" w:rsidRPr="00516FA5">
        <w:t xml:space="preserve">he </w:t>
      </w:r>
      <w:r w:rsidR="0069415E">
        <w:t>A</w:t>
      </w:r>
      <w:r w:rsidR="00A87B16" w:rsidRPr="00516FA5">
        <w:t xml:space="preserve">naerobic </w:t>
      </w:r>
      <w:r w:rsidR="0069415E">
        <w:t>D</w:t>
      </w:r>
      <w:r w:rsidR="00A87B16" w:rsidRPr="00516FA5">
        <w:t xml:space="preserve">igestion </w:t>
      </w:r>
      <w:r w:rsidR="0069415E">
        <w:t xml:space="preserve">(AD) </w:t>
      </w:r>
      <w:r w:rsidR="00A87B16" w:rsidRPr="00516FA5">
        <w:t xml:space="preserve">sector </w:t>
      </w:r>
      <w:r w:rsidR="0069415E">
        <w:t xml:space="preserve">already </w:t>
      </w:r>
      <w:r w:rsidR="00A87B16" w:rsidRPr="00516FA5">
        <w:t xml:space="preserve">includes many agricultural practitioners, demonstrating the ability to grow a range of energy crops within farming rotation and allocating small amounts of </w:t>
      </w:r>
      <w:r w:rsidR="006035BB">
        <w:t>land</w:t>
      </w:r>
      <w:r w:rsidR="00A87B16" w:rsidRPr="00516FA5">
        <w:t xml:space="preserve"> to the use of crops from green gas and other renewable energies. The fears around land use change or fuel vs food have not materialised, in part due to the UK’s strong sustainability criteria which is already in place to ensure the growth of energy crops is done in the right way. </w:t>
      </w:r>
    </w:p>
    <w:p w14:paraId="491A4385" w14:textId="77777777" w:rsidR="00A87B16" w:rsidRPr="00516FA5" w:rsidRDefault="00A87B16" w:rsidP="00A87B16">
      <w:pPr>
        <w:rPr>
          <w:u w:val="single"/>
        </w:rPr>
      </w:pPr>
    </w:p>
    <w:p w14:paraId="0F9D193D" w14:textId="23D53600" w:rsidR="00A87B16" w:rsidRPr="00387EDA" w:rsidRDefault="00B74408" w:rsidP="00A87B16">
      <w:pPr>
        <w:rPr>
          <w:b/>
          <w:bCs/>
          <w:i/>
          <w:iCs/>
        </w:rPr>
      </w:pPr>
      <w:r w:rsidRPr="00387EDA">
        <w:rPr>
          <w:b/>
          <w:bCs/>
          <w:i/>
          <w:iCs/>
        </w:rPr>
        <w:t>Fund</w:t>
      </w:r>
      <w:r w:rsidR="00A87B16" w:rsidRPr="00387EDA">
        <w:rPr>
          <w:b/>
          <w:bCs/>
          <w:i/>
          <w:iCs/>
        </w:rPr>
        <w:t xml:space="preserve"> independent advice for </w:t>
      </w:r>
      <w:r w:rsidR="005D306C" w:rsidRPr="00387EDA">
        <w:rPr>
          <w:b/>
          <w:bCs/>
          <w:i/>
          <w:iCs/>
        </w:rPr>
        <w:t>landowners and farmers about the advantages of energy crops</w:t>
      </w:r>
      <w:r w:rsidR="00B86288" w:rsidRPr="00387EDA">
        <w:rPr>
          <w:b/>
          <w:bCs/>
          <w:i/>
          <w:iCs/>
        </w:rPr>
        <w:t>.</w:t>
      </w:r>
    </w:p>
    <w:p w14:paraId="3254876E" w14:textId="319B373B" w:rsidR="00A87B16" w:rsidRDefault="003308B2" w:rsidP="00A87B16">
      <w:r>
        <w:t>K</w:t>
      </w:r>
      <w:r w:rsidR="00A87B16" w:rsidRPr="00516FA5">
        <w:t xml:space="preserve">nowledge </w:t>
      </w:r>
      <w:r w:rsidR="00557361">
        <w:t xml:space="preserve">about </w:t>
      </w:r>
      <w:r w:rsidR="00A87B16" w:rsidRPr="00516FA5">
        <w:t xml:space="preserve">innovative energy crops, their </w:t>
      </w:r>
      <w:r w:rsidR="007B0BFA" w:rsidRPr="00516FA5">
        <w:t>advantages,</w:t>
      </w:r>
      <w:r w:rsidR="00A87B16" w:rsidRPr="00516FA5">
        <w:t xml:space="preserve"> </w:t>
      </w:r>
      <w:r w:rsidR="00ED3D66">
        <w:t>and</w:t>
      </w:r>
      <w:r w:rsidR="00A87B16" w:rsidRPr="00516FA5">
        <w:t xml:space="preserve"> possible returns, is </w:t>
      </w:r>
      <w:r w:rsidR="007B0BFA">
        <w:t xml:space="preserve">generally </w:t>
      </w:r>
      <w:r w:rsidR="00A87B16" w:rsidRPr="00516FA5">
        <w:t>low across the agriculture and forestry sector.</w:t>
      </w:r>
      <w:bookmarkStart w:id="2" w:name="_Hlk74578987"/>
      <w:r w:rsidR="00A87B16" w:rsidRPr="00516FA5">
        <w:t xml:space="preserve"> </w:t>
      </w:r>
      <w:bookmarkEnd w:id="2"/>
      <w:r w:rsidR="00A87B16" w:rsidRPr="00516FA5">
        <w:t xml:space="preserve">For many crops there are now demonstration plantations available, with strong data to show their suitability and commercial potential, however, grant support for commercialisation would </w:t>
      </w:r>
      <w:r w:rsidR="00756C8B">
        <w:t>encourage</w:t>
      </w:r>
      <w:r w:rsidR="00A87B16" w:rsidRPr="00516FA5">
        <w:t xml:space="preserve"> greater take up. </w:t>
      </w:r>
      <w:r w:rsidR="00756C8B">
        <w:t>Ultimately, l</w:t>
      </w:r>
      <w:r w:rsidR="00A87B16" w:rsidRPr="00463022">
        <w:t>andowners and developers need</w:t>
      </w:r>
      <w:r w:rsidR="00B74408">
        <w:t xml:space="preserve"> to see a</w:t>
      </w:r>
      <w:r w:rsidR="00A87B16" w:rsidRPr="00463022">
        <w:t xml:space="preserve"> </w:t>
      </w:r>
      <w:r w:rsidR="00B74408">
        <w:t>viable</w:t>
      </w:r>
      <w:r w:rsidR="00A87B16" w:rsidRPr="00463022">
        <w:t xml:space="preserve"> business model to be encouraged to grow energy crops. </w:t>
      </w:r>
      <w:r w:rsidR="004B3906">
        <w:t xml:space="preserve">Scotland should build </w:t>
      </w:r>
      <w:r w:rsidR="00B47895">
        <w:t xml:space="preserve">the </w:t>
      </w:r>
      <w:r w:rsidR="00D531BC">
        <w:t>Government supported projects on Biomass Connect</w:t>
      </w:r>
      <w:r w:rsidR="0046092C">
        <w:rPr>
          <w:rStyle w:val="FootnoteReference"/>
        </w:rPr>
        <w:footnoteReference w:id="19"/>
      </w:r>
      <w:r w:rsidR="00D531BC">
        <w:t xml:space="preserve"> and Envirocrops</w:t>
      </w:r>
      <w:r w:rsidR="00E33848">
        <w:rPr>
          <w:rStyle w:val="FootnoteReference"/>
        </w:rPr>
        <w:footnoteReference w:id="20"/>
      </w:r>
      <w:r w:rsidR="00D531BC">
        <w:t xml:space="preserve">, both of which are starting to make significant </w:t>
      </w:r>
      <w:r w:rsidR="0046092C">
        <w:t>contributions</w:t>
      </w:r>
      <w:r w:rsidR="00D531BC">
        <w:t xml:space="preserve"> in addressing </w:t>
      </w:r>
      <w:r w:rsidR="0046092C">
        <w:t xml:space="preserve">this issue. </w:t>
      </w:r>
    </w:p>
    <w:p w14:paraId="6BD68E5F" w14:textId="77777777" w:rsidR="007A6AFF" w:rsidRPr="005D306C" w:rsidRDefault="007A6AFF" w:rsidP="00516FA5">
      <w:pPr>
        <w:rPr>
          <w:b/>
          <w:bCs/>
        </w:rPr>
      </w:pPr>
    </w:p>
    <w:p w14:paraId="3047D3A4" w14:textId="0EBF05CF" w:rsidR="006E6B4B" w:rsidRPr="00516FA5" w:rsidRDefault="00F76C80" w:rsidP="00516FA5">
      <w:pPr>
        <w:rPr>
          <w:b/>
          <w:bCs/>
          <w:i/>
          <w:iCs/>
        </w:rPr>
      </w:pPr>
      <w:r w:rsidRPr="00387EDA">
        <w:rPr>
          <w:b/>
          <w:bCs/>
          <w:i/>
          <w:iCs/>
        </w:rPr>
        <w:t>C</w:t>
      </w:r>
      <w:r w:rsidR="00516FA5" w:rsidRPr="00387EDA">
        <w:rPr>
          <w:b/>
          <w:bCs/>
          <w:i/>
          <w:iCs/>
        </w:rPr>
        <w:t>onsistent policy</w:t>
      </w:r>
      <w:r w:rsidRPr="00387EDA">
        <w:rPr>
          <w:b/>
          <w:bCs/>
          <w:i/>
          <w:iCs/>
        </w:rPr>
        <w:t xml:space="preserve"> </w:t>
      </w:r>
      <w:r w:rsidR="004C5162" w:rsidRPr="00387EDA">
        <w:rPr>
          <w:b/>
          <w:bCs/>
          <w:i/>
          <w:iCs/>
        </w:rPr>
        <w:t xml:space="preserve">is needed to </w:t>
      </w:r>
      <w:r w:rsidR="00516FA5" w:rsidRPr="00387EDA">
        <w:rPr>
          <w:b/>
          <w:bCs/>
          <w:i/>
          <w:iCs/>
        </w:rPr>
        <w:t>drive demand for domestic feedstocks</w:t>
      </w:r>
      <w:r w:rsidR="00B86288" w:rsidRPr="00387EDA">
        <w:rPr>
          <w:b/>
          <w:bCs/>
          <w:i/>
          <w:iCs/>
        </w:rPr>
        <w:t>.</w:t>
      </w:r>
    </w:p>
    <w:p w14:paraId="59147474" w14:textId="7E4A4658" w:rsidR="00516FA5" w:rsidRDefault="008C7716" w:rsidP="00516FA5">
      <w:r>
        <w:t>While the REA is aware that</w:t>
      </w:r>
      <w:r w:rsidR="004C5162">
        <w:t xml:space="preserve"> schemes like the Renewable Heat Incentive</w:t>
      </w:r>
      <w:r w:rsidR="002D29CF">
        <w:t xml:space="preserve"> </w:t>
      </w:r>
      <w:r w:rsidR="00F76C80">
        <w:t>(RHI</w:t>
      </w:r>
      <w:r w:rsidR="000D4BB2">
        <w:t>) for heat and biomethane</w:t>
      </w:r>
      <w:r w:rsidR="002D29CF">
        <w:t xml:space="preserve"> are not </w:t>
      </w:r>
      <w:r w:rsidR="00ED3D66">
        <w:t>devolved</w:t>
      </w:r>
      <w:r w:rsidR="002D29CF">
        <w:t xml:space="preserve">, it is worth stating their importance at a UK-wide level and </w:t>
      </w:r>
      <w:r w:rsidR="00F76C80">
        <w:t>push</w:t>
      </w:r>
      <w:r w:rsidR="00ED3D66">
        <w:t>ing</w:t>
      </w:r>
      <w:r w:rsidR="00F76C80">
        <w:t xml:space="preserve"> </w:t>
      </w:r>
      <w:r>
        <w:t>for</w:t>
      </w:r>
      <w:r w:rsidR="00F76C80">
        <w:t xml:space="preserve"> more consistent policy and guidance</w:t>
      </w:r>
      <w:r>
        <w:t xml:space="preserve"> from Whitehall</w:t>
      </w:r>
      <w:r w:rsidR="00F76C80">
        <w:t xml:space="preserve">. </w:t>
      </w:r>
      <w:r w:rsidR="00516FA5" w:rsidRPr="00516FA5">
        <w:t xml:space="preserve">Both </w:t>
      </w:r>
      <w:r w:rsidR="00ED0471">
        <w:t xml:space="preserve">the Non-Domestic RHI </w:t>
      </w:r>
      <w:r w:rsidR="00672C25">
        <w:t>(</w:t>
      </w:r>
      <w:r w:rsidR="00ED0471">
        <w:t>and RO</w:t>
      </w:r>
      <w:r w:rsidR="00672C25">
        <w:t xml:space="preserve">) </w:t>
      </w:r>
      <w:r w:rsidR="00516FA5" w:rsidRPr="00516FA5">
        <w:t xml:space="preserve">drove the installation of biomass systems and demand for domestic feedstocks. </w:t>
      </w:r>
      <w:r w:rsidR="00ED0471">
        <w:t>In addition, b</w:t>
      </w:r>
      <w:r w:rsidR="00516FA5" w:rsidRPr="00516FA5">
        <w:t xml:space="preserve">oth schemes </w:t>
      </w:r>
      <w:r w:rsidR="00F752C4">
        <w:t>h</w:t>
      </w:r>
      <w:r w:rsidR="00516FA5" w:rsidRPr="00516FA5">
        <w:t xml:space="preserve">elped bring significant amounts of UK forestry into management, with the revenues from biomass feedstocks forming an important part of the business case for developing and managing </w:t>
      </w:r>
      <w:r w:rsidR="00A00EE9">
        <w:t xml:space="preserve">sustainable, </w:t>
      </w:r>
      <w:r w:rsidR="00516FA5" w:rsidRPr="00516FA5">
        <w:t>productive forests.</w:t>
      </w:r>
      <w:r w:rsidR="00516FA5" w:rsidRPr="00516FA5">
        <w:rPr>
          <w:vertAlign w:val="superscript"/>
        </w:rPr>
        <w:footnoteReference w:id="21"/>
      </w:r>
      <w:r w:rsidR="00516FA5" w:rsidRPr="00516FA5">
        <w:t xml:space="preserve"> </w:t>
      </w:r>
    </w:p>
    <w:p w14:paraId="3CDE0F76" w14:textId="77777777" w:rsidR="006E6B4B" w:rsidRPr="00516FA5" w:rsidRDefault="006E6B4B" w:rsidP="00516FA5"/>
    <w:p w14:paraId="00C47976" w14:textId="1317AE07" w:rsidR="00516FA5" w:rsidRDefault="00516FA5" w:rsidP="00516FA5">
      <w:r w:rsidRPr="00516FA5">
        <w:t>The lack of any clear policy support for the biomass heat sector is now a major cause for concern in terms of driving further development of domestic feedstocks as the current sectors driving demand decline. Continuing to label the biomass heat sector as ‘niche’ without providing sufficient evidence the potential size of the market, is itself a barrier to feedstock producers suggesting the market has limited potential for demand growth</w:t>
      </w:r>
      <w:r w:rsidR="005168EC">
        <w:t xml:space="preserve">. </w:t>
      </w:r>
    </w:p>
    <w:p w14:paraId="582141E9" w14:textId="77777777" w:rsidR="006E6B4B" w:rsidRPr="00516FA5" w:rsidRDefault="006E6B4B" w:rsidP="00516FA5"/>
    <w:p w14:paraId="0C7445E3" w14:textId="4D057722" w:rsidR="00516FA5" w:rsidRDefault="00395979" w:rsidP="00516FA5">
      <w:r>
        <w:t>A</w:t>
      </w:r>
      <w:r w:rsidR="00516FA5" w:rsidRPr="00516FA5">
        <w:t xml:space="preserve"> similar story is true of the renewable transport fuel sector, where a lack of supportive policy has left the sector in limbo and stifled the ability of farmers to sustainably grow energy crops</w:t>
      </w:r>
      <w:r>
        <w:t>, which continue to have a significant role to play</w:t>
      </w:r>
      <w:r w:rsidR="00516FA5" w:rsidRPr="00516FA5">
        <w:t xml:space="preserve">. Industry needs government to be clear an about the future role of biofuels </w:t>
      </w:r>
      <w:r w:rsidR="008B4E74" w:rsidRPr="00516FA5">
        <w:t>to</w:t>
      </w:r>
      <w:r w:rsidR="00516FA5" w:rsidRPr="00516FA5">
        <w:t xml:space="preserve"> </w:t>
      </w:r>
      <w:r w:rsidR="00344BE7" w:rsidRPr="00516FA5">
        <w:t>open</w:t>
      </w:r>
      <w:r w:rsidR="00516FA5" w:rsidRPr="00516FA5">
        <w:t xml:space="preserve"> domestic supply chains again. This includes ensuring as ambitious targets as possible under the Renewable Transport Fuel Obligation. </w:t>
      </w:r>
      <w:r w:rsidR="00FD1BCD">
        <w:t xml:space="preserve">At present, policy is only set out to 2032. The UK Low Carbon Fuels Strategy announced in 2021 has yet to be published and it now looks unlikely that concrete proposals for </w:t>
      </w:r>
      <w:r w:rsidR="00030B72">
        <w:t>medium- and longer-term</w:t>
      </w:r>
      <w:r w:rsidR="00FD1BCD">
        <w:t xml:space="preserve"> policy will be published before the UK General Election.</w:t>
      </w:r>
    </w:p>
    <w:p w14:paraId="417906DA" w14:textId="77777777" w:rsidR="005168EC" w:rsidRPr="00516FA5" w:rsidRDefault="005168EC" w:rsidP="00516FA5"/>
    <w:p w14:paraId="63A9DAC6" w14:textId="5453C322" w:rsidR="00516FA5" w:rsidRDefault="00516FA5" w:rsidP="00516FA5">
      <w:r w:rsidRPr="00516FA5">
        <w:t xml:space="preserve">In the power sector, clear policy intentions </w:t>
      </w:r>
      <w:r w:rsidR="00C93D46">
        <w:t xml:space="preserve">post-2027 </w:t>
      </w:r>
      <w:r w:rsidRPr="00516FA5">
        <w:t>are also required</w:t>
      </w:r>
      <w:r w:rsidR="00C93D46">
        <w:t>.</w:t>
      </w:r>
      <w:r w:rsidR="00400975">
        <w:t xml:space="preserve"> </w:t>
      </w:r>
      <w:r w:rsidRPr="00516FA5">
        <w:t xml:space="preserve">This affects biomass </w:t>
      </w:r>
      <w:r w:rsidR="00030B72" w:rsidRPr="00516FA5">
        <w:t>power</w:t>
      </w:r>
      <w:r w:rsidR="00030B72">
        <w:t>,</w:t>
      </w:r>
      <w:r w:rsidR="00030B72" w:rsidRPr="00516FA5">
        <w:t xml:space="preserve"> energy</w:t>
      </w:r>
      <w:r w:rsidRPr="00516FA5">
        <w:t xml:space="preserve"> from waste</w:t>
      </w:r>
      <w:r w:rsidR="00B53CE4">
        <w:t>, and landfill</w:t>
      </w:r>
      <w:r w:rsidRPr="00516FA5">
        <w:t xml:space="preserve"> sites currently supported under the RO. </w:t>
      </w:r>
      <w:r w:rsidR="00030B72">
        <w:t>For biomass power specifically, t</w:t>
      </w:r>
      <w:r w:rsidRPr="00516FA5">
        <w:t xml:space="preserve">hose developing biomass feedstock supplies for these sites require long term off-taker contracts, </w:t>
      </w:r>
      <w:r w:rsidR="00400975">
        <w:t xml:space="preserve">and </w:t>
      </w:r>
      <w:r w:rsidRPr="00516FA5">
        <w:t xml:space="preserve">a lack of certainty around whether such sites will continue after 2027 makes </w:t>
      </w:r>
      <w:r w:rsidR="00E733CE">
        <w:t>investment</w:t>
      </w:r>
      <w:r w:rsidR="00400975">
        <w:t xml:space="preserve"> </w:t>
      </w:r>
      <w:r w:rsidR="00E733CE">
        <w:t>decisions</w:t>
      </w:r>
      <w:r w:rsidR="00400975">
        <w:t xml:space="preserve"> difficult and</w:t>
      </w:r>
      <w:r w:rsidRPr="00516FA5">
        <w:t xml:space="preserve"> disincentivises landowners developing supplies fo</w:t>
      </w:r>
      <w:r w:rsidR="00400975">
        <w:t>r such sites</w:t>
      </w:r>
      <w:r w:rsidRPr="00516FA5">
        <w:t xml:space="preserve">. </w:t>
      </w:r>
      <w:r w:rsidR="00400975">
        <w:t xml:space="preserve">While the REA welcomed the UK Government’s </w:t>
      </w:r>
      <w:r w:rsidR="00E733CE">
        <w:t>consultation</w:t>
      </w:r>
      <w:r w:rsidR="00400975">
        <w:t xml:space="preserve"> on transitional arrangements for large-scale biomass power generator</w:t>
      </w:r>
      <w:r w:rsidR="00E733CE">
        <w:t xml:space="preserve">s, clarity is needed about potential support for sub-100MW generators. </w:t>
      </w:r>
    </w:p>
    <w:p w14:paraId="3338F8BB" w14:textId="77777777" w:rsidR="006E6B4B" w:rsidRPr="00516FA5" w:rsidRDefault="006E6B4B" w:rsidP="00516FA5"/>
    <w:p w14:paraId="2ACCB1B0" w14:textId="163C6E62" w:rsidR="000D417A" w:rsidRPr="00206446" w:rsidRDefault="000D417A" w:rsidP="000D417A">
      <w:pPr>
        <w:pStyle w:val="ListParagraph"/>
        <w:numPr>
          <w:ilvl w:val="0"/>
          <w:numId w:val="44"/>
        </w:numPr>
        <w:rPr>
          <w:b/>
          <w:bCs/>
        </w:rPr>
      </w:pPr>
      <w:r w:rsidRPr="00206446">
        <w:rPr>
          <w:b/>
          <w:bCs/>
        </w:rPr>
        <w:t>Can you provide best practice examples which could help integrate energy crops within the landscape and within the agriculture sector?</w:t>
      </w:r>
    </w:p>
    <w:p w14:paraId="664299F7" w14:textId="77777777" w:rsidR="009A4F50" w:rsidRDefault="009A4F50" w:rsidP="00B371A6"/>
    <w:p w14:paraId="6C466F6A" w14:textId="6B80514D" w:rsidR="00E258DC" w:rsidRDefault="4E4CDF20" w:rsidP="00B371A6">
      <w:r>
        <w:t xml:space="preserve">Where they can, anaerobic digestion plants are increasingly working with farming businesses to instigate the adoption of wider cropping rotations, with gaps between energy and food crops filled with cover crops. </w:t>
      </w:r>
      <w:r w:rsidR="00583674">
        <w:t>C</w:t>
      </w:r>
      <w:r>
        <w:t xml:space="preserve">over crops </w:t>
      </w:r>
      <w:r w:rsidR="00583674">
        <w:t>can hold</w:t>
      </w:r>
      <w:r>
        <w:t xml:space="preserve"> plant nutrients, water and helping to build soil organic matter. In addition, crops which are established using methods that minimise soil disturbance further help farmers limit carbon release from soils and along with this more generative farming can help farming businesses achieve a neutral or even negative carbon footprint. </w:t>
      </w:r>
    </w:p>
    <w:p w14:paraId="1CE3A9B5" w14:textId="77777777" w:rsidR="00E258DC" w:rsidRDefault="00E258DC" w:rsidP="00B371A6"/>
    <w:p w14:paraId="60548D44" w14:textId="21AC76D0" w:rsidR="00E258DC" w:rsidRDefault="4E4CDF20" w:rsidP="00B371A6">
      <w:r>
        <w:t xml:space="preserve">In addition, there are benefits to effective use of digestate as this can provide a source of nutrients and soil conditioning which when considerately applied avoid the use of fossil based and chemical fertilisers and help limit soil erosion by adding organic matter and soil structure whilst also improving water retention and crop health. </w:t>
      </w:r>
    </w:p>
    <w:p w14:paraId="500E5907" w14:textId="20A4BA3A" w:rsidR="00E258DC" w:rsidRDefault="00E258DC" w:rsidP="6738007A"/>
    <w:p w14:paraId="341ABD66" w14:textId="39C3D47A" w:rsidR="00D236FC" w:rsidRDefault="009A4F50" w:rsidP="00B371A6">
      <w:r w:rsidRPr="009A4F50">
        <w:t xml:space="preserve">The Supergen Bioenergy Hub works with academia, industry, </w:t>
      </w:r>
      <w:r w:rsidR="00A71186">
        <w:t xml:space="preserve">and </w:t>
      </w:r>
      <w:r w:rsidR="00A71186" w:rsidRPr="009A4F50">
        <w:t>government</w:t>
      </w:r>
      <w:r w:rsidRPr="009A4F50">
        <w:t xml:space="preserve"> to develop sustainable bioenergy systems that support the UK’s transition to an affordable, resilient, low-carbon energy future.</w:t>
      </w:r>
      <w:r w:rsidR="00266F16">
        <w:t xml:space="preserve"> In 2020, they produced case studies, showing how energy crops can </w:t>
      </w:r>
      <w:r w:rsidR="0052310A">
        <w:t>used effectively to produce low-carbon power.</w:t>
      </w:r>
      <w:r w:rsidR="00D236FC">
        <w:t xml:space="preserve"> An outline of </w:t>
      </w:r>
      <w:r w:rsidR="00EC4B1B">
        <w:t>the</w:t>
      </w:r>
      <w:r w:rsidR="00D236FC">
        <w:t xml:space="preserve"> relevant </w:t>
      </w:r>
      <w:r w:rsidR="00EC4B1B">
        <w:t xml:space="preserve">studies </w:t>
      </w:r>
      <w:proofErr w:type="gramStart"/>
      <w:r w:rsidR="00D236FC">
        <w:t>are</w:t>
      </w:r>
      <w:proofErr w:type="gramEnd"/>
      <w:r w:rsidR="00D236FC">
        <w:t xml:space="preserve"> included below.</w:t>
      </w:r>
    </w:p>
    <w:p w14:paraId="170E2100" w14:textId="77777777" w:rsidR="00D236FC" w:rsidRDefault="00D236FC" w:rsidP="00B371A6"/>
    <w:p w14:paraId="77CEB4FB" w14:textId="4392955E" w:rsidR="00D236FC" w:rsidRPr="00387EDA" w:rsidRDefault="004849A1" w:rsidP="00B371A6">
      <w:pPr>
        <w:rPr>
          <w:b/>
          <w:bCs/>
          <w:i/>
          <w:iCs/>
        </w:rPr>
      </w:pPr>
      <w:r w:rsidRPr="00387EDA">
        <w:rPr>
          <w:b/>
          <w:bCs/>
          <w:i/>
          <w:iCs/>
        </w:rPr>
        <w:t>Supergen Bioenergy Hub Case Study 6: Bioelectricity with Carbon Capture and Storage (CCS)</w:t>
      </w:r>
      <w:r w:rsidR="009906DD" w:rsidRPr="00387EDA">
        <w:rPr>
          <w:rStyle w:val="FootnoteReference"/>
          <w:b/>
          <w:bCs/>
          <w:i/>
          <w:iCs/>
        </w:rPr>
        <w:footnoteReference w:id="22"/>
      </w:r>
    </w:p>
    <w:p w14:paraId="0E30DF97" w14:textId="14777331" w:rsidR="00206446" w:rsidRDefault="006204F9" w:rsidP="00B371A6">
      <w:r>
        <w:t xml:space="preserve">Short rotation coppice (SRC) willow is grown in the UK over </w:t>
      </w:r>
      <w:r w:rsidR="00453BC0">
        <w:t>25–30-year</w:t>
      </w:r>
      <w:r>
        <w:t xml:space="preserve"> rotations and harvested every 3 years, producing about 7-10 tonnes of dry matter per hectare per year. The biomass is chipped for small-scale and pelletised for large-scale power plants close to the source to be transported to a power station. The biomass is combusted in boilers producing steam to power turbines to generate electricity. After combustion, the flue gas is cleaned and CO</w:t>
      </w:r>
      <w:r w:rsidR="00E61A70" w:rsidRPr="00E61A70">
        <w:t>₂</w:t>
      </w:r>
      <w:r>
        <w:t xml:space="preserve"> is separated from the flue gas via post combustion capture chemicals, then compressed and transported in pipelines to a geological reservoir. The electricity is fed directly into the UK power grid and the CO</w:t>
      </w:r>
      <w:r w:rsidR="00E61A70" w:rsidRPr="00E61A70">
        <w:t>₂</w:t>
      </w:r>
      <w:r>
        <w:t xml:space="preserve"> is stored in a geological reservoir. </w:t>
      </w:r>
    </w:p>
    <w:p w14:paraId="4F6EE94B" w14:textId="77777777" w:rsidR="00206446" w:rsidRPr="008A1E71" w:rsidRDefault="00206446" w:rsidP="00B371A6">
      <w:pPr>
        <w:rPr>
          <w:b/>
          <w:bCs/>
        </w:rPr>
      </w:pPr>
    </w:p>
    <w:p w14:paraId="7D169AA6" w14:textId="61D4523A" w:rsidR="008A1E71" w:rsidRPr="00387EDA" w:rsidRDefault="008A1E71" w:rsidP="00B371A6">
      <w:pPr>
        <w:rPr>
          <w:b/>
          <w:bCs/>
          <w:i/>
          <w:iCs/>
        </w:rPr>
      </w:pPr>
      <w:r w:rsidRPr="00387EDA">
        <w:rPr>
          <w:b/>
          <w:bCs/>
          <w:i/>
          <w:iCs/>
        </w:rPr>
        <w:t>Supergen Bioenergy Hub Case Study 1: Hydrogen Fuel Cell</w:t>
      </w:r>
      <w:r w:rsidR="009906DD" w:rsidRPr="00387EDA">
        <w:rPr>
          <w:rStyle w:val="FootnoteReference"/>
          <w:b/>
          <w:bCs/>
          <w:i/>
          <w:iCs/>
        </w:rPr>
        <w:footnoteReference w:id="23"/>
      </w:r>
    </w:p>
    <w:p w14:paraId="645FADDD" w14:textId="3FD5F934" w:rsidR="008A1E71" w:rsidRDefault="003921F1" w:rsidP="00B371A6">
      <w:r w:rsidRPr="003921F1">
        <w:t xml:space="preserve">Miscanthus is grown as a perennial crop in the UK on agricultural land. The typical lifetime is 15 </w:t>
      </w:r>
      <w:r w:rsidR="001637D4" w:rsidRPr="003921F1">
        <w:t>years,</w:t>
      </w:r>
      <w:r w:rsidRPr="003921F1">
        <w:t xml:space="preserve"> and the crop is harvested every year producing about 13 tonnes of dry matter per hectare per year. Alternatively agricultural residues such as straw from cereal crop production or forest residues are used as feedstocks. The feedstocks are baled close to the source and transported to a gasification facility. In an entrained flow gasification </w:t>
      </w:r>
      <w:r w:rsidR="001637D4" w:rsidRPr="003921F1">
        <w:t>system,</w:t>
      </w:r>
      <w:r w:rsidRPr="003921F1">
        <w:t xml:space="preserve"> the biomass is converted to produce a syngas mixture of carbon dioxide (CO</w:t>
      </w:r>
      <w:r w:rsidR="001637D4" w:rsidRPr="001637D4">
        <w:t>₂</w:t>
      </w:r>
      <w:r w:rsidRPr="003921F1">
        <w:t>) and hydrogen (H2). In the next step, the flue gas will be upgraded to separate and capture the CO</w:t>
      </w:r>
      <w:r w:rsidR="001637D4" w:rsidRPr="001637D4">
        <w:t xml:space="preserve">₂ </w:t>
      </w:r>
      <w:r w:rsidRPr="003921F1">
        <w:t>during the pre-combustion system. This may incorporate physical absorption process with solvents, solid state removal and pressure swing absorption (PSA), catalytic upgrading, plasma treatment or a combination and range of methods appropriate to the gas composition and desired quality. The captured CO</w:t>
      </w:r>
      <w:r w:rsidR="001637D4" w:rsidRPr="001637D4">
        <w:t xml:space="preserve">₂ </w:t>
      </w:r>
      <w:r w:rsidRPr="003921F1">
        <w:t xml:space="preserve">will be separated from the solvent/sorbent, compressed, and then transported via pipeline/surface transport/ships to its final storage reservoir. The hydrogen-rich syngas will be electrochemically converted at high efficiency in a fuel cell to produce heat and/or power. Alternatively, the hydrogen-powered fuel cell can also be used for transport. </w:t>
      </w:r>
    </w:p>
    <w:p w14:paraId="611529C2" w14:textId="77777777" w:rsidR="00E60AC1" w:rsidRDefault="00E60AC1" w:rsidP="00B371A6"/>
    <w:p w14:paraId="38448BA2" w14:textId="67E3AC18" w:rsidR="00720201" w:rsidRDefault="00DE6BD8" w:rsidP="00720201">
      <w:r>
        <w:t xml:space="preserve">In addition to the case studies above, energy crops, like miscanthus, can improve soil health. </w:t>
      </w:r>
      <w:r w:rsidR="00204CE8">
        <w:t xml:space="preserve">The amount of carbon </w:t>
      </w:r>
      <w:r w:rsidR="00D72047">
        <w:t>stored</w:t>
      </w:r>
      <w:r w:rsidR="00204CE8">
        <w:t xml:space="preserve"> in soils is </w:t>
      </w:r>
      <w:r w:rsidR="00D72047">
        <w:t>twice as great as that stored in the atmosphere</w:t>
      </w:r>
      <w:r w:rsidR="00911EBA">
        <w:t xml:space="preserve">. </w:t>
      </w:r>
      <w:r w:rsidR="00285C11">
        <w:t>As such, a</w:t>
      </w:r>
      <w:r w:rsidR="00447C29">
        <w:t>ny type of soil disturbance, including cultivation</w:t>
      </w:r>
      <w:r w:rsidR="002E6771">
        <w:t xml:space="preserve"> </w:t>
      </w:r>
      <w:r w:rsidR="00447C29">
        <w:t>and ploughing, is likely to cause temporary losses of soil organic carbon</w:t>
      </w:r>
      <w:r w:rsidR="006F1743">
        <w:t xml:space="preserve"> (SOC)</w:t>
      </w:r>
      <w:r w:rsidR="00447C29">
        <w:t>.</w:t>
      </w:r>
      <w:r w:rsidR="009929AB">
        <w:t xml:space="preserve"> R</w:t>
      </w:r>
      <w:r w:rsidR="00447C29">
        <w:t>ecurrent annual disturbance under arable agriculture</w:t>
      </w:r>
      <w:r w:rsidR="002E6771">
        <w:t xml:space="preserve"> </w:t>
      </w:r>
      <w:r w:rsidR="00447C29">
        <w:t xml:space="preserve">lowers the amount of </w:t>
      </w:r>
      <w:r w:rsidR="00624186">
        <w:t>SOC</w:t>
      </w:r>
      <w:r w:rsidR="00447C29">
        <w:t>.</w:t>
      </w:r>
      <w:r w:rsidR="009929AB">
        <w:t xml:space="preserve"> </w:t>
      </w:r>
      <w:r w:rsidR="004C367F">
        <w:t>C</w:t>
      </w:r>
      <w:r w:rsidR="00447C29">
        <w:t xml:space="preserve">onverting arable land to Miscanthus </w:t>
      </w:r>
      <w:r w:rsidR="004C367F">
        <w:t>can</w:t>
      </w:r>
      <w:r w:rsidR="00447C29">
        <w:t xml:space="preserve"> boost carbon</w:t>
      </w:r>
      <w:r w:rsidR="002E6771">
        <w:t xml:space="preserve"> </w:t>
      </w:r>
      <w:r w:rsidR="004C367F">
        <w:t xml:space="preserve">sequestration, which in turn can improve </w:t>
      </w:r>
      <w:r w:rsidR="00447C29">
        <w:t>soil quality, soil texture, water retention, and fertility</w:t>
      </w:r>
      <w:r w:rsidR="00A9658C">
        <w:t>,</w:t>
      </w:r>
      <w:r w:rsidR="00447C29">
        <w:t xml:space="preserve"> as well as increases in soil organic matter.</w:t>
      </w:r>
      <w:r w:rsidR="00E16315">
        <w:rPr>
          <w:rStyle w:val="FootnoteReference"/>
        </w:rPr>
        <w:footnoteReference w:id="24"/>
      </w:r>
      <w:r w:rsidR="00447C29">
        <w:t xml:space="preserve"> </w:t>
      </w:r>
      <w:r w:rsidR="00A9658C">
        <w:t>In addition</w:t>
      </w:r>
      <w:r w:rsidR="00447C29">
        <w:t>, the extensive root systems of Miscanthus result in significant belowground biomass storage, which enhances the ability of these plantations to mitigate climate</w:t>
      </w:r>
      <w:r w:rsidR="0011117F">
        <w:t xml:space="preserve"> </w:t>
      </w:r>
      <w:r w:rsidR="00447C29">
        <w:t xml:space="preserve">change. </w:t>
      </w:r>
    </w:p>
    <w:p w14:paraId="504E28B5" w14:textId="77777777" w:rsidR="00E142F2" w:rsidRDefault="00E142F2" w:rsidP="00447C29"/>
    <w:p w14:paraId="09C9855B" w14:textId="3B3EEE11" w:rsidR="000D417A" w:rsidRPr="003E04EF" w:rsidRDefault="000D417A" w:rsidP="000D417A">
      <w:pPr>
        <w:pStyle w:val="ListParagraph"/>
        <w:numPr>
          <w:ilvl w:val="0"/>
          <w:numId w:val="44"/>
        </w:numPr>
        <w:rPr>
          <w:b/>
          <w:bCs/>
        </w:rPr>
      </w:pPr>
      <w:r w:rsidRPr="003E04EF">
        <w:rPr>
          <w:b/>
          <w:bCs/>
        </w:rPr>
        <w:t>Can you provide best practice examples which could help restore and regenerate biodiversity, alongside energy crops?</w:t>
      </w:r>
    </w:p>
    <w:p w14:paraId="042930B9" w14:textId="77777777" w:rsidR="000D417A" w:rsidRPr="000D417A" w:rsidRDefault="000D417A" w:rsidP="000D417A">
      <w:pPr>
        <w:pStyle w:val="ListParagraph"/>
        <w:rPr>
          <w:b/>
          <w:bCs/>
        </w:rPr>
      </w:pPr>
    </w:p>
    <w:p w14:paraId="6AC80484" w14:textId="0C373377" w:rsidR="004D3EA8" w:rsidRDefault="002911FF" w:rsidP="000D417A">
      <w:r>
        <w:t xml:space="preserve">Buffer </w:t>
      </w:r>
      <w:r w:rsidR="007B1CD9">
        <w:t>strips</w:t>
      </w:r>
      <w:r>
        <w:t xml:space="preserve"> are areas of land</w:t>
      </w:r>
      <w:r w:rsidR="00051D65" w:rsidRPr="00051D65">
        <w:t xml:space="preserve"> either left uncultivated or planted with perennial grasses, </w:t>
      </w:r>
      <w:r w:rsidR="00B946CD" w:rsidRPr="00051D65">
        <w:t>shrubs,</w:t>
      </w:r>
      <w:r w:rsidR="00051D65" w:rsidRPr="00051D65">
        <w:t xml:space="preserve"> and trees. Planting strips of perennial biomass crops on existing agricultural land can provide </w:t>
      </w:r>
      <w:r w:rsidR="007B1CD9" w:rsidRPr="00051D65">
        <w:t>several</w:t>
      </w:r>
      <w:r w:rsidR="00051D65" w:rsidRPr="00051D65">
        <w:t xml:space="preserve"> important benefits in terms of flood management, soil recovery and improvements in biodiversity, in addition to providing a harvestable resource. </w:t>
      </w:r>
      <w:r w:rsidR="001C0931" w:rsidRPr="001C0931">
        <w:t xml:space="preserve">Agroforestry systems </w:t>
      </w:r>
      <w:r w:rsidR="00CA13A9">
        <w:t xml:space="preserve">can also </w:t>
      </w:r>
      <w:r w:rsidR="001C0931" w:rsidRPr="001C0931">
        <w:t>provide effective windbreaks, wildlife corridors</w:t>
      </w:r>
      <w:r w:rsidR="007B1CD9">
        <w:t xml:space="preserve">, </w:t>
      </w:r>
      <w:r w:rsidR="001C0931" w:rsidRPr="001C0931">
        <w:t xml:space="preserve">and enhance the natural regulation of pests. </w:t>
      </w:r>
    </w:p>
    <w:p w14:paraId="49BDE6F4" w14:textId="77777777" w:rsidR="00CC4954" w:rsidRDefault="00CC4954" w:rsidP="000D417A"/>
    <w:p w14:paraId="719B5153" w14:textId="2D582DB5" w:rsidR="002911FF" w:rsidRDefault="1B67D891" w:rsidP="002911FF">
      <w:r>
        <w:t>Buffer strips containing tall grasses, trees or shrubs act as a physical barrier which slows the run-off of surface water following heavy rains making them effective natural flood management strategies – something that is likely to be increasingly important as we tackle climate change. Similarly, i</w:t>
      </w:r>
      <w:r w:rsidRPr="002911FF">
        <w:t xml:space="preserve">n areas where agricultural land is more intensively managed, nitrate and phosphorous leaching and run-off is known to be a main source of pollution </w:t>
      </w:r>
      <w:r>
        <w:t>in</w:t>
      </w:r>
      <w:r w:rsidRPr="002911FF">
        <w:t xml:space="preserve"> lakes and waterways. Deep rooting perennial plants and tree species can act as a biological filter which take up and utilise nutrients before they enter watercourses.</w:t>
      </w:r>
      <w:r w:rsidR="007B1CD9">
        <w:rPr>
          <w:rStyle w:val="FootnoteReference"/>
        </w:rPr>
        <w:footnoteReference w:id="25"/>
      </w:r>
    </w:p>
    <w:p w14:paraId="1DE1300D" w14:textId="77777777" w:rsidR="00690933" w:rsidRDefault="00690933" w:rsidP="002911FF"/>
    <w:p w14:paraId="6233B713" w14:textId="62DE667F" w:rsidR="004041AA" w:rsidRPr="004041AA" w:rsidRDefault="00690933" w:rsidP="004041AA">
      <w:r>
        <w:t>The application of compost to soils has many benefits to soil health alongside biodiversity</w:t>
      </w:r>
      <w:r w:rsidR="00556B08">
        <w:t xml:space="preserve"> and its use should be encouraged and incentivi</w:t>
      </w:r>
      <w:r w:rsidR="005169FF">
        <w:t>sed</w:t>
      </w:r>
      <w:r>
        <w:t xml:space="preserve">. Compost </w:t>
      </w:r>
      <w:r w:rsidR="00D52146" w:rsidRPr="00D52146">
        <w:t>can improve soil structure by increasing porosity, water-holding capacity, and reducing soil compaction. This creates better conditions for root growth, water retention, improves plant health and makes soils more resistant to erosion and climate extremes such as drought and flooding</w:t>
      </w:r>
      <w:r w:rsidR="00D52146">
        <w:t>.</w:t>
      </w:r>
      <w:r w:rsidR="00556B08" w:rsidRPr="00556B08">
        <w:rPr>
          <w:rFonts w:ascii="Open Sans" w:eastAsiaTheme="minorEastAsia" w:hAnsi="Open Sans" w:cs="Open Sans"/>
          <w:kern w:val="2"/>
          <w:lang w:eastAsia="zh-CN"/>
          <w14:ligatures w14:val="standardContextual"/>
        </w:rPr>
        <w:t xml:space="preserve"> </w:t>
      </w:r>
      <w:r w:rsidR="00556B08" w:rsidRPr="00556B08">
        <w:t>Compost contains beneficial microorganisms that boost soil biodiversity and protect against disease. They can enhance the soil’s natural processes such as nutrient cycling and help promote healthy plant growt</w:t>
      </w:r>
      <w:r w:rsidR="00885FA0">
        <w:t>h</w:t>
      </w:r>
      <w:r w:rsidR="004041AA" w:rsidRPr="004041AA">
        <w:t>. Compost offers a sustainable alternative to chemical fertilisers by providing essential nutrients to plants in a slow-release form. By enriching soil fertility, compost reduces the need for chemical fertilisers, thereby lowering the carbon footprint of agriculture and promoting ecosystem health.</w:t>
      </w:r>
    </w:p>
    <w:p w14:paraId="06B81C63" w14:textId="77777777" w:rsidR="00CC4954" w:rsidRDefault="00CC4954" w:rsidP="000D417A"/>
    <w:p w14:paraId="1AACBFE8" w14:textId="6791FEF8" w:rsidR="00E9235C" w:rsidRDefault="225C9C7D" w:rsidP="000D417A">
      <w:r>
        <w:t>Please refer to our response to question 10, setting out how a</w:t>
      </w:r>
      <w:r w:rsidR="20804A3A">
        <w:t>naerobic digestion plants are working with farm</w:t>
      </w:r>
      <w:r w:rsidR="08A7C6EA">
        <w:t xml:space="preserve">ing businesses to </w:t>
      </w:r>
      <w:r w:rsidR="4C17AD5E">
        <w:t xml:space="preserve">restore and regenerate biodiversity via the use of cover crops.  </w:t>
      </w:r>
    </w:p>
    <w:p w14:paraId="4286217D" w14:textId="77777777" w:rsidR="00D578C5" w:rsidRDefault="00D578C5" w:rsidP="000D417A"/>
    <w:p w14:paraId="19A34ECB" w14:textId="498D7468" w:rsidR="00D578C5" w:rsidRPr="00CD59F7" w:rsidRDefault="00C8579C" w:rsidP="00CD59F7">
      <w:pPr>
        <w:jc w:val="right"/>
        <w:rPr>
          <w:b/>
          <w:bCs/>
        </w:rPr>
      </w:pPr>
      <w:r w:rsidRPr="00CD59F7">
        <w:rPr>
          <w:b/>
          <w:bCs/>
        </w:rPr>
        <w:t>May 2024</w:t>
      </w:r>
    </w:p>
    <w:p w14:paraId="05C2131B" w14:textId="0F8DDD91" w:rsidR="00E9235C" w:rsidRDefault="00E9235C" w:rsidP="000D417A"/>
    <w:sectPr w:rsidR="00E9235C" w:rsidSect="000E214E">
      <w:headerReference w:type="default" r:id="rId13"/>
      <w:footerReference w:type="default" r:id="rId14"/>
      <w:headerReference w:type="first" r:id="rId15"/>
      <w:footerReference w:type="first" r:id="rId16"/>
      <w:pgSz w:w="11906" w:h="16838"/>
      <w:pgMar w:top="284" w:right="1440" w:bottom="1440" w:left="1440" w:header="290"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471BB" w14:textId="77777777" w:rsidR="001B2179" w:rsidRDefault="001B2179" w:rsidP="00B31E85">
      <w:r>
        <w:separator/>
      </w:r>
    </w:p>
  </w:endnote>
  <w:endnote w:type="continuationSeparator" w:id="0">
    <w:p w14:paraId="4F3D3568" w14:textId="77777777" w:rsidR="001B2179" w:rsidRDefault="001B2179" w:rsidP="00B31E85">
      <w:r>
        <w:continuationSeparator/>
      </w:r>
    </w:p>
  </w:endnote>
  <w:endnote w:type="continuationNotice" w:id="1">
    <w:p w14:paraId="1F9E2FE0" w14:textId="77777777" w:rsidR="001B2179" w:rsidRDefault="001B2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PT-Light">
    <w:altName w:val="Arial"/>
    <w:charset w:val="00"/>
    <w:family w:val="swiss"/>
    <w:pitch w:val="variable"/>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PT-Book">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377164"/>
      <w:docPartObj>
        <w:docPartGallery w:val="Page Numbers (Bottom of Page)"/>
        <w:docPartUnique/>
      </w:docPartObj>
    </w:sdtPr>
    <w:sdtEndPr>
      <w:rPr>
        <w:color w:val="7F7F7F" w:themeColor="background1" w:themeShade="7F"/>
        <w:spacing w:val="60"/>
      </w:rPr>
    </w:sdtEndPr>
    <w:sdtContent>
      <w:p w14:paraId="4C8821A1" w14:textId="77777777" w:rsidR="00835DAE" w:rsidRDefault="00835DAE" w:rsidP="00B31E85">
        <w:pPr>
          <w:pStyle w:val="Footer"/>
          <w:rPr>
            <w:b/>
            <w:bCs/>
          </w:rPr>
        </w:pPr>
        <w:r w:rsidRPr="00835DAE">
          <w:rPr>
            <w:color w:val="2B579A"/>
            <w:shd w:val="clear" w:color="auto" w:fill="E6E6E6"/>
          </w:rPr>
          <w:fldChar w:fldCharType="begin"/>
        </w:r>
        <w:r w:rsidRPr="00835DAE">
          <w:instrText xml:space="preserve"> PAGE   \* MERGEFORMAT </w:instrText>
        </w:r>
        <w:r w:rsidRPr="00835DAE">
          <w:rPr>
            <w:color w:val="2B579A"/>
            <w:shd w:val="clear" w:color="auto" w:fill="E6E6E6"/>
          </w:rPr>
          <w:fldChar w:fldCharType="separate"/>
        </w:r>
        <w:r w:rsidRPr="00835DAE">
          <w:rPr>
            <w:b/>
            <w:bCs/>
            <w:noProof/>
          </w:rPr>
          <w:t>2</w:t>
        </w:r>
        <w:r w:rsidRPr="00835DAE">
          <w:rPr>
            <w:b/>
            <w:bCs/>
            <w:noProof/>
            <w:color w:val="2B579A"/>
            <w:shd w:val="clear" w:color="auto" w:fill="E6E6E6"/>
          </w:rPr>
          <w:fldChar w:fldCharType="end"/>
        </w:r>
        <w:r w:rsidRPr="00835DAE">
          <w:rPr>
            <w:b/>
            <w:bCs/>
          </w:rPr>
          <w:t xml:space="preserve"> | </w:t>
        </w:r>
        <w:r w:rsidRPr="00835DAE">
          <w:rPr>
            <w:color w:val="7F7F7F" w:themeColor="background1" w:themeShade="7F"/>
            <w:spacing w:val="60"/>
          </w:rPr>
          <w:t>Page</w:t>
        </w:r>
      </w:p>
    </w:sdtContent>
  </w:sdt>
  <w:p w14:paraId="1D7F0711" w14:textId="77777777" w:rsidR="00041FFC" w:rsidRPr="00835DAE" w:rsidRDefault="00041FFC" w:rsidP="00B3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FB1C4" w14:textId="77777777" w:rsidR="00835DAE" w:rsidRDefault="00835DAE" w:rsidP="00B31E85">
    <w:pPr>
      <w:pStyle w:val="BodyText"/>
    </w:pPr>
    <w:r>
      <w:rPr>
        <w:noProof/>
        <w:color w:val="2B579A"/>
        <w:shd w:val="clear" w:color="auto" w:fill="E6E6E6"/>
        <w:lang w:eastAsia="en-GB"/>
      </w:rPr>
      <mc:AlternateContent>
        <mc:Choice Requires="wpg">
          <w:drawing>
            <wp:inline distT="0" distB="0" distL="0" distR="0" wp14:anchorId="61813EDD" wp14:editId="36557C07">
              <wp:extent cx="6060440" cy="15875"/>
              <wp:effectExtent l="9525" t="9525" r="165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0440" cy="15875"/>
                        <a:chOff x="0" y="0"/>
                        <a:chExt cx="9544" cy="25"/>
                      </a:xfrm>
                    </wpg:grpSpPr>
                    <wps:wsp>
                      <wps:cNvPr id="2" name="Line 2"/>
                      <wps:cNvCnPr/>
                      <wps:spPr bwMode="auto">
                        <a:xfrm>
                          <a:off x="0" y="12"/>
                          <a:ext cx="9544" cy="0"/>
                        </a:xfrm>
                        <a:prstGeom prst="line">
                          <a:avLst/>
                        </a:prstGeom>
                        <a:noFill/>
                        <a:ln w="15672">
                          <a:solidFill>
                            <a:srgbClr val="41906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C76D66" id="Group 1" o:spid="_x0000_s1026" style="width:477.2pt;height:1.25pt;mso-position-horizontal-relative:char;mso-position-vertical-relative:line" coordsize="9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">
              <v:line id="Line 2" o:spid="_x0000_s1027" style="position:absolute;visibility:visible;mso-wrap-style:square" from="0,12" to="9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" strokecolor="#41906d" strokeweight=".43533mm"/>
              <w10:anchorlock/>
            </v:group>
          </w:pict>
        </mc:Fallback>
      </mc:AlternateContent>
    </w:r>
  </w:p>
  <w:p w14:paraId="3C838020" w14:textId="77777777" w:rsidR="00835DAE" w:rsidRPr="0096171A" w:rsidRDefault="00835DAE" w:rsidP="003A3169">
    <w:pPr>
      <w:pStyle w:val="BodyText"/>
      <w:jc w:val="center"/>
    </w:pPr>
    <w:r w:rsidRPr="0096171A">
      <w:t>THE ASSOCIATION FOR RENEWABLE ENERGY AND CLEAN TECHNOLOGY</w:t>
    </w:r>
  </w:p>
  <w:p w14:paraId="1BD70FE3" w14:textId="77777777" w:rsidR="009C2847" w:rsidRDefault="009C2847" w:rsidP="007B71B7">
    <w:pPr>
      <w:pStyle w:val="BodyText"/>
      <w:jc w:val="center"/>
    </w:pPr>
    <w:r w:rsidRPr="009C2847">
      <w:t>York House, 23 Kingsway, London WC2B 6UJ</w:t>
    </w:r>
  </w:p>
  <w:p w14:paraId="24893D26" w14:textId="77777777" w:rsidR="00835DAE" w:rsidRDefault="00835DAE" w:rsidP="007B71B7">
    <w:pPr>
      <w:pStyle w:val="BodyText"/>
      <w:jc w:val="center"/>
      <w:rPr>
        <w:color w:val="06926B"/>
        <w:sz w:val="18"/>
        <w:szCs w:val="18"/>
      </w:rPr>
    </w:pPr>
    <w:r w:rsidRPr="0096171A">
      <w:rPr>
        <w:rFonts w:ascii="FuturaPT-Book"/>
        <w:color w:val="06926B"/>
        <w:sz w:val="18"/>
        <w:szCs w:val="18"/>
      </w:rPr>
      <w:t xml:space="preserve">Tel: </w:t>
    </w:r>
    <w:r w:rsidRPr="0096171A">
      <w:rPr>
        <w:color w:val="06926B"/>
        <w:sz w:val="18"/>
        <w:szCs w:val="18"/>
      </w:rPr>
      <w:t xml:space="preserve">+44 (0)20 7925 3570 </w:t>
    </w:r>
    <w:r w:rsidRPr="0096171A">
      <w:rPr>
        <w:rFonts w:ascii="FuturaPT-Book"/>
        <w:color w:val="06926B"/>
        <w:sz w:val="18"/>
        <w:szCs w:val="18"/>
      </w:rPr>
      <w:t xml:space="preserve">Email: </w:t>
    </w:r>
    <w:hyperlink r:id="rId1">
      <w:r w:rsidRPr="0096171A">
        <w:rPr>
          <w:color w:val="06926B"/>
          <w:sz w:val="18"/>
          <w:szCs w:val="18"/>
        </w:rPr>
        <w:t>info@r-e-a.net</w:t>
      </w:r>
    </w:hyperlink>
    <w:r w:rsidRPr="0096171A">
      <w:rPr>
        <w:color w:val="06926B"/>
        <w:sz w:val="18"/>
        <w:szCs w:val="18"/>
      </w:rPr>
      <w:t xml:space="preserve"> </w:t>
    </w:r>
    <w:r w:rsidRPr="0096171A">
      <w:rPr>
        <w:rFonts w:ascii="FuturaPT-Book"/>
        <w:color w:val="06926B"/>
        <w:sz w:val="18"/>
        <w:szCs w:val="18"/>
      </w:rPr>
      <w:t xml:space="preserve">Web: </w:t>
    </w:r>
    <w:hyperlink r:id="rId2">
      <w:r w:rsidRPr="0096171A">
        <w:rPr>
          <w:color w:val="06926B"/>
          <w:sz w:val="18"/>
          <w:szCs w:val="18"/>
        </w:rPr>
        <w:t>www.r-e-a.net</w:t>
      </w:r>
    </w:hyperlink>
  </w:p>
  <w:p w14:paraId="3FFBB1CC" w14:textId="77777777" w:rsidR="00041FFC" w:rsidRDefault="00835DAE" w:rsidP="007B71B7">
    <w:pPr>
      <w:pStyle w:val="BodyText"/>
      <w:jc w:val="center"/>
    </w:pPr>
    <w:r w:rsidRPr="00041FFC">
      <w:t>Company no: 04241430</w:t>
    </w:r>
    <w:r>
      <w:t xml:space="preserve">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3BF18" w14:textId="77777777" w:rsidR="001B2179" w:rsidRDefault="001B2179" w:rsidP="00B31E85">
      <w:r>
        <w:separator/>
      </w:r>
    </w:p>
  </w:footnote>
  <w:footnote w:type="continuationSeparator" w:id="0">
    <w:p w14:paraId="714B19D6" w14:textId="77777777" w:rsidR="001B2179" w:rsidRDefault="001B2179" w:rsidP="00B31E85">
      <w:r>
        <w:continuationSeparator/>
      </w:r>
    </w:p>
  </w:footnote>
  <w:footnote w:type="continuationNotice" w:id="1">
    <w:p w14:paraId="3725E7CD" w14:textId="77777777" w:rsidR="001B2179" w:rsidRDefault="001B2179"/>
  </w:footnote>
  <w:footnote w:id="2">
    <w:p w14:paraId="5159FC65" w14:textId="4DEF1C29" w:rsidR="00A56C74" w:rsidRDefault="00A56C74">
      <w:pPr>
        <w:pStyle w:val="FootnoteText"/>
      </w:pPr>
      <w:r>
        <w:rPr>
          <w:rStyle w:val="FootnoteReference"/>
        </w:rPr>
        <w:footnoteRef/>
      </w:r>
      <w:r>
        <w:t xml:space="preserve"> </w:t>
      </w:r>
      <w:r w:rsidR="00A3264B">
        <w:t xml:space="preserve">Sustainable Biomass Program, </w:t>
      </w:r>
      <w:hyperlink r:id="rId1" w:history="1">
        <w:r w:rsidR="00A3264B" w:rsidRPr="00F2534F">
          <w:rPr>
            <w:rStyle w:val="Hyperlink"/>
          </w:rPr>
          <w:t>https://sbp-cert.org/</w:t>
        </w:r>
      </w:hyperlink>
      <w:r w:rsidR="00A3264B">
        <w:t xml:space="preserve"> </w:t>
      </w:r>
    </w:p>
  </w:footnote>
  <w:footnote w:id="3">
    <w:p w14:paraId="02C6A9E8" w14:textId="77777777" w:rsidR="00F86566" w:rsidRDefault="00F86566" w:rsidP="00F86566">
      <w:pPr>
        <w:pStyle w:val="FootnoteText"/>
      </w:pPr>
      <w:r>
        <w:rPr>
          <w:rStyle w:val="FootnoteReference"/>
        </w:rPr>
        <w:footnoteRef/>
      </w:r>
      <w:r>
        <w:t xml:space="preserve"> Council of the European Union, (2018) </w:t>
      </w:r>
      <w:r w:rsidRPr="000574D4">
        <w:rPr>
          <w:i/>
          <w:iCs/>
        </w:rPr>
        <w:t xml:space="preserve">“Guidance on cascading use of biomass with selected good practice examples on woody biomass”, </w:t>
      </w:r>
      <w:hyperlink r:id="rId2" w:history="1">
        <w:r w:rsidRPr="00F2534F">
          <w:rPr>
            <w:rStyle w:val="Hyperlink"/>
          </w:rPr>
          <w:t>https://data.consilium.europa.eu/doc/document/ST-14544-2018-INIT/en/pdf</w:t>
        </w:r>
      </w:hyperlink>
      <w:r>
        <w:t xml:space="preserve"> </w:t>
      </w:r>
    </w:p>
  </w:footnote>
  <w:footnote w:id="4">
    <w:p w14:paraId="1C65EA31" w14:textId="77777777" w:rsidR="0042773F" w:rsidRDefault="0042773F" w:rsidP="0042773F">
      <w:pPr>
        <w:pStyle w:val="FootnoteText"/>
      </w:pPr>
      <w:r>
        <w:rPr>
          <w:rStyle w:val="FootnoteReference"/>
        </w:rPr>
        <w:footnoteRef/>
      </w:r>
      <w:r>
        <w:t xml:space="preserve"> 28 times more potent over 100 years and 80 times more potent over 20 years (sources: IPCC and Global Methane Pledge)</w:t>
      </w:r>
    </w:p>
  </w:footnote>
  <w:footnote w:id="5">
    <w:p w14:paraId="0CD60D94" w14:textId="77777777" w:rsidR="0042773F" w:rsidRDefault="0042773F" w:rsidP="0042773F">
      <w:pPr>
        <w:pStyle w:val="FootnoteText"/>
      </w:pPr>
      <w:r>
        <w:rPr>
          <w:rStyle w:val="FootnoteReference"/>
        </w:rPr>
        <w:footnoteRef/>
      </w:r>
      <w:r>
        <w:t xml:space="preserve"> Unpublished analysis by WSP. Figure quoted uses central carbon prices from 2021 green book: </w:t>
      </w:r>
      <w:proofErr w:type="gramStart"/>
      <w:r>
        <w:t>https://assets.publishing.service.gov.uk/media/6567994fcc1ec5000d8eef17/data-tables-1-19.xlsx</w:t>
      </w:r>
      <w:proofErr w:type="gramEnd"/>
    </w:p>
  </w:footnote>
  <w:footnote w:id="6">
    <w:p w14:paraId="60F6CB4E" w14:textId="40CDFC3F" w:rsidR="008E5F8F" w:rsidRDefault="008E5F8F" w:rsidP="006B722F">
      <w:pPr>
        <w:pStyle w:val="FootnoteText"/>
      </w:pPr>
      <w:r>
        <w:rPr>
          <w:rStyle w:val="FootnoteReference"/>
        </w:rPr>
        <w:footnoteRef/>
      </w:r>
      <w:r>
        <w:t xml:space="preserve"> </w:t>
      </w:r>
      <w:r w:rsidR="00622F6B">
        <w:t>Future Biogas</w:t>
      </w:r>
      <w:r w:rsidR="006B722F" w:rsidRPr="006B722F">
        <w:rPr>
          <w:i/>
          <w:iCs/>
        </w:rPr>
        <w:t xml:space="preserve">, “Bioenergy with Carbon Capture and Storage: </w:t>
      </w:r>
      <w:r w:rsidR="00D90302" w:rsidRPr="006B722F">
        <w:rPr>
          <w:i/>
          <w:iCs/>
        </w:rPr>
        <w:t>A</w:t>
      </w:r>
      <w:r w:rsidR="006B722F" w:rsidRPr="006B722F">
        <w:rPr>
          <w:i/>
          <w:iCs/>
        </w:rPr>
        <w:t xml:space="preserve"> New Generation of Anaerobic Digestion Plants”,</w:t>
      </w:r>
      <w:r w:rsidR="006B722F">
        <w:t xml:space="preserve"> </w:t>
      </w:r>
      <w:hyperlink r:id="rId3" w:history="1">
        <w:r w:rsidR="00D90302" w:rsidRPr="000B5A15">
          <w:rPr>
            <w:rStyle w:val="Hyperlink"/>
          </w:rPr>
          <w:t>https://www.futurebiogas.com/beccs/</w:t>
        </w:r>
      </w:hyperlink>
      <w:r w:rsidR="00D90302">
        <w:t xml:space="preserve"> </w:t>
      </w:r>
    </w:p>
  </w:footnote>
  <w:footnote w:id="7">
    <w:p w14:paraId="429499A1" w14:textId="1473F28E" w:rsidR="00A33D3F" w:rsidRDefault="00A33D3F" w:rsidP="00A33D3F">
      <w:pPr>
        <w:pStyle w:val="FootnoteText"/>
      </w:pPr>
      <w:r>
        <w:rPr>
          <w:rStyle w:val="FootnoteReference"/>
        </w:rPr>
        <w:footnoteRef/>
      </w:r>
      <w:r>
        <w:t xml:space="preserve"> </w:t>
      </w:r>
      <w:r w:rsidRPr="00220257">
        <w:rPr>
          <w:rFonts w:ascii="Open Sans" w:hAnsi="Open Sans" w:cs="Open Sans"/>
          <w:sz w:val="18"/>
          <w:szCs w:val="18"/>
        </w:rPr>
        <w:t xml:space="preserve">CCC (2019) </w:t>
      </w:r>
      <w:r w:rsidR="00D51ACD" w:rsidRPr="00D51ACD">
        <w:rPr>
          <w:rFonts w:ascii="Open Sans" w:hAnsi="Open Sans" w:cs="Open Sans"/>
          <w:i/>
          <w:iCs/>
          <w:sz w:val="18"/>
          <w:szCs w:val="18"/>
        </w:rPr>
        <w:t>“</w:t>
      </w:r>
      <w:r w:rsidRPr="00D51ACD">
        <w:rPr>
          <w:rFonts w:ascii="Open Sans" w:hAnsi="Open Sans" w:cs="Open Sans"/>
          <w:i/>
          <w:iCs/>
          <w:sz w:val="18"/>
          <w:szCs w:val="18"/>
        </w:rPr>
        <w:t>Net Zero – The UK’s Contribution to stopping global warming</w:t>
      </w:r>
      <w:r w:rsidR="00D51ACD" w:rsidRPr="00D51ACD">
        <w:rPr>
          <w:rFonts w:ascii="Open Sans" w:hAnsi="Open Sans" w:cs="Open Sans"/>
          <w:i/>
          <w:iCs/>
          <w:sz w:val="18"/>
          <w:szCs w:val="18"/>
        </w:rPr>
        <w:t>”</w:t>
      </w:r>
      <w:r w:rsidRPr="00D51ACD">
        <w:rPr>
          <w:rFonts w:ascii="Open Sans" w:hAnsi="Open Sans" w:cs="Open Sans"/>
          <w:i/>
          <w:iCs/>
          <w:sz w:val="18"/>
          <w:szCs w:val="18"/>
        </w:rPr>
        <w:t xml:space="preserve">, </w:t>
      </w:r>
      <w:hyperlink r:id="rId4" w:history="1">
        <w:r w:rsidR="00D51ACD" w:rsidRPr="000B5A15">
          <w:rPr>
            <w:rStyle w:val="Hyperlink"/>
            <w:rFonts w:ascii="Open Sans" w:hAnsi="Open Sans" w:cs="Open Sans"/>
            <w:sz w:val="18"/>
            <w:szCs w:val="18"/>
          </w:rPr>
          <w:t>https://www.theccc.org.uk/publication/net-zero-the-uks-contribution-to-stopping-global-warming/</w:t>
        </w:r>
      </w:hyperlink>
      <w:r w:rsidR="00D51ACD">
        <w:rPr>
          <w:rFonts w:ascii="Open Sans" w:hAnsi="Open Sans" w:cs="Open Sans"/>
          <w:sz w:val="18"/>
          <w:szCs w:val="18"/>
        </w:rPr>
        <w:t xml:space="preserve"> </w:t>
      </w:r>
    </w:p>
  </w:footnote>
  <w:footnote w:id="8">
    <w:p w14:paraId="0A8DB4F1" w14:textId="4FB828AA" w:rsidR="003E279F" w:rsidRDefault="003E279F">
      <w:pPr>
        <w:pStyle w:val="FootnoteText"/>
      </w:pPr>
      <w:r>
        <w:rPr>
          <w:rStyle w:val="FootnoteReference"/>
        </w:rPr>
        <w:footnoteRef/>
      </w:r>
      <w:r>
        <w:t xml:space="preserve"> House of Commons Library (2023) Constituency data: Households off the gas grid </w:t>
      </w:r>
      <w:hyperlink r:id="rId5" w:history="1">
        <w:r w:rsidRPr="00CD4DBB">
          <w:rPr>
            <w:rStyle w:val="Hyperlink"/>
          </w:rPr>
          <w:t>https://commonslibrary.parliament.uk/constituency-data-households-off-the-gas-grid</w:t>
        </w:r>
      </w:hyperlink>
      <w:r>
        <w:t xml:space="preserve"> </w:t>
      </w:r>
    </w:p>
  </w:footnote>
  <w:footnote w:id="9">
    <w:p w14:paraId="35131ECE" w14:textId="77777777" w:rsidR="00B93F1D" w:rsidRDefault="00B93F1D" w:rsidP="00B93F1D">
      <w:pPr>
        <w:pStyle w:val="FootnoteText"/>
      </w:pPr>
      <w:r>
        <w:rPr>
          <w:rStyle w:val="FootnoteReference"/>
        </w:rPr>
        <w:footnoteRef/>
      </w:r>
      <w:r>
        <w:t xml:space="preserve"> Scottish Government (2023) Scottish House Condition Survey: 2021 Key Findings https://www.gov.scot/publications/scottish-house-condition-survey-2021-key-findings/pages/3-fuel-poverty/</w:t>
      </w:r>
    </w:p>
  </w:footnote>
  <w:footnote w:id="10">
    <w:p w14:paraId="65E6A39A" w14:textId="70C86F7D" w:rsidR="00C1668C" w:rsidRDefault="00C1668C">
      <w:pPr>
        <w:pStyle w:val="FootnoteText"/>
      </w:pPr>
      <w:r>
        <w:rPr>
          <w:rStyle w:val="FootnoteReference"/>
        </w:rPr>
        <w:footnoteRef/>
      </w:r>
      <w:r>
        <w:t xml:space="preserve"> </w:t>
      </w:r>
      <w:r w:rsidRPr="00C92666">
        <w:t>DESNZ (2023)</w:t>
      </w:r>
      <w:r>
        <w:t>, “</w:t>
      </w:r>
      <w:r w:rsidRPr="009F37E9">
        <w:rPr>
          <w:i/>
          <w:iCs/>
        </w:rPr>
        <w:t xml:space="preserve">Digest of UK </w:t>
      </w:r>
      <w:r>
        <w:rPr>
          <w:i/>
          <w:iCs/>
        </w:rPr>
        <w:t>E</w:t>
      </w:r>
      <w:r w:rsidRPr="009F37E9">
        <w:rPr>
          <w:i/>
          <w:iCs/>
        </w:rPr>
        <w:t>nergy Statistics</w:t>
      </w:r>
      <w:r>
        <w:rPr>
          <w:i/>
          <w:iCs/>
        </w:rPr>
        <w:t>”</w:t>
      </w:r>
      <w:r w:rsidRPr="00C92666">
        <w:t xml:space="preserve">, </w:t>
      </w:r>
      <w:hyperlink r:id="rId6" w:history="1">
        <w:r w:rsidRPr="00C92666">
          <w:rPr>
            <w:rStyle w:val="Hyperlink"/>
          </w:rPr>
          <w:t>https://www.gov.uk/government/collections/digest-of-uk-energy-statistics-dukes</w:t>
        </w:r>
      </w:hyperlink>
    </w:p>
  </w:footnote>
  <w:footnote w:id="11">
    <w:p w14:paraId="44ABB1E0" w14:textId="77777777" w:rsidR="00FE6B1D" w:rsidRDefault="00FE6B1D" w:rsidP="00FE6B1D">
      <w:pPr>
        <w:pStyle w:val="FootnoteText"/>
      </w:pPr>
      <w:r>
        <w:rPr>
          <w:rStyle w:val="FootnoteReference"/>
        </w:rPr>
        <w:footnoteRef/>
      </w:r>
      <w:r>
        <w:t xml:space="preserve"> Climate Committee Change, (2020) </w:t>
      </w:r>
      <w:r w:rsidRPr="00CF70F3">
        <w:rPr>
          <w:i/>
          <w:iCs/>
        </w:rPr>
        <w:t>“Sixth Carbon Budget”,</w:t>
      </w:r>
      <w:r>
        <w:t xml:space="preserve"> </w:t>
      </w:r>
      <w:hyperlink r:id="rId7" w:anchor="key-recommendations" w:history="1">
        <w:r w:rsidRPr="00D21D7A">
          <w:rPr>
            <w:rStyle w:val="Hyperlink"/>
          </w:rPr>
          <w:t>https://www.theccc.org.uk/publication/sixth-carbon-budget/#key-recommendations</w:t>
        </w:r>
      </w:hyperlink>
      <w:r>
        <w:t xml:space="preserve"> </w:t>
      </w:r>
    </w:p>
  </w:footnote>
  <w:footnote w:id="12">
    <w:p w14:paraId="09D3AA0E" w14:textId="77777777" w:rsidR="00FE6B1D" w:rsidRDefault="00FE6B1D" w:rsidP="00FE6B1D">
      <w:pPr>
        <w:pStyle w:val="FootnoteText"/>
      </w:pPr>
      <w:r>
        <w:rPr>
          <w:rStyle w:val="FootnoteReference"/>
        </w:rPr>
        <w:footnoteRef/>
      </w:r>
      <w:r>
        <w:t xml:space="preserve"> International Energy Agency, (May 2021) “</w:t>
      </w:r>
      <w:r w:rsidRPr="00CF70F3">
        <w:rPr>
          <w:i/>
          <w:iCs/>
        </w:rPr>
        <w:t>Net Zero by 2050</w:t>
      </w:r>
      <w:r>
        <w:rPr>
          <w:i/>
          <w:iCs/>
        </w:rPr>
        <w:t>”</w:t>
      </w:r>
      <w:r>
        <w:t xml:space="preserve">, </w:t>
      </w:r>
      <w:hyperlink r:id="rId8" w:history="1">
        <w:r w:rsidRPr="00D21D7A">
          <w:rPr>
            <w:rStyle w:val="Hyperlink"/>
          </w:rPr>
          <w:t>https://www.iea.org/reports/net-zero-by-2050</w:t>
        </w:r>
      </w:hyperlink>
      <w:r>
        <w:t xml:space="preserve"> </w:t>
      </w:r>
    </w:p>
  </w:footnote>
  <w:footnote w:id="13">
    <w:p w14:paraId="182FA019" w14:textId="77777777" w:rsidR="00FE6B1D" w:rsidRPr="00472E1F" w:rsidRDefault="00FE6B1D" w:rsidP="00FE6B1D">
      <w:pPr>
        <w:pStyle w:val="FootnoteText"/>
        <w:rPr>
          <w:lang w:val="fr-FR"/>
        </w:rPr>
      </w:pPr>
      <w:r>
        <w:rPr>
          <w:rStyle w:val="FootnoteReference"/>
        </w:rPr>
        <w:footnoteRef/>
      </w:r>
      <w:r w:rsidRPr="00472E1F">
        <w:rPr>
          <w:lang w:val="fr-FR"/>
        </w:rPr>
        <w:t xml:space="preserve"> UN </w:t>
      </w:r>
      <w:r w:rsidRPr="00472E1F">
        <w:rPr>
          <w:lang w:val="fr-FR"/>
        </w:rPr>
        <w:t xml:space="preserve">IPCC, (2023) AR6 Synthesis Report, </w:t>
      </w:r>
      <w:hyperlink r:id="rId9" w:history="1">
        <w:r w:rsidRPr="00472E1F">
          <w:rPr>
            <w:rStyle w:val="Hyperlink"/>
            <w:lang w:val="fr-FR"/>
          </w:rPr>
          <w:t>https://www.ipcc.ch/report/ar6/syr/</w:t>
        </w:r>
      </w:hyperlink>
      <w:r w:rsidRPr="00472E1F">
        <w:rPr>
          <w:lang w:val="fr-FR"/>
        </w:rPr>
        <w:t xml:space="preserve">  </w:t>
      </w:r>
    </w:p>
  </w:footnote>
  <w:footnote w:id="14">
    <w:p w14:paraId="012ECF34" w14:textId="2A4EA300" w:rsidR="00E461C9" w:rsidRDefault="00E461C9">
      <w:pPr>
        <w:pStyle w:val="FootnoteText"/>
      </w:pPr>
      <w:r>
        <w:rPr>
          <w:rStyle w:val="FootnoteReference"/>
        </w:rPr>
        <w:footnoteRef/>
      </w:r>
      <w:r w:rsidR="00602ACD">
        <w:t xml:space="preserve"> Biomass Heat Works (2022) Wood Heat Conference Update on Biomass Heat Works Campaign </w:t>
      </w:r>
      <w:hyperlink r:id="rId10" w:history="1">
        <w:r w:rsidR="00602ACD" w:rsidRPr="00CD4DBB">
          <w:rPr>
            <w:rStyle w:val="Hyperlink"/>
          </w:rPr>
          <w:t>https://www.r-e-a.net/wp-content/uploads/2020/10/S4-WH2020-Neil-Holland-Biomass-Heat-Works.pdf</w:t>
        </w:r>
      </w:hyperlink>
    </w:p>
  </w:footnote>
  <w:footnote w:id="15">
    <w:p w14:paraId="683C12AE" w14:textId="77777777" w:rsidR="001073FF" w:rsidRDefault="001073FF">
      <w:pPr>
        <w:pStyle w:val="FootnoteText"/>
      </w:pPr>
      <w:r>
        <w:rPr>
          <w:rStyle w:val="FootnoteReference"/>
        </w:rPr>
        <w:footnoteRef/>
      </w:r>
      <w:r>
        <w:t xml:space="preserve"> Forest Ecology and Management (2023) https://www.sciencedirect.com/science/article/pii/S0378112723004383?via%3Dihub</w:t>
      </w:r>
    </w:p>
  </w:footnote>
  <w:footnote w:id="16">
    <w:p w14:paraId="62353857" w14:textId="77777777" w:rsidR="00C87169" w:rsidRDefault="00C87169" w:rsidP="00C87169">
      <w:pPr>
        <w:pStyle w:val="FootnoteText"/>
      </w:pPr>
      <w:r>
        <w:rPr>
          <w:rStyle w:val="FootnoteReference"/>
        </w:rPr>
        <w:footnoteRef/>
      </w:r>
      <w:r>
        <w:t xml:space="preserve"> DESNS (2023) Decarbonisation Readiness: updates to 2009 Carbon Capture Readiness Requirements </w:t>
      </w:r>
      <w:hyperlink r:id="rId11" w:history="1">
        <w:r w:rsidRPr="009A1A27">
          <w:rPr>
            <w:rStyle w:val="Hyperlink"/>
          </w:rPr>
          <w:t>https://www.gov.uk/government/consultations/decarbonisation-readiness-updates-to-the-2009-carbon-capture-readiness-requirements</w:t>
        </w:r>
      </w:hyperlink>
      <w:r>
        <w:t xml:space="preserve"> </w:t>
      </w:r>
    </w:p>
  </w:footnote>
  <w:footnote w:id="17">
    <w:p w14:paraId="3B8AB287" w14:textId="2B302553" w:rsidR="005726C1" w:rsidRDefault="005726C1">
      <w:pPr>
        <w:pStyle w:val="FootnoteText"/>
      </w:pPr>
      <w:r>
        <w:rPr>
          <w:rStyle w:val="FootnoteReference"/>
        </w:rPr>
        <w:footnoteRef/>
      </w:r>
      <w:r>
        <w:t xml:space="preserve"> </w:t>
      </w:r>
      <w:r w:rsidR="00580B67">
        <w:t>SEPA</w:t>
      </w:r>
      <w:r w:rsidR="00580B67" w:rsidRPr="00580B67">
        <w:rPr>
          <w:i/>
          <w:iCs/>
        </w:rPr>
        <w:t>,</w:t>
      </w:r>
      <w:r w:rsidRPr="00580B67">
        <w:rPr>
          <w:i/>
          <w:iCs/>
        </w:rPr>
        <w:t xml:space="preserve"> </w:t>
      </w:r>
      <w:r w:rsidR="00580B67" w:rsidRPr="00580B67">
        <w:rPr>
          <w:i/>
          <w:iCs/>
        </w:rPr>
        <w:t xml:space="preserve">“a medium combustion plant will become a new or medium combustion plant if it is either substantially refurbished </w:t>
      </w:r>
      <w:r w:rsidRPr="00580B67">
        <w:rPr>
          <w:i/>
          <w:iCs/>
        </w:rPr>
        <w:t>and the refurbishment costs are more than 50% of what a new comparable MCP would cost</w:t>
      </w:r>
      <w:r w:rsidR="00580B67" w:rsidRPr="00580B67">
        <w:rPr>
          <w:i/>
          <w:iCs/>
        </w:rPr>
        <w:t>,”</w:t>
      </w:r>
      <w:r w:rsidR="00580B67">
        <w:t xml:space="preserve"> </w:t>
      </w:r>
      <w:hyperlink r:id="rId12" w:anchor="Legislation" w:history="1">
        <w:r w:rsidR="00580B67" w:rsidRPr="00BC739C">
          <w:rPr>
            <w:rStyle w:val="Hyperlink"/>
          </w:rPr>
          <w:t>https://www.sepa.org.uk/regulations/pollution-prevention-and-control/medium-combustion-plant/#Legislation</w:t>
        </w:r>
      </w:hyperlink>
      <w:r w:rsidR="00580B67">
        <w:t xml:space="preserve"> </w:t>
      </w:r>
    </w:p>
  </w:footnote>
  <w:footnote w:id="18">
    <w:p w14:paraId="40A1665E" w14:textId="23D76263" w:rsidR="000430ED" w:rsidRDefault="000430ED">
      <w:pPr>
        <w:pStyle w:val="FootnoteText"/>
      </w:pPr>
      <w:r>
        <w:rPr>
          <w:rStyle w:val="FootnoteReference"/>
        </w:rPr>
        <w:footnoteRef/>
      </w:r>
      <w:r>
        <w:t xml:space="preserve"> Scottish Government (2021), </w:t>
      </w:r>
      <w:r w:rsidR="00284308">
        <w:t>“</w:t>
      </w:r>
      <w:r w:rsidR="00284308" w:rsidRPr="00284308">
        <w:rPr>
          <w:i/>
          <w:iCs/>
        </w:rPr>
        <w:t xml:space="preserve">Land use - getting the best from our land: strategy 2021 to 2026”, </w:t>
      </w:r>
      <w:hyperlink r:id="rId13" w:history="1">
        <w:r w:rsidR="00284308" w:rsidRPr="00BC739C">
          <w:rPr>
            <w:rStyle w:val="Hyperlink"/>
          </w:rPr>
          <w:t>https://www.gov.scot/publications/scotlands-third-land-use-strategy-2021-2026-getting-best-land/documents/</w:t>
        </w:r>
      </w:hyperlink>
      <w:r w:rsidR="00284308">
        <w:t xml:space="preserve"> </w:t>
      </w:r>
      <w:r>
        <w:t xml:space="preserve"> </w:t>
      </w:r>
      <w:r w:rsidR="00284308">
        <w:t xml:space="preserve"> </w:t>
      </w:r>
    </w:p>
  </w:footnote>
  <w:footnote w:id="19">
    <w:p w14:paraId="7CDFBAF7" w14:textId="0C8C6C94" w:rsidR="00E33848" w:rsidRDefault="0046092C">
      <w:pPr>
        <w:pStyle w:val="FootnoteText"/>
      </w:pPr>
      <w:r>
        <w:rPr>
          <w:rStyle w:val="FootnoteReference"/>
        </w:rPr>
        <w:footnoteRef/>
      </w:r>
      <w:r>
        <w:t xml:space="preserve"> </w:t>
      </w:r>
      <w:hyperlink r:id="rId14" w:history="1">
        <w:r w:rsidR="00771061" w:rsidRPr="009A1A27">
          <w:rPr>
            <w:rStyle w:val="Hyperlink"/>
          </w:rPr>
          <w:t>https://www.biomassconnect.org/</w:t>
        </w:r>
      </w:hyperlink>
      <w:r w:rsidR="00771061">
        <w:t xml:space="preserve"> </w:t>
      </w:r>
    </w:p>
  </w:footnote>
  <w:footnote w:id="20">
    <w:p w14:paraId="1C0608D9" w14:textId="07197F88" w:rsidR="00E33848" w:rsidRDefault="00E33848">
      <w:pPr>
        <w:pStyle w:val="FootnoteText"/>
      </w:pPr>
      <w:r>
        <w:rPr>
          <w:rStyle w:val="FootnoteReference"/>
        </w:rPr>
        <w:footnoteRef/>
      </w:r>
      <w:r>
        <w:t xml:space="preserve"> </w:t>
      </w:r>
      <w:hyperlink r:id="rId15" w:history="1">
        <w:r w:rsidR="00771061" w:rsidRPr="009A1A27">
          <w:rPr>
            <w:rStyle w:val="Hyperlink"/>
          </w:rPr>
          <w:t>https://envirocrops.com/</w:t>
        </w:r>
      </w:hyperlink>
      <w:r w:rsidR="00771061">
        <w:t xml:space="preserve"> </w:t>
      </w:r>
    </w:p>
  </w:footnote>
  <w:footnote w:id="21">
    <w:p w14:paraId="2F889AE2" w14:textId="7CA1CED5" w:rsidR="00516FA5" w:rsidRPr="00A22764" w:rsidRDefault="00516FA5" w:rsidP="00516FA5">
      <w:pPr>
        <w:rPr>
          <w:rFonts w:cstheme="minorHAnsi"/>
          <w:b/>
          <w:bCs/>
          <w:color w:val="2F5496"/>
          <w:sz w:val="20"/>
          <w:szCs w:val="20"/>
        </w:rPr>
      </w:pPr>
      <w:r w:rsidRPr="00A22764">
        <w:rPr>
          <w:rStyle w:val="FootnoteReference"/>
          <w:rFonts w:cstheme="minorHAnsi"/>
          <w:sz w:val="20"/>
          <w:szCs w:val="20"/>
        </w:rPr>
        <w:footnoteRef/>
      </w:r>
      <w:r w:rsidRPr="00A22764">
        <w:rPr>
          <w:rFonts w:cstheme="minorHAnsi"/>
          <w:sz w:val="20"/>
          <w:szCs w:val="20"/>
        </w:rPr>
        <w:t xml:space="preserve"> </w:t>
      </w:r>
      <w:r w:rsidRPr="00630B1F">
        <w:rPr>
          <w:rStyle w:val="Hyperlink"/>
          <w:rFonts w:cstheme="minorHAnsi"/>
          <w:color w:val="auto"/>
          <w:sz w:val="20"/>
          <w:szCs w:val="20"/>
          <w:u w:val="none"/>
        </w:rPr>
        <w:t>Forestry Commission (2020)</w:t>
      </w:r>
      <w:r w:rsidR="00A665A4" w:rsidRPr="00630B1F">
        <w:rPr>
          <w:rStyle w:val="Hyperlink"/>
          <w:rFonts w:cstheme="minorHAnsi"/>
          <w:color w:val="auto"/>
          <w:sz w:val="20"/>
          <w:szCs w:val="20"/>
          <w:u w:val="none"/>
        </w:rPr>
        <w:t>, “</w:t>
      </w:r>
      <w:r w:rsidRPr="00630B1F">
        <w:rPr>
          <w:rStyle w:val="Hyperlink"/>
          <w:rFonts w:cstheme="minorHAnsi"/>
          <w:i/>
          <w:iCs/>
          <w:color w:val="auto"/>
          <w:sz w:val="20"/>
          <w:szCs w:val="20"/>
          <w:u w:val="none"/>
        </w:rPr>
        <w:t>Forestry Statistics 2020</w:t>
      </w:r>
      <w:r w:rsidRPr="00630B1F">
        <w:rPr>
          <w:rFonts w:cstheme="minorHAnsi"/>
          <w:sz w:val="20"/>
          <w:szCs w:val="20"/>
        </w:rPr>
        <w:t>,</w:t>
      </w:r>
      <w:r w:rsidR="00A665A4" w:rsidRPr="00630B1F">
        <w:rPr>
          <w:rFonts w:cstheme="minorHAnsi"/>
          <w:sz w:val="20"/>
          <w:szCs w:val="20"/>
        </w:rPr>
        <w:t>”</w:t>
      </w:r>
      <w:r w:rsidRPr="00A665A4">
        <w:rPr>
          <w:rFonts w:cstheme="minorHAnsi"/>
          <w:sz w:val="20"/>
          <w:szCs w:val="20"/>
        </w:rPr>
        <w:t xml:space="preserve"> </w:t>
      </w:r>
      <w:hyperlink r:id="rId16" w:history="1">
        <w:r w:rsidR="00A665A4" w:rsidRPr="00BC739C">
          <w:rPr>
            <w:rStyle w:val="Hyperlink"/>
            <w:rFonts w:cstheme="minorHAnsi"/>
            <w:sz w:val="20"/>
            <w:szCs w:val="20"/>
          </w:rPr>
          <w:t>https://www.forestresearch.gov.uk/tools-and-resources/statistics/forestry-statistics/</w:t>
        </w:r>
      </w:hyperlink>
      <w:r w:rsidR="00A665A4">
        <w:rPr>
          <w:rFonts w:cstheme="minorHAnsi"/>
          <w:sz w:val="20"/>
          <w:szCs w:val="20"/>
        </w:rPr>
        <w:t xml:space="preserve"> </w:t>
      </w:r>
      <w:r w:rsidRPr="00A22764">
        <w:rPr>
          <w:rFonts w:cstheme="minorHAnsi"/>
          <w:sz w:val="20"/>
          <w:szCs w:val="20"/>
        </w:rPr>
        <w:t xml:space="preserve"> </w:t>
      </w:r>
    </w:p>
  </w:footnote>
  <w:footnote w:id="22">
    <w:p w14:paraId="318DF5C1" w14:textId="505C72A0" w:rsidR="00EC12DA" w:rsidRPr="00EC12DA" w:rsidRDefault="009906DD" w:rsidP="00EC12DA">
      <w:pPr>
        <w:pStyle w:val="FootnoteText"/>
        <w:rPr>
          <w:i/>
          <w:iCs/>
        </w:rPr>
      </w:pPr>
      <w:r>
        <w:rPr>
          <w:rStyle w:val="FootnoteReference"/>
        </w:rPr>
        <w:footnoteRef/>
      </w:r>
      <w:r w:rsidRPr="00472E1F">
        <w:rPr>
          <w:lang w:val="da-DK"/>
        </w:rPr>
        <w:t xml:space="preserve"> </w:t>
      </w:r>
      <w:r w:rsidR="00EC12DA" w:rsidRPr="00472E1F">
        <w:rPr>
          <w:lang w:val="da-DK"/>
        </w:rPr>
        <w:t xml:space="preserve">Welfle, A., Röder, M., et al. </w:t>
      </w:r>
      <w:r w:rsidR="00EC12DA">
        <w:t xml:space="preserve">(2020) </w:t>
      </w:r>
      <w:r w:rsidR="00EC12DA" w:rsidRPr="00EC12DA">
        <w:rPr>
          <w:i/>
          <w:iCs/>
        </w:rPr>
        <w:t>“Supergen Bioenergy Hub Case Study Report:</w:t>
      </w:r>
    </w:p>
    <w:p w14:paraId="2E19CA1A" w14:textId="77777777" w:rsidR="00EC12DA" w:rsidRPr="00EC12DA" w:rsidRDefault="00EC12DA" w:rsidP="00EC12DA">
      <w:pPr>
        <w:pStyle w:val="FootnoteText"/>
        <w:rPr>
          <w:i/>
          <w:iCs/>
        </w:rPr>
      </w:pPr>
      <w:r w:rsidRPr="00EC12DA">
        <w:rPr>
          <w:i/>
          <w:iCs/>
        </w:rPr>
        <w:t>Developing the UK bioenergy sector to enable the transition to a sustainable</w:t>
      </w:r>
    </w:p>
    <w:p w14:paraId="69791242" w14:textId="4C5830EC" w:rsidR="009906DD" w:rsidRDefault="00EC12DA" w:rsidP="00EC12DA">
      <w:pPr>
        <w:pStyle w:val="FootnoteText"/>
      </w:pPr>
      <w:r w:rsidRPr="00EC12DA">
        <w:rPr>
          <w:i/>
          <w:iCs/>
        </w:rPr>
        <w:t>bioeconomy and low-carbon future,”</w:t>
      </w:r>
      <w:r>
        <w:t xml:space="preserve"> </w:t>
      </w:r>
      <w:hyperlink r:id="rId17" w:history="1">
        <w:r w:rsidRPr="00665C39">
          <w:rPr>
            <w:rStyle w:val="Hyperlink"/>
          </w:rPr>
          <w:t>www.supergen-bioenergy.net/wpcontent/uploads/2020/05/Supergen-Bioenergy-Hub-Case-Studies-Report.pdf</w:t>
        </w:r>
      </w:hyperlink>
      <w:r>
        <w:t xml:space="preserve">  </w:t>
      </w:r>
    </w:p>
  </w:footnote>
  <w:footnote w:id="23">
    <w:p w14:paraId="45574740" w14:textId="10507D70" w:rsidR="009906DD" w:rsidRDefault="009906DD">
      <w:pPr>
        <w:pStyle w:val="FootnoteText"/>
      </w:pPr>
      <w:r>
        <w:rPr>
          <w:rStyle w:val="FootnoteReference"/>
        </w:rPr>
        <w:footnoteRef/>
      </w:r>
      <w:r>
        <w:t xml:space="preserve"> </w:t>
      </w:r>
      <w:r w:rsidR="00EB7CCB">
        <w:t>Ibid</w:t>
      </w:r>
    </w:p>
  </w:footnote>
  <w:footnote w:id="24">
    <w:p w14:paraId="572A45B5" w14:textId="49484C1F" w:rsidR="00E16315" w:rsidRDefault="00E16315">
      <w:pPr>
        <w:pStyle w:val="FootnoteText"/>
      </w:pPr>
      <w:r>
        <w:rPr>
          <w:rStyle w:val="FootnoteReference"/>
        </w:rPr>
        <w:footnoteRef/>
      </w:r>
      <w:r>
        <w:t xml:space="preserve"> </w:t>
      </w:r>
      <w:r w:rsidR="0083044A">
        <w:t xml:space="preserve">Biomass Connect, (2023) </w:t>
      </w:r>
      <w:r w:rsidR="0083044A" w:rsidRPr="00D20B68">
        <w:rPr>
          <w:i/>
          <w:iCs/>
        </w:rPr>
        <w:t>“Environmental and biodiversity impacts of</w:t>
      </w:r>
      <w:r w:rsidR="0083044A">
        <w:rPr>
          <w:i/>
          <w:iCs/>
        </w:rPr>
        <w:t xml:space="preserve"> </w:t>
      </w:r>
      <w:r w:rsidR="0083044A" w:rsidRPr="00D20B68">
        <w:rPr>
          <w:i/>
          <w:iCs/>
        </w:rPr>
        <w:t>Miscanthus plantations</w:t>
      </w:r>
      <w:r w:rsidR="0083044A">
        <w:rPr>
          <w:i/>
          <w:iCs/>
        </w:rPr>
        <w:t xml:space="preserve">”, </w:t>
      </w:r>
      <w:hyperlink r:id="rId18" w:history="1">
        <w:r w:rsidR="0083044A" w:rsidRPr="00665C39">
          <w:rPr>
            <w:rStyle w:val="Hyperlink"/>
            <w:i/>
            <w:iCs/>
          </w:rPr>
          <w:t>https://www.biomassconnect.org/wp-content/uploads/2023/05/Environmental-and-Biodiversity-impacts-of-Miscanthus.pdf</w:t>
        </w:r>
      </w:hyperlink>
    </w:p>
  </w:footnote>
  <w:footnote w:id="25">
    <w:p w14:paraId="2ADE36F3" w14:textId="6FB8486D" w:rsidR="007B1CD9" w:rsidRDefault="007B1CD9" w:rsidP="00E735D1">
      <w:pPr>
        <w:pStyle w:val="FootnoteText"/>
      </w:pPr>
      <w:r>
        <w:rPr>
          <w:rStyle w:val="FootnoteReference"/>
        </w:rPr>
        <w:footnoteRef/>
      </w:r>
      <w:r>
        <w:t xml:space="preserve"> </w:t>
      </w:r>
      <w:r w:rsidR="00E735D1">
        <w:t>Biomass Connect</w:t>
      </w:r>
      <w:r w:rsidR="00CA13A9">
        <w:t>,</w:t>
      </w:r>
      <w:r w:rsidR="00E735D1">
        <w:t xml:space="preserve"> (2023) “</w:t>
      </w:r>
      <w:r w:rsidR="00E735D1" w:rsidRPr="00CA13A9">
        <w:rPr>
          <w:i/>
          <w:iCs/>
        </w:rPr>
        <w:t>Biomass Buffer Strips – using biomass crops in multipurpose land management”</w:t>
      </w:r>
      <w:r w:rsidR="00E735D1">
        <w:t xml:space="preserve">, </w:t>
      </w:r>
      <w:hyperlink r:id="rId19" w:history="1">
        <w:r w:rsidR="00CA13A9" w:rsidRPr="00665C39">
          <w:rPr>
            <w:rStyle w:val="Hyperlink"/>
          </w:rPr>
          <w:t>https://www.biomassconnect.org/wp-content/uploads/2023/03/TA-Biomass-Buffers-Final-1.pdf</w:t>
        </w:r>
      </w:hyperlink>
      <w:r w:rsidR="00CA1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2" w14:textId="77777777" w:rsidR="00124D3A" w:rsidRDefault="00124D3A" w:rsidP="003A3169">
    <w:pPr>
      <w:pStyle w:val="Header"/>
      <w:jc w:val="right"/>
    </w:pPr>
    <w:r>
      <w:rPr>
        <w:noProof/>
        <w:color w:val="2B579A"/>
        <w:shd w:val="clear" w:color="auto" w:fill="E6E6E6"/>
        <w:lang w:eastAsia="en-GB"/>
      </w:rPr>
      <w:drawing>
        <wp:inline distT="0" distB="0" distL="0" distR="0" wp14:anchorId="5DE3C31E" wp14:editId="05C13463">
          <wp:extent cx="1706840" cy="70720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9EDD" w14:textId="77777777" w:rsidR="00835DAE" w:rsidRDefault="00835DAE" w:rsidP="003A3169">
    <w:pPr>
      <w:pStyle w:val="Header"/>
      <w:jc w:val="right"/>
    </w:pPr>
    <w:r>
      <w:rPr>
        <w:noProof/>
        <w:color w:val="2B579A"/>
        <w:shd w:val="clear" w:color="auto" w:fill="E6E6E6"/>
        <w:lang w:eastAsia="en-GB"/>
      </w:rPr>
      <w:drawing>
        <wp:inline distT="0" distB="0" distL="0" distR="0" wp14:anchorId="60036F50" wp14:editId="7ED2367C">
          <wp:extent cx="1706840" cy="70720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myyGH7WbS7JTL" int2:id="hjhAXNE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09E"/>
    <w:multiLevelType w:val="hybridMultilevel"/>
    <w:tmpl w:val="043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2C46"/>
    <w:multiLevelType w:val="hybridMultilevel"/>
    <w:tmpl w:val="6E9A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0417"/>
    <w:multiLevelType w:val="hybridMultilevel"/>
    <w:tmpl w:val="13B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0521"/>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5798F"/>
    <w:multiLevelType w:val="hybridMultilevel"/>
    <w:tmpl w:val="7FF668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43D2394"/>
    <w:multiLevelType w:val="hybridMultilevel"/>
    <w:tmpl w:val="4A143B1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5077109"/>
    <w:multiLevelType w:val="hybridMultilevel"/>
    <w:tmpl w:val="8528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4754F"/>
    <w:multiLevelType w:val="multilevel"/>
    <w:tmpl w:val="598A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518B0"/>
    <w:multiLevelType w:val="hybridMultilevel"/>
    <w:tmpl w:val="A052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4480C"/>
    <w:multiLevelType w:val="hybridMultilevel"/>
    <w:tmpl w:val="54B0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A0EE6"/>
    <w:multiLevelType w:val="hybridMultilevel"/>
    <w:tmpl w:val="968295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F7367"/>
    <w:multiLevelType w:val="hybridMultilevel"/>
    <w:tmpl w:val="C7BE5046"/>
    <w:lvl w:ilvl="0" w:tplc="7E60AE38">
      <w:start w:val="1"/>
      <w:numFmt w:val="decimal"/>
      <w:lvlText w:val="%1."/>
      <w:lvlJc w:val="left"/>
      <w:pPr>
        <w:ind w:left="720" w:hanging="720"/>
      </w:pPr>
      <w:rPr>
        <w:rFonts w:hint="default"/>
      </w:rPr>
    </w:lvl>
    <w:lvl w:ilvl="1" w:tplc="1884FB2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A67419"/>
    <w:multiLevelType w:val="hybridMultilevel"/>
    <w:tmpl w:val="704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86373"/>
    <w:multiLevelType w:val="hybridMultilevel"/>
    <w:tmpl w:val="1BB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3F6C"/>
    <w:multiLevelType w:val="hybridMultilevel"/>
    <w:tmpl w:val="86BE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A6831"/>
    <w:multiLevelType w:val="hybridMultilevel"/>
    <w:tmpl w:val="F9FC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6A3BFC"/>
    <w:multiLevelType w:val="hybridMultilevel"/>
    <w:tmpl w:val="FC26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8155E"/>
    <w:multiLevelType w:val="hybridMultilevel"/>
    <w:tmpl w:val="B8B0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971B4"/>
    <w:multiLevelType w:val="hybridMultilevel"/>
    <w:tmpl w:val="B18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F3967"/>
    <w:multiLevelType w:val="hybridMultilevel"/>
    <w:tmpl w:val="9F5C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1515"/>
    <w:multiLevelType w:val="hybridMultilevel"/>
    <w:tmpl w:val="FC1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30A25"/>
    <w:multiLevelType w:val="hybridMultilevel"/>
    <w:tmpl w:val="10061C3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731B30"/>
    <w:multiLevelType w:val="hybridMultilevel"/>
    <w:tmpl w:val="6E48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54409"/>
    <w:multiLevelType w:val="hybridMultilevel"/>
    <w:tmpl w:val="E360856C"/>
    <w:lvl w:ilvl="0" w:tplc="F9D882E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86151"/>
    <w:multiLevelType w:val="hybridMultilevel"/>
    <w:tmpl w:val="3E32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E16A2"/>
    <w:multiLevelType w:val="multilevel"/>
    <w:tmpl w:val="D44A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2088C"/>
    <w:multiLevelType w:val="hybridMultilevel"/>
    <w:tmpl w:val="435C775A"/>
    <w:lvl w:ilvl="0" w:tplc="FD3A48A4">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C2369"/>
    <w:multiLevelType w:val="hybridMultilevel"/>
    <w:tmpl w:val="5888CE28"/>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8" w15:restartNumberingAfterBreak="0">
    <w:nsid w:val="5BA51321"/>
    <w:multiLevelType w:val="hybridMultilevel"/>
    <w:tmpl w:val="2B9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B42E0"/>
    <w:multiLevelType w:val="hybridMultilevel"/>
    <w:tmpl w:val="A2AE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41A73"/>
    <w:multiLevelType w:val="hybridMultilevel"/>
    <w:tmpl w:val="BF0E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34A7F"/>
    <w:multiLevelType w:val="hybridMultilevel"/>
    <w:tmpl w:val="2834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87885"/>
    <w:multiLevelType w:val="hybridMultilevel"/>
    <w:tmpl w:val="D4F693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EE3CEC"/>
    <w:multiLevelType w:val="hybridMultilevel"/>
    <w:tmpl w:val="F50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B2557"/>
    <w:multiLevelType w:val="multilevel"/>
    <w:tmpl w:val="42F4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9D29DD"/>
    <w:multiLevelType w:val="hybridMultilevel"/>
    <w:tmpl w:val="939C49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449E5"/>
    <w:multiLevelType w:val="hybridMultilevel"/>
    <w:tmpl w:val="332EB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47C49"/>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D110C"/>
    <w:multiLevelType w:val="hybridMultilevel"/>
    <w:tmpl w:val="6316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FA5A95"/>
    <w:multiLevelType w:val="hybridMultilevel"/>
    <w:tmpl w:val="8BA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63B4C"/>
    <w:multiLevelType w:val="multilevel"/>
    <w:tmpl w:val="0C0A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FF2D67"/>
    <w:multiLevelType w:val="hybridMultilevel"/>
    <w:tmpl w:val="FC9E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90772"/>
    <w:multiLevelType w:val="hybridMultilevel"/>
    <w:tmpl w:val="942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F691E"/>
    <w:multiLevelType w:val="hybridMultilevel"/>
    <w:tmpl w:val="051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04985"/>
    <w:multiLevelType w:val="hybridMultilevel"/>
    <w:tmpl w:val="8F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D0948"/>
    <w:multiLevelType w:val="multilevel"/>
    <w:tmpl w:val="9B7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A2E73"/>
    <w:multiLevelType w:val="hybridMultilevel"/>
    <w:tmpl w:val="46D4B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163734">
    <w:abstractNumId w:val="14"/>
  </w:num>
  <w:num w:numId="2" w16cid:durableId="618143085">
    <w:abstractNumId w:val="0"/>
  </w:num>
  <w:num w:numId="3" w16cid:durableId="1312054365">
    <w:abstractNumId w:val="2"/>
  </w:num>
  <w:num w:numId="4" w16cid:durableId="316494722">
    <w:abstractNumId w:val="8"/>
  </w:num>
  <w:num w:numId="5" w16cid:durableId="453867950">
    <w:abstractNumId w:val="33"/>
  </w:num>
  <w:num w:numId="6" w16cid:durableId="524174169">
    <w:abstractNumId w:val="43"/>
  </w:num>
  <w:num w:numId="7" w16cid:durableId="2120908238">
    <w:abstractNumId w:val="6"/>
  </w:num>
  <w:num w:numId="8" w16cid:durableId="444619946">
    <w:abstractNumId w:val="28"/>
  </w:num>
  <w:num w:numId="9" w16cid:durableId="1197158275">
    <w:abstractNumId w:val="44"/>
  </w:num>
  <w:num w:numId="10" w16cid:durableId="1047946230">
    <w:abstractNumId w:val="13"/>
  </w:num>
  <w:num w:numId="11" w16cid:durableId="479150327">
    <w:abstractNumId w:val="17"/>
  </w:num>
  <w:num w:numId="12" w16cid:durableId="1148060712">
    <w:abstractNumId w:val="42"/>
  </w:num>
  <w:num w:numId="13" w16cid:durableId="861820517">
    <w:abstractNumId w:val="19"/>
  </w:num>
  <w:num w:numId="14" w16cid:durableId="282419833">
    <w:abstractNumId w:val="9"/>
  </w:num>
  <w:num w:numId="15" w16cid:durableId="351957710">
    <w:abstractNumId w:val="20"/>
  </w:num>
  <w:num w:numId="16" w16cid:durableId="1250652202">
    <w:abstractNumId w:val="24"/>
  </w:num>
  <w:num w:numId="17" w16cid:durableId="1674524123">
    <w:abstractNumId w:val="29"/>
  </w:num>
  <w:num w:numId="18" w16cid:durableId="547688890">
    <w:abstractNumId w:val="22"/>
  </w:num>
  <w:num w:numId="19" w16cid:durableId="562758580">
    <w:abstractNumId w:val="34"/>
  </w:num>
  <w:num w:numId="20" w16cid:durableId="261839209">
    <w:abstractNumId w:val="5"/>
  </w:num>
  <w:num w:numId="21" w16cid:durableId="170684531">
    <w:abstractNumId w:val="41"/>
  </w:num>
  <w:num w:numId="22" w16cid:durableId="95710877">
    <w:abstractNumId w:val="27"/>
  </w:num>
  <w:num w:numId="23" w16cid:durableId="1515874234">
    <w:abstractNumId w:val="30"/>
  </w:num>
  <w:num w:numId="24" w16cid:durableId="678578391">
    <w:abstractNumId w:val="1"/>
  </w:num>
  <w:num w:numId="25" w16cid:durableId="642122460">
    <w:abstractNumId w:val="39"/>
  </w:num>
  <w:num w:numId="26" w16cid:durableId="84498143">
    <w:abstractNumId w:val="46"/>
  </w:num>
  <w:num w:numId="27" w16cid:durableId="605387199">
    <w:abstractNumId w:val="3"/>
  </w:num>
  <w:num w:numId="28" w16cid:durableId="1643651075">
    <w:abstractNumId w:val="36"/>
  </w:num>
  <w:num w:numId="29" w16cid:durableId="285738771">
    <w:abstractNumId w:val="37"/>
  </w:num>
  <w:num w:numId="30" w16cid:durableId="700127847">
    <w:abstractNumId w:val="18"/>
  </w:num>
  <w:num w:numId="31" w16cid:durableId="1569144885">
    <w:abstractNumId w:val="4"/>
  </w:num>
  <w:num w:numId="32" w16cid:durableId="610480524">
    <w:abstractNumId w:val="12"/>
  </w:num>
  <w:num w:numId="33" w16cid:durableId="1170366292">
    <w:abstractNumId w:val="35"/>
  </w:num>
  <w:num w:numId="34" w16cid:durableId="1181316194">
    <w:abstractNumId w:val="10"/>
  </w:num>
  <w:num w:numId="35" w16cid:durableId="1637834574">
    <w:abstractNumId w:val="16"/>
  </w:num>
  <w:num w:numId="36" w16cid:durableId="619839917">
    <w:abstractNumId w:val="31"/>
  </w:num>
  <w:num w:numId="37" w16cid:durableId="231819917">
    <w:abstractNumId w:val="11"/>
  </w:num>
  <w:num w:numId="38" w16cid:durableId="1735855180">
    <w:abstractNumId w:val="32"/>
  </w:num>
  <w:num w:numId="39" w16cid:durableId="676077991">
    <w:abstractNumId w:val="23"/>
  </w:num>
  <w:num w:numId="40" w16cid:durableId="968824870">
    <w:abstractNumId w:val="25"/>
  </w:num>
  <w:num w:numId="41" w16cid:durableId="884098431">
    <w:abstractNumId w:val="7"/>
  </w:num>
  <w:num w:numId="42" w16cid:durableId="1952126413">
    <w:abstractNumId w:val="40"/>
  </w:num>
  <w:num w:numId="43" w16cid:durableId="488404213">
    <w:abstractNumId w:val="45"/>
  </w:num>
  <w:num w:numId="44" w16cid:durableId="1161506695">
    <w:abstractNumId w:val="21"/>
  </w:num>
  <w:num w:numId="45" w16cid:durableId="1664164698">
    <w:abstractNumId w:val="26"/>
  </w:num>
  <w:num w:numId="46" w16cid:durableId="1514419017">
    <w:abstractNumId w:val="15"/>
  </w:num>
  <w:num w:numId="47" w16cid:durableId="35241429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3sDQyNTIyNbEwMTRW0lEKTi0uzszPAykwrAUA6XKSRCwAAAA="/>
  </w:docVars>
  <w:rsids>
    <w:rsidRoot w:val="00496822"/>
    <w:rsid w:val="00000531"/>
    <w:rsid w:val="0000078C"/>
    <w:rsid w:val="00000DF1"/>
    <w:rsid w:val="0000169F"/>
    <w:rsid w:val="00002277"/>
    <w:rsid w:val="000022E2"/>
    <w:rsid w:val="000023DC"/>
    <w:rsid w:val="00002EE9"/>
    <w:rsid w:val="00003926"/>
    <w:rsid w:val="00003DDC"/>
    <w:rsid w:val="00003FE6"/>
    <w:rsid w:val="000040DA"/>
    <w:rsid w:val="000040F5"/>
    <w:rsid w:val="000047E8"/>
    <w:rsid w:val="000052B8"/>
    <w:rsid w:val="00006B7F"/>
    <w:rsid w:val="00006DF9"/>
    <w:rsid w:val="000074CA"/>
    <w:rsid w:val="00010753"/>
    <w:rsid w:val="0001180B"/>
    <w:rsid w:val="00011BFF"/>
    <w:rsid w:val="00011F87"/>
    <w:rsid w:val="000146B3"/>
    <w:rsid w:val="00015480"/>
    <w:rsid w:val="00015FC0"/>
    <w:rsid w:val="00016346"/>
    <w:rsid w:val="000163AF"/>
    <w:rsid w:val="000169BF"/>
    <w:rsid w:val="000173DD"/>
    <w:rsid w:val="000215E5"/>
    <w:rsid w:val="000228AF"/>
    <w:rsid w:val="0002290F"/>
    <w:rsid w:val="00022EA1"/>
    <w:rsid w:val="00023CD9"/>
    <w:rsid w:val="0002448C"/>
    <w:rsid w:val="000259B7"/>
    <w:rsid w:val="0002695E"/>
    <w:rsid w:val="00026B28"/>
    <w:rsid w:val="00030B72"/>
    <w:rsid w:val="00031A81"/>
    <w:rsid w:val="00031B65"/>
    <w:rsid w:val="00032559"/>
    <w:rsid w:val="0003264B"/>
    <w:rsid w:val="0003344A"/>
    <w:rsid w:val="00033BA4"/>
    <w:rsid w:val="00034684"/>
    <w:rsid w:val="000357FF"/>
    <w:rsid w:val="000358F1"/>
    <w:rsid w:val="00041FFC"/>
    <w:rsid w:val="0004221C"/>
    <w:rsid w:val="00042558"/>
    <w:rsid w:val="0004271E"/>
    <w:rsid w:val="000430ED"/>
    <w:rsid w:val="00043401"/>
    <w:rsid w:val="0004472E"/>
    <w:rsid w:val="00044747"/>
    <w:rsid w:val="00051D65"/>
    <w:rsid w:val="00054328"/>
    <w:rsid w:val="00056094"/>
    <w:rsid w:val="00057BF4"/>
    <w:rsid w:val="00057FDE"/>
    <w:rsid w:val="000616A4"/>
    <w:rsid w:val="00061ABC"/>
    <w:rsid w:val="00062457"/>
    <w:rsid w:val="00064165"/>
    <w:rsid w:val="000643FE"/>
    <w:rsid w:val="00064936"/>
    <w:rsid w:val="00064C9A"/>
    <w:rsid w:val="00065329"/>
    <w:rsid w:val="00065CA0"/>
    <w:rsid w:val="00067737"/>
    <w:rsid w:val="000679ED"/>
    <w:rsid w:val="000706F0"/>
    <w:rsid w:val="00070823"/>
    <w:rsid w:val="00070BBE"/>
    <w:rsid w:val="00071D4A"/>
    <w:rsid w:val="000758F8"/>
    <w:rsid w:val="00076998"/>
    <w:rsid w:val="0007724D"/>
    <w:rsid w:val="00077A78"/>
    <w:rsid w:val="000802A4"/>
    <w:rsid w:val="00080C04"/>
    <w:rsid w:val="00082778"/>
    <w:rsid w:val="00084170"/>
    <w:rsid w:val="00084B77"/>
    <w:rsid w:val="00086167"/>
    <w:rsid w:val="00086370"/>
    <w:rsid w:val="00086867"/>
    <w:rsid w:val="00086CCE"/>
    <w:rsid w:val="00087B96"/>
    <w:rsid w:val="00092E0F"/>
    <w:rsid w:val="00093DFC"/>
    <w:rsid w:val="000947E3"/>
    <w:rsid w:val="00097837"/>
    <w:rsid w:val="00097A20"/>
    <w:rsid w:val="000A06E2"/>
    <w:rsid w:val="000A0A52"/>
    <w:rsid w:val="000A15A2"/>
    <w:rsid w:val="000A305B"/>
    <w:rsid w:val="000A306F"/>
    <w:rsid w:val="000A327D"/>
    <w:rsid w:val="000A3B63"/>
    <w:rsid w:val="000A5897"/>
    <w:rsid w:val="000A5F86"/>
    <w:rsid w:val="000A63BF"/>
    <w:rsid w:val="000A6494"/>
    <w:rsid w:val="000A7B97"/>
    <w:rsid w:val="000B0E4E"/>
    <w:rsid w:val="000B10DC"/>
    <w:rsid w:val="000B37FB"/>
    <w:rsid w:val="000B4E59"/>
    <w:rsid w:val="000B517A"/>
    <w:rsid w:val="000B5BEE"/>
    <w:rsid w:val="000B62D6"/>
    <w:rsid w:val="000B6369"/>
    <w:rsid w:val="000B662B"/>
    <w:rsid w:val="000B770B"/>
    <w:rsid w:val="000B7EEE"/>
    <w:rsid w:val="000C0B1B"/>
    <w:rsid w:val="000C0E4B"/>
    <w:rsid w:val="000C1EA5"/>
    <w:rsid w:val="000C2D9B"/>
    <w:rsid w:val="000C320E"/>
    <w:rsid w:val="000C35AD"/>
    <w:rsid w:val="000C35B3"/>
    <w:rsid w:val="000C36C3"/>
    <w:rsid w:val="000C3F2C"/>
    <w:rsid w:val="000C4318"/>
    <w:rsid w:val="000C5381"/>
    <w:rsid w:val="000D0392"/>
    <w:rsid w:val="000D0FC9"/>
    <w:rsid w:val="000D1192"/>
    <w:rsid w:val="000D15C7"/>
    <w:rsid w:val="000D15F2"/>
    <w:rsid w:val="000D1925"/>
    <w:rsid w:val="000D2168"/>
    <w:rsid w:val="000D417A"/>
    <w:rsid w:val="000D4BB2"/>
    <w:rsid w:val="000D5321"/>
    <w:rsid w:val="000D5BE4"/>
    <w:rsid w:val="000D666E"/>
    <w:rsid w:val="000D6CD9"/>
    <w:rsid w:val="000D6F13"/>
    <w:rsid w:val="000D7812"/>
    <w:rsid w:val="000E0F54"/>
    <w:rsid w:val="000E13FE"/>
    <w:rsid w:val="000E17DE"/>
    <w:rsid w:val="000E214E"/>
    <w:rsid w:val="000E369E"/>
    <w:rsid w:val="000E36AD"/>
    <w:rsid w:val="000E381E"/>
    <w:rsid w:val="000E3EDE"/>
    <w:rsid w:val="000E4407"/>
    <w:rsid w:val="000E4F41"/>
    <w:rsid w:val="000E7691"/>
    <w:rsid w:val="000F2380"/>
    <w:rsid w:val="000F2F64"/>
    <w:rsid w:val="000F4564"/>
    <w:rsid w:val="000F47DE"/>
    <w:rsid w:val="000F4822"/>
    <w:rsid w:val="000F4D7F"/>
    <w:rsid w:val="000F53EC"/>
    <w:rsid w:val="000F5BA6"/>
    <w:rsid w:val="000F6ED1"/>
    <w:rsid w:val="000F7A56"/>
    <w:rsid w:val="00100551"/>
    <w:rsid w:val="001013DB"/>
    <w:rsid w:val="00101D9A"/>
    <w:rsid w:val="00101F3A"/>
    <w:rsid w:val="00104C8B"/>
    <w:rsid w:val="001050BF"/>
    <w:rsid w:val="001069D8"/>
    <w:rsid w:val="00106B03"/>
    <w:rsid w:val="001073FF"/>
    <w:rsid w:val="00107508"/>
    <w:rsid w:val="001075DF"/>
    <w:rsid w:val="00110921"/>
    <w:rsid w:val="0011112F"/>
    <w:rsid w:val="0011117F"/>
    <w:rsid w:val="00112623"/>
    <w:rsid w:val="001133CF"/>
    <w:rsid w:val="00113524"/>
    <w:rsid w:val="00114840"/>
    <w:rsid w:val="00114D5D"/>
    <w:rsid w:val="00115C50"/>
    <w:rsid w:val="00115EC3"/>
    <w:rsid w:val="001206F5"/>
    <w:rsid w:val="00120830"/>
    <w:rsid w:val="00120CBD"/>
    <w:rsid w:val="00123E9E"/>
    <w:rsid w:val="00124449"/>
    <w:rsid w:val="00124D3A"/>
    <w:rsid w:val="00127565"/>
    <w:rsid w:val="00130FBB"/>
    <w:rsid w:val="0013153B"/>
    <w:rsid w:val="00131F26"/>
    <w:rsid w:val="00132D52"/>
    <w:rsid w:val="00133028"/>
    <w:rsid w:val="00133140"/>
    <w:rsid w:val="00133D7F"/>
    <w:rsid w:val="0013563F"/>
    <w:rsid w:val="00135A46"/>
    <w:rsid w:val="00136482"/>
    <w:rsid w:val="00136EB7"/>
    <w:rsid w:val="00137077"/>
    <w:rsid w:val="00137CC3"/>
    <w:rsid w:val="001406C0"/>
    <w:rsid w:val="00140C18"/>
    <w:rsid w:val="00141365"/>
    <w:rsid w:val="001418D3"/>
    <w:rsid w:val="00141CCD"/>
    <w:rsid w:val="001436CD"/>
    <w:rsid w:val="0014396D"/>
    <w:rsid w:val="00144467"/>
    <w:rsid w:val="001447BD"/>
    <w:rsid w:val="00144AA5"/>
    <w:rsid w:val="00146278"/>
    <w:rsid w:val="001465CD"/>
    <w:rsid w:val="00147B78"/>
    <w:rsid w:val="001505D8"/>
    <w:rsid w:val="00150D8A"/>
    <w:rsid w:val="00152676"/>
    <w:rsid w:val="001532BC"/>
    <w:rsid w:val="001538BA"/>
    <w:rsid w:val="00153CEB"/>
    <w:rsid w:val="0015473A"/>
    <w:rsid w:val="00154D15"/>
    <w:rsid w:val="00154D3B"/>
    <w:rsid w:val="00154E25"/>
    <w:rsid w:val="001551FE"/>
    <w:rsid w:val="0015529C"/>
    <w:rsid w:val="00155D63"/>
    <w:rsid w:val="001568E8"/>
    <w:rsid w:val="00157E66"/>
    <w:rsid w:val="0016120F"/>
    <w:rsid w:val="0016151C"/>
    <w:rsid w:val="00161D7D"/>
    <w:rsid w:val="001628C4"/>
    <w:rsid w:val="001637D4"/>
    <w:rsid w:val="00163843"/>
    <w:rsid w:val="00164915"/>
    <w:rsid w:val="00164D79"/>
    <w:rsid w:val="00164D96"/>
    <w:rsid w:val="001663CE"/>
    <w:rsid w:val="00166CE7"/>
    <w:rsid w:val="00171C12"/>
    <w:rsid w:val="0017201E"/>
    <w:rsid w:val="00172315"/>
    <w:rsid w:val="0017344F"/>
    <w:rsid w:val="00173525"/>
    <w:rsid w:val="001737BD"/>
    <w:rsid w:val="0017495B"/>
    <w:rsid w:val="00175004"/>
    <w:rsid w:val="00175AF8"/>
    <w:rsid w:val="00176606"/>
    <w:rsid w:val="0017686C"/>
    <w:rsid w:val="001770C7"/>
    <w:rsid w:val="00177194"/>
    <w:rsid w:val="001800B1"/>
    <w:rsid w:val="00180C29"/>
    <w:rsid w:val="00180CEB"/>
    <w:rsid w:val="001814B7"/>
    <w:rsid w:val="00183599"/>
    <w:rsid w:val="00183B19"/>
    <w:rsid w:val="001852E8"/>
    <w:rsid w:val="00185BCD"/>
    <w:rsid w:val="00186BAE"/>
    <w:rsid w:val="00187061"/>
    <w:rsid w:val="001903FE"/>
    <w:rsid w:val="00190853"/>
    <w:rsid w:val="001919FF"/>
    <w:rsid w:val="00193B28"/>
    <w:rsid w:val="00194684"/>
    <w:rsid w:val="00195008"/>
    <w:rsid w:val="00196651"/>
    <w:rsid w:val="00196D2A"/>
    <w:rsid w:val="00197F23"/>
    <w:rsid w:val="001A064B"/>
    <w:rsid w:val="001A166C"/>
    <w:rsid w:val="001A16A9"/>
    <w:rsid w:val="001A355B"/>
    <w:rsid w:val="001A4BBB"/>
    <w:rsid w:val="001A547F"/>
    <w:rsid w:val="001A570E"/>
    <w:rsid w:val="001A642A"/>
    <w:rsid w:val="001A6E23"/>
    <w:rsid w:val="001A7189"/>
    <w:rsid w:val="001A76FC"/>
    <w:rsid w:val="001A797A"/>
    <w:rsid w:val="001B0183"/>
    <w:rsid w:val="001B0937"/>
    <w:rsid w:val="001B09D8"/>
    <w:rsid w:val="001B0C83"/>
    <w:rsid w:val="001B0E0D"/>
    <w:rsid w:val="001B0EB7"/>
    <w:rsid w:val="001B179E"/>
    <w:rsid w:val="001B2179"/>
    <w:rsid w:val="001B2E36"/>
    <w:rsid w:val="001B3910"/>
    <w:rsid w:val="001B430F"/>
    <w:rsid w:val="001B4324"/>
    <w:rsid w:val="001B5435"/>
    <w:rsid w:val="001B5A7D"/>
    <w:rsid w:val="001B5D13"/>
    <w:rsid w:val="001B6238"/>
    <w:rsid w:val="001B70F1"/>
    <w:rsid w:val="001B75B9"/>
    <w:rsid w:val="001C0931"/>
    <w:rsid w:val="001C1044"/>
    <w:rsid w:val="001C1B34"/>
    <w:rsid w:val="001C2176"/>
    <w:rsid w:val="001C296D"/>
    <w:rsid w:val="001C29FA"/>
    <w:rsid w:val="001C2B0D"/>
    <w:rsid w:val="001C3710"/>
    <w:rsid w:val="001C38EC"/>
    <w:rsid w:val="001C3AC2"/>
    <w:rsid w:val="001C4EB7"/>
    <w:rsid w:val="001C530D"/>
    <w:rsid w:val="001C6191"/>
    <w:rsid w:val="001C6632"/>
    <w:rsid w:val="001C6B2A"/>
    <w:rsid w:val="001D01DF"/>
    <w:rsid w:val="001D0942"/>
    <w:rsid w:val="001D2293"/>
    <w:rsid w:val="001D411F"/>
    <w:rsid w:val="001D45BA"/>
    <w:rsid w:val="001D47A5"/>
    <w:rsid w:val="001D4D77"/>
    <w:rsid w:val="001D6249"/>
    <w:rsid w:val="001D66F3"/>
    <w:rsid w:val="001E00EB"/>
    <w:rsid w:val="001E0AA4"/>
    <w:rsid w:val="001E107F"/>
    <w:rsid w:val="001E112C"/>
    <w:rsid w:val="001E136C"/>
    <w:rsid w:val="001E3337"/>
    <w:rsid w:val="001E3938"/>
    <w:rsid w:val="001E522E"/>
    <w:rsid w:val="001E580A"/>
    <w:rsid w:val="001E65A1"/>
    <w:rsid w:val="001E698D"/>
    <w:rsid w:val="001E70C0"/>
    <w:rsid w:val="001E74AC"/>
    <w:rsid w:val="001E757D"/>
    <w:rsid w:val="001E78F9"/>
    <w:rsid w:val="001E7D37"/>
    <w:rsid w:val="001E7F9C"/>
    <w:rsid w:val="001F036C"/>
    <w:rsid w:val="001F0B76"/>
    <w:rsid w:val="001F185A"/>
    <w:rsid w:val="001F2039"/>
    <w:rsid w:val="001F261B"/>
    <w:rsid w:val="001F342E"/>
    <w:rsid w:val="001F37BE"/>
    <w:rsid w:val="001F40FD"/>
    <w:rsid w:val="001F4708"/>
    <w:rsid w:val="001F54AE"/>
    <w:rsid w:val="001F55BD"/>
    <w:rsid w:val="001F5FE9"/>
    <w:rsid w:val="001F68E3"/>
    <w:rsid w:val="001F79CB"/>
    <w:rsid w:val="002016E4"/>
    <w:rsid w:val="002034B9"/>
    <w:rsid w:val="00203CC7"/>
    <w:rsid w:val="00204CE8"/>
    <w:rsid w:val="002050A3"/>
    <w:rsid w:val="00206446"/>
    <w:rsid w:val="00206EBF"/>
    <w:rsid w:val="002072B3"/>
    <w:rsid w:val="002075EA"/>
    <w:rsid w:val="00211199"/>
    <w:rsid w:val="00211B42"/>
    <w:rsid w:val="002127EC"/>
    <w:rsid w:val="00212F22"/>
    <w:rsid w:val="00214943"/>
    <w:rsid w:val="00215862"/>
    <w:rsid w:val="00216359"/>
    <w:rsid w:val="0021659F"/>
    <w:rsid w:val="00216CC9"/>
    <w:rsid w:val="00217521"/>
    <w:rsid w:val="00217B08"/>
    <w:rsid w:val="00217F7F"/>
    <w:rsid w:val="002203E7"/>
    <w:rsid w:val="0022099B"/>
    <w:rsid w:val="00221717"/>
    <w:rsid w:val="00222FDE"/>
    <w:rsid w:val="00223AD4"/>
    <w:rsid w:val="00224067"/>
    <w:rsid w:val="002243CE"/>
    <w:rsid w:val="00224562"/>
    <w:rsid w:val="00224C53"/>
    <w:rsid w:val="002255D7"/>
    <w:rsid w:val="002260D0"/>
    <w:rsid w:val="00226364"/>
    <w:rsid w:val="00226878"/>
    <w:rsid w:val="00230E21"/>
    <w:rsid w:val="0023197E"/>
    <w:rsid w:val="0023205F"/>
    <w:rsid w:val="00233AE0"/>
    <w:rsid w:val="00233B6E"/>
    <w:rsid w:val="00234EA0"/>
    <w:rsid w:val="00234FE5"/>
    <w:rsid w:val="00236419"/>
    <w:rsid w:val="00237AA1"/>
    <w:rsid w:val="0024015E"/>
    <w:rsid w:val="00240B60"/>
    <w:rsid w:val="00241C53"/>
    <w:rsid w:val="00243B4E"/>
    <w:rsid w:val="00243FB4"/>
    <w:rsid w:val="002447DB"/>
    <w:rsid w:val="002448C9"/>
    <w:rsid w:val="00245DE8"/>
    <w:rsid w:val="0025181D"/>
    <w:rsid w:val="00252D7C"/>
    <w:rsid w:val="00253201"/>
    <w:rsid w:val="00253D28"/>
    <w:rsid w:val="00254549"/>
    <w:rsid w:val="0025470E"/>
    <w:rsid w:val="00255590"/>
    <w:rsid w:val="0025735F"/>
    <w:rsid w:val="00257CC8"/>
    <w:rsid w:val="00260992"/>
    <w:rsid w:val="00260EEA"/>
    <w:rsid w:val="00261083"/>
    <w:rsid w:val="0026128D"/>
    <w:rsid w:val="00263073"/>
    <w:rsid w:val="002631A1"/>
    <w:rsid w:val="00263D1C"/>
    <w:rsid w:val="002646AE"/>
    <w:rsid w:val="00264E3C"/>
    <w:rsid w:val="00265585"/>
    <w:rsid w:val="002656ED"/>
    <w:rsid w:val="00265782"/>
    <w:rsid w:val="00265A2C"/>
    <w:rsid w:val="00265F05"/>
    <w:rsid w:val="00266274"/>
    <w:rsid w:val="00266F16"/>
    <w:rsid w:val="0027125A"/>
    <w:rsid w:val="00272C43"/>
    <w:rsid w:val="00273707"/>
    <w:rsid w:val="00273DA6"/>
    <w:rsid w:val="00275298"/>
    <w:rsid w:val="002757EE"/>
    <w:rsid w:val="002759F1"/>
    <w:rsid w:val="0027614E"/>
    <w:rsid w:val="002764B2"/>
    <w:rsid w:val="00280AA8"/>
    <w:rsid w:val="00280EB2"/>
    <w:rsid w:val="00281EF3"/>
    <w:rsid w:val="0028229E"/>
    <w:rsid w:val="002824A5"/>
    <w:rsid w:val="00282A49"/>
    <w:rsid w:val="00283851"/>
    <w:rsid w:val="00284308"/>
    <w:rsid w:val="00284427"/>
    <w:rsid w:val="00284C69"/>
    <w:rsid w:val="002851CC"/>
    <w:rsid w:val="0028551E"/>
    <w:rsid w:val="00285B8B"/>
    <w:rsid w:val="00285C11"/>
    <w:rsid w:val="00286640"/>
    <w:rsid w:val="002867F7"/>
    <w:rsid w:val="00290D8F"/>
    <w:rsid w:val="002911FF"/>
    <w:rsid w:val="00293687"/>
    <w:rsid w:val="002936A3"/>
    <w:rsid w:val="0029475D"/>
    <w:rsid w:val="00294E80"/>
    <w:rsid w:val="0029587E"/>
    <w:rsid w:val="00295F67"/>
    <w:rsid w:val="00296937"/>
    <w:rsid w:val="002969B1"/>
    <w:rsid w:val="002A0317"/>
    <w:rsid w:val="002A0BEA"/>
    <w:rsid w:val="002A169A"/>
    <w:rsid w:val="002A27C2"/>
    <w:rsid w:val="002A3679"/>
    <w:rsid w:val="002A3C7B"/>
    <w:rsid w:val="002A3CC4"/>
    <w:rsid w:val="002A45A5"/>
    <w:rsid w:val="002A4710"/>
    <w:rsid w:val="002A4A3A"/>
    <w:rsid w:val="002A522A"/>
    <w:rsid w:val="002A5A91"/>
    <w:rsid w:val="002B0257"/>
    <w:rsid w:val="002B02B3"/>
    <w:rsid w:val="002B02DB"/>
    <w:rsid w:val="002B089C"/>
    <w:rsid w:val="002B0DA4"/>
    <w:rsid w:val="002B1404"/>
    <w:rsid w:val="002B1638"/>
    <w:rsid w:val="002B2C39"/>
    <w:rsid w:val="002B2D3E"/>
    <w:rsid w:val="002B5272"/>
    <w:rsid w:val="002B596E"/>
    <w:rsid w:val="002B61D9"/>
    <w:rsid w:val="002B6286"/>
    <w:rsid w:val="002B68FC"/>
    <w:rsid w:val="002B7521"/>
    <w:rsid w:val="002C0DC3"/>
    <w:rsid w:val="002C173A"/>
    <w:rsid w:val="002C34AF"/>
    <w:rsid w:val="002C4025"/>
    <w:rsid w:val="002C5146"/>
    <w:rsid w:val="002C5C4D"/>
    <w:rsid w:val="002C6429"/>
    <w:rsid w:val="002C72F9"/>
    <w:rsid w:val="002C7407"/>
    <w:rsid w:val="002D0316"/>
    <w:rsid w:val="002D041C"/>
    <w:rsid w:val="002D0EAE"/>
    <w:rsid w:val="002D18DE"/>
    <w:rsid w:val="002D2587"/>
    <w:rsid w:val="002D29CF"/>
    <w:rsid w:val="002D656D"/>
    <w:rsid w:val="002D785A"/>
    <w:rsid w:val="002D7A65"/>
    <w:rsid w:val="002E0690"/>
    <w:rsid w:val="002E14A9"/>
    <w:rsid w:val="002E1933"/>
    <w:rsid w:val="002E2D53"/>
    <w:rsid w:val="002E433D"/>
    <w:rsid w:val="002E43B9"/>
    <w:rsid w:val="002E45C3"/>
    <w:rsid w:val="002E4CCC"/>
    <w:rsid w:val="002E4E87"/>
    <w:rsid w:val="002E4FDF"/>
    <w:rsid w:val="002E615D"/>
    <w:rsid w:val="002E6771"/>
    <w:rsid w:val="002E6DF7"/>
    <w:rsid w:val="002F0B44"/>
    <w:rsid w:val="002F0B84"/>
    <w:rsid w:val="002F1056"/>
    <w:rsid w:val="002F115B"/>
    <w:rsid w:val="002F257F"/>
    <w:rsid w:val="002F28C7"/>
    <w:rsid w:val="002F39F1"/>
    <w:rsid w:val="002F3E9A"/>
    <w:rsid w:val="002F4EB3"/>
    <w:rsid w:val="002F54E6"/>
    <w:rsid w:val="002F69A6"/>
    <w:rsid w:val="002F6E91"/>
    <w:rsid w:val="002F7D7E"/>
    <w:rsid w:val="0030017B"/>
    <w:rsid w:val="00300AB0"/>
    <w:rsid w:val="003015BD"/>
    <w:rsid w:val="00301904"/>
    <w:rsid w:val="00301FE6"/>
    <w:rsid w:val="00302545"/>
    <w:rsid w:val="0030405B"/>
    <w:rsid w:val="00304336"/>
    <w:rsid w:val="00304369"/>
    <w:rsid w:val="00305110"/>
    <w:rsid w:val="003051E0"/>
    <w:rsid w:val="00306C81"/>
    <w:rsid w:val="00310A21"/>
    <w:rsid w:val="003111AA"/>
    <w:rsid w:val="003113FD"/>
    <w:rsid w:val="00311BA1"/>
    <w:rsid w:val="00312ADF"/>
    <w:rsid w:val="00312E12"/>
    <w:rsid w:val="00313D29"/>
    <w:rsid w:val="003141D0"/>
    <w:rsid w:val="0031569B"/>
    <w:rsid w:val="00315B26"/>
    <w:rsid w:val="00316093"/>
    <w:rsid w:val="0031630A"/>
    <w:rsid w:val="00317343"/>
    <w:rsid w:val="00320E58"/>
    <w:rsid w:val="00322161"/>
    <w:rsid w:val="00322C0F"/>
    <w:rsid w:val="00324B92"/>
    <w:rsid w:val="00325B63"/>
    <w:rsid w:val="00326228"/>
    <w:rsid w:val="0033029E"/>
    <w:rsid w:val="003308B2"/>
    <w:rsid w:val="00330A9C"/>
    <w:rsid w:val="00330BF2"/>
    <w:rsid w:val="00330E20"/>
    <w:rsid w:val="0033150E"/>
    <w:rsid w:val="003318EB"/>
    <w:rsid w:val="003330CE"/>
    <w:rsid w:val="00333E70"/>
    <w:rsid w:val="00334642"/>
    <w:rsid w:val="00337DD9"/>
    <w:rsid w:val="0034046C"/>
    <w:rsid w:val="00341AC2"/>
    <w:rsid w:val="00341EAB"/>
    <w:rsid w:val="00342575"/>
    <w:rsid w:val="00342CFD"/>
    <w:rsid w:val="00344366"/>
    <w:rsid w:val="00344824"/>
    <w:rsid w:val="00344BE7"/>
    <w:rsid w:val="00345257"/>
    <w:rsid w:val="003457B3"/>
    <w:rsid w:val="00346B5D"/>
    <w:rsid w:val="003473FD"/>
    <w:rsid w:val="003474E2"/>
    <w:rsid w:val="00351198"/>
    <w:rsid w:val="003511B8"/>
    <w:rsid w:val="003519ED"/>
    <w:rsid w:val="00352635"/>
    <w:rsid w:val="003530D4"/>
    <w:rsid w:val="00353DB4"/>
    <w:rsid w:val="0035477D"/>
    <w:rsid w:val="00354C64"/>
    <w:rsid w:val="0035623D"/>
    <w:rsid w:val="00356B37"/>
    <w:rsid w:val="003576ED"/>
    <w:rsid w:val="0036004C"/>
    <w:rsid w:val="00366002"/>
    <w:rsid w:val="003664CA"/>
    <w:rsid w:val="00366970"/>
    <w:rsid w:val="00367CC8"/>
    <w:rsid w:val="00367E2A"/>
    <w:rsid w:val="00370224"/>
    <w:rsid w:val="003703EB"/>
    <w:rsid w:val="00370524"/>
    <w:rsid w:val="00370FDE"/>
    <w:rsid w:val="00372722"/>
    <w:rsid w:val="003737B2"/>
    <w:rsid w:val="00373816"/>
    <w:rsid w:val="003742E0"/>
    <w:rsid w:val="00374641"/>
    <w:rsid w:val="00374AE3"/>
    <w:rsid w:val="00374DFC"/>
    <w:rsid w:val="003759B0"/>
    <w:rsid w:val="003812FE"/>
    <w:rsid w:val="00381907"/>
    <w:rsid w:val="003822D5"/>
    <w:rsid w:val="00382A8C"/>
    <w:rsid w:val="00383BA9"/>
    <w:rsid w:val="00387EDA"/>
    <w:rsid w:val="003911F6"/>
    <w:rsid w:val="00391695"/>
    <w:rsid w:val="003916AA"/>
    <w:rsid w:val="003921F1"/>
    <w:rsid w:val="003926B1"/>
    <w:rsid w:val="00392BD1"/>
    <w:rsid w:val="00394085"/>
    <w:rsid w:val="00394CDA"/>
    <w:rsid w:val="00394E67"/>
    <w:rsid w:val="00395752"/>
    <w:rsid w:val="00395979"/>
    <w:rsid w:val="0039613B"/>
    <w:rsid w:val="00396648"/>
    <w:rsid w:val="00397E1F"/>
    <w:rsid w:val="003A0CCE"/>
    <w:rsid w:val="003A1156"/>
    <w:rsid w:val="003A168E"/>
    <w:rsid w:val="003A1DFC"/>
    <w:rsid w:val="003A3169"/>
    <w:rsid w:val="003A48BF"/>
    <w:rsid w:val="003A5105"/>
    <w:rsid w:val="003A5222"/>
    <w:rsid w:val="003A52DF"/>
    <w:rsid w:val="003A58A5"/>
    <w:rsid w:val="003A5DFA"/>
    <w:rsid w:val="003A7294"/>
    <w:rsid w:val="003A74BF"/>
    <w:rsid w:val="003B0870"/>
    <w:rsid w:val="003B0A45"/>
    <w:rsid w:val="003B16B6"/>
    <w:rsid w:val="003B1DBF"/>
    <w:rsid w:val="003B21E7"/>
    <w:rsid w:val="003B27FB"/>
    <w:rsid w:val="003B2FCC"/>
    <w:rsid w:val="003B549D"/>
    <w:rsid w:val="003B698A"/>
    <w:rsid w:val="003B70EA"/>
    <w:rsid w:val="003B7937"/>
    <w:rsid w:val="003C1B4D"/>
    <w:rsid w:val="003C1C53"/>
    <w:rsid w:val="003C2276"/>
    <w:rsid w:val="003C2B81"/>
    <w:rsid w:val="003C2D6D"/>
    <w:rsid w:val="003C2DBC"/>
    <w:rsid w:val="003C42AF"/>
    <w:rsid w:val="003C446F"/>
    <w:rsid w:val="003C4B78"/>
    <w:rsid w:val="003C5ED2"/>
    <w:rsid w:val="003C610D"/>
    <w:rsid w:val="003C65B1"/>
    <w:rsid w:val="003D11EE"/>
    <w:rsid w:val="003D2F71"/>
    <w:rsid w:val="003D47B6"/>
    <w:rsid w:val="003D5641"/>
    <w:rsid w:val="003D58A1"/>
    <w:rsid w:val="003D5970"/>
    <w:rsid w:val="003D5983"/>
    <w:rsid w:val="003D5ED4"/>
    <w:rsid w:val="003D6257"/>
    <w:rsid w:val="003E04EF"/>
    <w:rsid w:val="003E1F67"/>
    <w:rsid w:val="003E1F8C"/>
    <w:rsid w:val="003E204F"/>
    <w:rsid w:val="003E24DC"/>
    <w:rsid w:val="003E258B"/>
    <w:rsid w:val="003E279F"/>
    <w:rsid w:val="003E2C66"/>
    <w:rsid w:val="003E3007"/>
    <w:rsid w:val="003E373D"/>
    <w:rsid w:val="003E4B3E"/>
    <w:rsid w:val="003E774A"/>
    <w:rsid w:val="003F116F"/>
    <w:rsid w:val="003F127C"/>
    <w:rsid w:val="003F1DE6"/>
    <w:rsid w:val="003F2C75"/>
    <w:rsid w:val="003F52EC"/>
    <w:rsid w:val="003F56C0"/>
    <w:rsid w:val="003F59A5"/>
    <w:rsid w:val="003F5FFC"/>
    <w:rsid w:val="00400500"/>
    <w:rsid w:val="00400975"/>
    <w:rsid w:val="00400B88"/>
    <w:rsid w:val="00400DF3"/>
    <w:rsid w:val="004024FF"/>
    <w:rsid w:val="0040255D"/>
    <w:rsid w:val="00403F91"/>
    <w:rsid w:val="00404146"/>
    <w:rsid w:val="0040416E"/>
    <w:rsid w:val="004041AA"/>
    <w:rsid w:val="00404ED5"/>
    <w:rsid w:val="00406ABA"/>
    <w:rsid w:val="004071D4"/>
    <w:rsid w:val="004100B7"/>
    <w:rsid w:val="004111A1"/>
    <w:rsid w:val="004111E0"/>
    <w:rsid w:val="00412A3A"/>
    <w:rsid w:val="00413621"/>
    <w:rsid w:val="00414655"/>
    <w:rsid w:val="0041503B"/>
    <w:rsid w:val="0041617C"/>
    <w:rsid w:val="00416499"/>
    <w:rsid w:val="00416582"/>
    <w:rsid w:val="00416699"/>
    <w:rsid w:val="004171DE"/>
    <w:rsid w:val="004218B4"/>
    <w:rsid w:val="00421CA0"/>
    <w:rsid w:val="00421FF4"/>
    <w:rsid w:val="0042294A"/>
    <w:rsid w:val="00422969"/>
    <w:rsid w:val="00423BA0"/>
    <w:rsid w:val="00424D5B"/>
    <w:rsid w:val="00425133"/>
    <w:rsid w:val="004253EF"/>
    <w:rsid w:val="00426B25"/>
    <w:rsid w:val="00426CC5"/>
    <w:rsid w:val="0042773F"/>
    <w:rsid w:val="00427895"/>
    <w:rsid w:val="00427923"/>
    <w:rsid w:val="0043014D"/>
    <w:rsid w:val="0043046D"/>
    <w:rsid w:val="0043071A"/>
    <w:rsid w:val="00430768"/>
    <w:rsid w:val="00430C62"/>
    <w:rsid w:val="00430F8E"/>
    <w:rsid w:val="004310FC"/>
    <w:rsid w:val="0043143A"/>
    <w:rsid w:val="00431D90"/>
    <w:rsid w:val="00432EE7"/>
    <w:rsid w:val="00433933"/>
    <w:rsid w:val="00434E21"/>
    <w:rsid w:val="0043619C"/>
    <w:rsid w:val="00436F47"/>
    <w:rsid w:val="00437B52"/>
    <w:rsid w:val="00440614"/>
    <w:rsid w:val="0044097D"/>
    <w:rsid w:val="0044120B"/>
    <w:rsid w:val="004422F0"/>
    <w:rsid w:val="00443168"/>
    <w:rsid w:val="00443CC5"/>
    <w:rsid w:val="004442EE"/>
    <w:rsid w:val="0044542D"/>
    <w:rsid w:val="0044638F"/>
    <w:rsid w:val="00446607"/>
    <w:rsid w:val="0044688D"/>
    <w:rsid w:val="00446C7A"/>
    <w:rsid w:val="00447589"/>
    <w:rsid w:val="0044767E"/>
    <w:rsid w:val="00447C29"/>
    <w:rsid w:val="00450BA3"/>
    <w:rsid w:val="00450BD8"/>
    <w:rsid w:val="00450E0D"/>
    <w:rsid w:val="00450EF0"/>
    <w:rsid w:val="0045144E"/>
    <w:rsid w:val="00451D9A"/>
    <w:rsid w:val="00453BAB"/>
    <w:rsid w:val="00453BC0"/>
    <w:rsid w:val="00455AC8"/>
    <w:rsid w:val="004569E0"/>
    <w:rsid w:val="00456DD8"/>
    <w:rsid w:val="004571DD"/>
    <w:rsid w:val="00457C8F"/>
    <w:rsid w:val="0046040E"/>
    <w:rsid w:val="00460511"/>
    <w:rsid w:val="0046077A"/>
    <w:rsid w:val="004607BF"/>
    <w:rsid w:val="0046092C"/>
    <w:rsid w:val="00460C97"/>
    <w:rsid w:val="00460E51"/>
    <w:rsid w:val="004610BC"/>
    <w:rsid w:val="00462E04"/>
    <w:rsid w:val="00463022"/>
    <w:rsid w:val="004643F5"/>
    <w:rsid w:val="00464CC6"/>
    <w:rsid w:val="00464E96"/>
    <w:rsid w:val="0046545A"/>
    <w:rsid w:val="00466E5B"/>
    <w:rsid w:val="00467C17"/>
    <w:rsid w:val="00470657"/>
    <w:rsid w:val="00470EE9"/>
    <w:rsid w:val="004711A1"/>
    <w:rsid w:val="00471631"/>
    <w:rsid w:val="0047256B"/>
    <w:rsid w:val="00472BB6"/>
    <w:rsid w:val="00472E1F"/>
    <w:rsid w:val="0047359D"/>
    <w:rsid w:val="004735DF"/>
    <w:rsid w:val="00476239"/>
    <w:rsid w:val="00476F02"/>
    <w:rsid w:val="0047743F"/>
    <w:rsid w:val="00477E04"/>
    <w:rsid w:val="0048018D"/>
    <w:rsid w:val="004807BE"/>
    <w:rsid w:val="00480ADE"/>
    <w:rsid w:val="00480C91"/>
    <w:rsid w:val="00481B43"/>
    <w:rsid w:val="00481D45"/>
    <w:rsid w:val="00481FED"/>
    <w:rsid w:val="004826AC"/>
    <w:rsid w:val="00482A71"/>
    <w:rsid w:val="004835AE"/>
    <w:rsid w:val="00483FF5"/>
    <w:rsid w:val="004849A1"/>
    <w:rsid w:val="00485443"/>
    <w:rsid w:val="00485639"/>
    <w:rsid w:val="00485825"/>
    <w:rsid w:val="004877AC"/>
    <w:rsid w:val="0048794F"/>
    <w:rsid w:val="00487FFB"/>
    <w:rsid w:val="00490447"/>
    <w:rsid w:val="00490948"/>
    <w:rsid w:val="004919EF"/>
    <w:rsid w:val="00491C2B"/>
    <w:rsid w:val="00492A72"/>
    <w:rsid w:val="00492C69"/>
    <w:rsid w:val="00493261"/>
    <w:rsid w:val="00493F88"/>
    <w:rsid w:val="00494A6D"/>
    <w:rsid w:val="004956C4"/>
    <w:rsid w:val="00495B71"/>
    <w:rsid w:val="00496822"/>
    <w:rsid w:val="00496906"/>
    <w:rsid w:val="00496BB4"/>
    <w:rsid w:val="004971B7"/>
    <w:rsid w:val="004A0A09"/>
    <w:rsid w:val="004A187C"/>
    <w:rsid w:val="004A230B"/>
    <w:rsid w:val="004A3A51"/>
    <w:rsid w:val="004A3AF7"/>
    <w:rsid w:val="004A43E2"/>
    <w:rsid w:val="004A4CB2"/>
    <w:rsid w:val="004A51B1"/>
    <w:rsid w:val="004A613E"/>
    <w:rsid w:val="004A6198"/>
    <w:rsid w:val="004A6212"/>
    <w:rsid w:val="004A6E38"/>
    <w:rsid w:val="004A77DE"/>
    <w:rsid w:val="004B0068"/>
    <w:rsid w:val="004B0747"/>
    <w:rsid w:val="004B0CD8"/>
    <w:rsid w:val="004B1DE8"/>
    <w:rsid w:val="004B20CA"/>
    <w:rsid w:val="004B23F8"/>
    <w:rsid w:val="004B2D30"/>
    <w:rsid w:val="004B2E03"/>
    <w:rsid w:val="004B3906"/>
    <w:rsid w:val="004B4C9B"/>
    <w:rsid w:val="004B4DEA"/>
    <w:rsid w:val="004B5FB7"/>
    <w:rsid w:val="004B6F42"/>
    <w:rsid w:val="004C047A"/>
    <w:rsid w:val="004C0792"/>
    <w:rsid w:val="004C10D7"/>
    <w:rsid w:val="004C1309"/>
    <w:rsid w:val="004C1874"/>
    <w:rsid w:val="004C1883"/>
    <w:rsid w:val="004C1FB5"/>
    <w:rsid w:val="004C29B7"/>
    <w:rsid w:val="004C2E9F"/>
    <w:rsid w:val="004C3498"/>
    <w:rsid w:val="004C367F"/>
    <w:rsid w:val="004C3863"/>
    <w:rsid w:val="004C4FD5"/>
    <w:rsid w:val="004C5045"/>
    <w:rsid w:val="004C5162"/>
    <w:rsid w:val="004C536B"/>
    <w:rsid w:val="004C605C"/>
    <w:rsid w:val="004C7726"/>
    <w:rsid w:val="004C7D94"/>
    <w:rsid w:val="004D191F"/>
    <w:rsid w:val="004D28DB"/>
    <w:rsid w:val="004D2AE8"/>
    <w:rsid w:val="004D2D5A"/>
    <w:rsid w:val="004D2F5A"/>
    <w:rsid w:val="004D32F8"/>
    <w:rsid w:val="004D3328"/>
    <w:rsid w:val="004D3EA8"/>
    <w:rsid w:val="004D423C"/>
    <w:rsid w:val="004D5AC5"/>
    <w:rsid w:val="004D5C35"/>
    <w:rsid w:val="004D609C"/>
    <w:rsid w:val="004D6D3F"/>
    <w:rsid w:val="004D7E95"/>
    <w:rsid w:val="004E03B6"/>
    <w:rsid w:val="004E18D0"/>
    <w:rsid w:val="004E283A"/>
    <w:rsid w:val="004E2C62"/>
    <w:rsid w:val="004E372D"/>
    <w:rsid w:val="004E3973"/>
    <w:rsid w:val="004E3BD2"/>
    <w:rsid w:val="004E3FCB"/>
    <w:rsid w:val="004E4697"/>
    <w:rsid w:val="004E47B1"/>
    <w:rsid w:val="004E49ED"/>
    <w:rsid w:val="004E5B9B"/>
    <w:rsid w:val="004E6989"/>
    <w:rsid w:val="004E7430"/>
    <w:rsid w:val="004E7553"/>
    <w:rsid w:val="004E79DD"/>
    <w:rsid w:val="004F16DB"/>
    <w:rsid w:val="004F2D6D"/>
    <w:rsid w:val="004F3009"/>
    <w:rsid w:val="004F30A7"/>
    <w:rsid w:val="004F3797"/>
    <w:rsid w:val="004F3804"/>
    <w:rsid w:val="004F49C3"/>
    <w:rsid w:val="004F4E61"/>
    <w:rsid w:val="004F5145"/>
    <w:rsid w:val="004F535D"/>
    <w:rsid w:val="004F5C71"/>
    <w:rsid w:val="004F6443"/>
    <w:rsid w:val="004F68ED"/>
    <w:rsid w:val="004F79F1"/>
    <w:rsid w:val="00500F9A"/>
    <w:rsid w:val="005023B6"/>
    <w:rsid w:val="00503CC0"/>
    <w:rsid w:val="00505625"/>
    <w:rsid w:val="005059B2"/>
    <w:rsid w:val="005059B6"/>
    <w:rsid w:val="00505B77"/>
    <w:rsid w:val="0050763C"/>
    <w:rsid w:val="00507857"/>
    <w:rsid w:val="0051049A"/>
    <w:rsid w:val="00510648"/>
    <w:rsid w:val="00510C47"/>
    <w:rsid w:val="00510E06"/>
    <w:rsid w:val="005121EC"/>
    <w:rsid w:val="005130E1"/>
    <w:rsid w:val="0051326C"/>
    <w:rsid w:val="00513A48"/>
    <w:rsid w:val="00515261"/>
    <w:rsid w:val="005168EC"/>
    <w:rsid w:val="005169FF"/>
    <w:rsid w:val="00516FA5"/>
    <w:rsid w:val="00517EA4"/>
    <w:rsid w:val="00521856"/>
    <w:rsid w:val="00521C3E"/>
    <w:rsid w:val="00522DEA"/>
    <w:rsid w:val="0052310A"/>
    <w:rsid w:val="0052523B"/>
    <w:rsid w:val="00525A3A"/>
    <w:rsid w:val="00527567"/>
    <w:rsid w:val="00527D00"/>
    <w:rsid w:val="0053113B"/>
    <w:rsid w:val="005318A1"/>
    <w:rsid w:val="00531E42"/>
    <w:rsid w:val="00533DE6"/>
    <w:rsid w:val="005346DE"/>
    <w:rsid w:val="00536047"/>
    <w:rsid w:val="005377ED"/>
    <w:rsid w:val="00537F1F"/>
    <w:rsid w:val="005402D7"/>
    <w:rsid w:val="00540BDD"/>
    <w:rsid w:val="00540DBA"/>
    <w:rsid w:val="00540F19"/>
    <w:rsid w:val="00542484"/>
    <w:rsid w:val="00545306"/>
    <w:rsid w:val="005453B4"/>
    <w:rsid w:val="0054560A"/>
    <w:rsid w:val="00545AF3"/>
    <w:rsid w:val="00546ED0"/>
    <w:rsid w:val="005501E3"/>
    <w:rsid w:val="005503FD"/>
    <w:rsid w:val="00550530"/>
    <w:rsid w:val="00550DCD"/>
    <w:rsid w:val="00552587"/>
    <w:rsid w:val="005532F6"/>
    <w:rsid w:val="0055353F"/>
    <w:rsid w:val="00555DA4"/>
    <w:rsid w:val="00556011"/>
    <w:rsid w:val="00556520"/>
    <w:rsid w:val="00556AD5"/>
    <w:rsid w:val="00556B08"/>
    <w:rsid w:val="00557361"/>
    <w:rsid w:val="0055759D"/>
    <w:rsid w:val="00557BD1"/>
    <w:rsid w:val="00560202"/>
    <w:rsid w:val="00561230"/>
    <w:rsid w:val="00561299"/>
    <w:rsid w:val="005619C9"/>
    <w:rsid w:val="00562225"/>
    <w:rsid w:val="0056272A"/>
    <w:rsid w:val="00563069"/>
    <w:rsid w:val="005639FE"/>
    <w:rsid w:val="005641EE"/>
    <w:rsid w:val="005648BA"/>
    <w:rsid w:val="0056721E"/>
    <w:rsid w:val="005675A3"/>
    <w:rsid w:val="005712F8"/>
    <w:rsid w:val="0057180C"/>
    <w:rsid w:val="005726C1"/>
    <w:rsid w:val="005748BF"/>
    <w:rsid w:val="00574EAE"/>
    <w:rsid w:val="00575099"/>
    <w:rsid w:val="005750E4"/>
    <w:rsid w:val="005758D3"/>
    <w:rsid w:val="00575BA9"/>
    <w:rsid w:val="00575E50"/>
    <w:rsid w:val="00580B67"/>
    <w:rsid w:val="00580F9F"/>
    <w:rsid w:val="005817DB"/>
    <w:rsid w:val="005820B8"/>
    <w:rsid w:val="005831AF"/>
    <w:rsid w:val="00583674"/>
    <w:rsid w:val="00583E71"/>
    <w:rsid w:val="005855A2"/>
    <w:rsid w:val="005864D8"/>
    <w:rsid w:val="0059002D"/>
    <w:rsid w:val="005906A6"/>
    <w:rsid w:val="00590B55"/>
    <w:rsid w:val="00590FDC"/>
    <w:rsid w:val="0059155A"/>
    <w:rsid w:val="00591C03"/>
    <w:rsid w:val="00591E12"/>
    <w:rsid w:val="005931EC"/>
    <w:rsid w:val="00593F04"/>
    <w:rsid w:val="00594774"/>
    <w:rsid w:val="00594940"/>
    <w:rsid w:val="00594A5D"/>
    <w:rsid w:val="00594C04"/>
    <w:rsid w:val="005955A2"/>
    <w:rsid w:val="00596500"/>
    <w:rsid w:val="00596875"/>
    <w:rsid w:val="00597617"/>
    <w:rsid w:val="005A126C"/>
    <w:rsid w:val="005A17C8"/>
    <w:rsid w:val="005A4129"/>
    <w:rsid w:val="005A542C"/>
    <w:rsid w:val="005A724B"/>
    <w:rsid w:val="005A7FB0"/>
    <w:rsid w:val="005B0BBD"/>
    <w:rsid w:val="005B10AA"/>
    <w:rsid w:val="005B1CF8"/>
    <w:rsid w:val="005B2D50"/>
    <w:rsid w:val="005B2D6C"/>
    <w:rsid w:val="005B38C1"/>
    <w:rsid w:val="005B5753"/>
    <w:rsid w:val="005B6427"/>
    <w:rsid w:val="005B78C9"/>
    <w:rsid w:val="005C0314"/>
    <w:rsid w:val="005C1608"/>
    <w:rsid w:val="005C1E47"/>
    <w:rsid w:val="005C21DA"/>
    <w:rsid w:val="005C3072"/>
    <w:rsid w:val="005C3C54"/>
    <w:rsid w:val="005C55AB"/>
    <w:rsid w:val="005C59AA"/>
    <w:rsid w:val="005C5CD1"/>
    <w:rsid w:val="005C6FA0"/>
    <w:rsid w:val="005C7DD2"/>
    <w:rsid w:val="005D05E4"/>
    <w:rsid w:val="005D2E23"/>
    <w:rsid w:val="005D306C"/>
    <w:rsid w:val="005D3A2B"/>
    <w:rsid w:val="005D40A8"/>
    <w:rsid w:val="005D5052"/>
    <w:rsid w:val="005D59E8"/>
    <w:rsid w:val="005D5BE5"/>
    <w:rsid w:val="005D5D44"/>
    <w:rsid w:val="005D5E42"/>
    <w:rsid w:val="005D5FAB"/>
    <w:rsid w:val="005D6059"/>
    <w:rsid w:val="005D70AF"/>
    <w:rsid w:val="005D78F5"/>
    <w:rsid w:val="005D7AAA"/>
    <w:rsid w:val="005D7CCB"/>
    <w:rsid w:val="005E0772"/>
    <w:rsid w:val="005E1990"/>
    <w:rsid w:val="005E246B"/>
    <w:rsid w:val="005E31CD"/>
    <w:rsid w:val="005E3788"/>
    <w:rsid w:val="005E39E4"/>
    <w:rsid w:val="005E5D99"/>
    <w:rsid w:val="005E6804"/>
    <w:rsid w:val="005E6892"/>
    <w:rsid w:val="005E6F31"/>
    <w:rsid w:val="005F0503"/>
    <w:rsid w:val="005F1020"/>
    <w:rsid w:val="005F1B98"/>
    <w:rsid w:val="005F1C9B"/>
    <w:rsid w:val="005F31D0"/>
    <w:rsid w:val="005F3BCA"/>
    <w:rsid w:val="005F48D5"/>
    <w:rsid w:val="005F5720"/>
    <w:rsid w:val="005F61D9"/>
    <w:rsid w:val="005F63AE"/>
    <w:rsid w:val="005F7360"/>
    <w:rsid w:val="005F79BB"/>
    <w:rsid w:val="006001D2"/>
    <w:rsid w:val="00600852"/>
    <w:rsid w:val="00600C56"/>
    <w:rsid w:val="006015F4"/>
    <w:rsid w:val="006016C5"/>
    <w:rsid w:val="0060231F"/>
    <w:rsid w:val="006028AE"/>
    <w:rsid w:val="00602ACD"/>
    <w:rsid w:val="00602FDB"/>
    <w:rsid w:val="00603550"/>
    <w:rsid w:val="006035BB"/>
    <w:rsid w:val="0060382A"/>
    <w:rsid w:val="0060423E"/>
    <w:rsid w:val="00605544"/>
    <w:rsid w:val="00605C17"/>
    <w:rsid w:val="00605D9A"/>
    <w:rsid w:val="0060644C"/>
    <w:rsid w:val="0060741D"/>
    <w:rsid w:val="0060767B"/>
    <w:rsid w:val="00610205"/>
    <w:rsid w:val="00610D7B"/>
    <w:rsid w:val="0061203A"/>
    <w:rsid w:val="00612148"/>
    <w:rsid w:val="00612FFA"/>
    <w:rsid w:val="00613949"/>
    <w:rsid w:val="00613FC1"/>
    <w:rsid w:val="006144C1"/>
    <w:rsid w:val="00615D81"/>
    <w:rsid w:val="0061677A"/>
    <w:rsid w:val="0061777A"/>
    <w:rsid w:val="006204EF"/>
    <w:rsid w:val="006204F9"/>
    <w:rsid w:val="00621244"/>
    <w:rsid w:val="006217CE"/>
    <w:rsid w:val="00621AA2"/>
    <w:rsid w:val="00622C46"/>
    <w:rsid w:val="00622F6B"/>
    <w:rsid w:val="00623F5E"/>
    <w:rsid w:val="00623FE6"/>
    <w:rsid w:val="00624186"/>
    <w:rsid w:val="006249C1"/>
    <w:rsid w:val="00624DD2"/>
    <w:rsid w:val="00625513"/>
    <w:rsid w:val="0062606C"/>
    <w:rsid w:val="00627664"/>
    <w:rsid w:val="00630B1F"/>
    <w:rsid w:val="00630D4C"/>
    <w:rsid w:val="00630EE3"/>
    <w:rsid w:val="006350BC"/>
    <w:rsid w:val="0063651A"/>
    <w:rsid w:val="00636DE5"/>
    <w:rsid w:val="00637563"/>
    <w:rsid w:val="00637E64"/>
    <w:rsid w:val="006403E8"/>
    <w:rsid w:val="00640845"/>
    <w:rsid w:val="00640FB1"/>
    <w:rsid w:val="00641352"/>
    <w:rsid w:val="00646D99"/>
    <w:rsid w:val="00646F2B"/>
    <w:rsid w:val="00647205"/>
    <w:rsid w:val="006504D7"/>
    <w:rsid w:val="00651451"/>
    <w:rsid w:val="00652791"/>
    <w:rsid w:val="006533AF"/>
    <w:rsid w:val="0065340D"/>
    <w:rsid w:val="00653A7A"/>
    <w:rsid w:val="00653C5D"/>
    <w:rsid w:val="00653FC1"/>
    <w:rsid w:val="0065540C"/>
    <w:rsid w:val="00655D5E"/>
    <w:rsid w:val="006571AA"/>
    <w:rsid w:val="0066257B"/>
    <w:rsid w:val="0066381A"/>
    <w:rsid w:val="00663AA4"/>
    <w:rsid w:val="00663C58"/>
    <w:rsid w:val="00665074"/>
    <w:rsid w:val="00665CB0"/>
    <w:rsid w:val="00665FD8"/>
    <w:rsid w:val="006708D6"/>
    <w:rsid w:val="00670E9B"/>
    <w:rsid w:val="00671679"/>
    <w:rsid w:val="00671AEF"/>
    <w:rsid w:val="00671DC5"/>
    <w:rsid w:val="00671DE2"/>
    <w:rsid w:val="00672C25"/>
    <w:rsid w:val="00673046"/>
    <w:rsid w:val="00673211"/>
    <w:rsid w:val="006736E4"/>
    <w:rsid w:val="0067464F"/>
    <w:rsid w:val="006755F4"/>
    <w:rsid w:val="0067560A"/>
    <w:rsid w:val="0067586B"/>
    <w:rsid w:val="00675EA2"/>
    <w:rsid w:val="006772B3"/>
    <w:rsid w:val="006773FF"/>
    <w:rsid w:val="00682A14"/>
    <w:rsid w:val="006834FF"/>
    <w:rsid w:val="006835DB"/>
    <w:rsid w:val="006839B7"/>
    <w:rsid w:val="00683FA7"/>
    <w:rsid w:val="006849E8"/>
    <w:rsid w:val="00686843"/>
    <w:rsid w:val="00686B53"/>
    <w:rsid w:val="00690933"/>
    <w:rsid w:val="006923DF"/>
    <w:rsid w:val="00692C43"/>
    <w:rsid w:val="0069317C"/>
    <w:rsid w:val="0069415E"/>
    <w:rsid w:val="006942F6"/>
    <w:rsid w:val="00694DD6"/>
    <w:rsid w:val="00696407"/>
    <w:rsid w:val="00696B16"/>
    <w:rsid w:val="00696DD7"/>
    <w:rsid w:val="006A0053"/>
    <w:rsid w:val="006A08CA"/>
    <w:rsid w:val="006A0D5E"/>
    <w:rsid w:val="006A13C7"/>
    <w:rsid w:val="006A14E5"/>
    <w:rsid w:val="006A1B09"/>
    <w:rsid w:val="006A287F"/>
    <w:rsid w:val="006A28F1"/>
    <w:rsid w:val="006A2AF0"/>
    <w:rsid w:val="006A3A53"/>
    <w:rsid w:val="006A5A62"/>
    <w:rsid w:val="006A7D2D"/>
    <w:rsid w:val="006B1173"/>
    <w:rsid w:val="006B152B"/>
    <w:rsid w:val="006B1800"/>
    <w:rsid w:val="006B1BBE"/>
    <w:rsid w:val="006B32EC"/>
    <w:rsid w:val="006B35A3"/>
    <w:rsid w:val="006B39EA"/>
    <w:rsid w:val="006B4371"/>
    <w:rsid w:val="006B57DE"/>
    <w:rsid w:val="006B5D0F"/>
    <w:rsid w:val="006B628A"/>
    <w:rsid w:val="006B63C3"/>
    <w:rsid w:val="006B67D5"/>
    <w:rsid w:val="006B722F"/>
    <w:rsid w:val="006B7E3F"/>
    <w:rsid w:val="006C17CB"/>
    <w:rsid w:val="006C4748"/>
    <w:rsid w:val="006C4BB9"/>
    <w:rsid w:val="006C717F"/>
    <w:rsid w:val="006D059B"/>
    <w:rsid w:val="006D0980"/>
    <w:rsid w:val="006D1794"/>
    <w:rsid w:val="006D2702"/>
    <w:rsid w:val="006D2C6F"/>
    <w:rsid w:val="006D2D42"/>
    <w:rsid w:val="006D2F2D"/>
    <w:rsid w:val="006D3684"/>
    <w:rsid w:val="006D3806"/>
    <w:rsid w:val="006D4C20"/>
    <w:rsid w:val="006D6F28"/>
    <w:rsid w:val="006D6FDB"/>
    <w:rsid w:val="006D7060"/>
    <w:rsid w:val="006E1BCD"/>
    <w:rsid w:val="006E29EA"/>
    <w:rsid w:val="006E39E5"/>
    <w:rsid w:val="006E484B"/>
    <w:rsid w:val="006E486D"/>
    <w:rsid w:val="006E5234"/>
    <w:rsid w:val="006E551D"/>
    <w:rsid w:val="006E6198"/>
    <w:rsid w:val="006E69A6"/>
    <w:rsid w:val="006E6B4B"/>
    <w:rsid w:val="006E713C"/>
    <w:rsid w:val="006E7665"/>
    <w:rsid w:val="006F0397"/>
    <w:rsid w:val="006F1743"/>
    <w:rsid w:val="006F21C4"/>
    <w:rsid w:val="006F22E7"/>
    <w:rsid w:val="006F358C"/>
    <w:rsid w:val="006F367C"/>
    <w:rsid w:val="006F431A"/>
    <w:rsid w:val="006F519B"/>
    <w:rsid w:val="006F6626"/>
    <w:rsid w:val="006F7D6A"/>
    <w:rsid w:val="0070260C"/>
    <w:rsid w:val="0070328D"/>
    <w:rsid w:val="007035A8"/>
    <w:rsid w:val="0070373F"/>
    <w:rsid w:val="00703C65"/>
    <w:rsid w:val="0070478F"/>
    <w:rsid w:val="00705EE5"/>
    <w:rsid w:val="007076D8"/>
    <w:rsid w:val="007077DD"/>
    <w:rsid w:val="00710533"/>
    <w:rsid w:val="0071086F"/>
    <w:rsid w:val="00710A19"/>
    <w:rsid w:val="00710BEB"/>
    <w:rsid w:val="00711531"/>
    <w:rsid w:val="00712DB2"/>
    <w:rsid w:val="00713834"/>
    <w:rsid w:val="00714F84"/>
    <w:rsid w:val="00715860"/>
    <w:rsid w:val="00716834"/>
    <w:rsid w:val="007175DF"/>
    <w:rsid w:val="00717861"/>
    <w:rsid w:val="00720013"/>
    <w:rsid w:val="007200C2"/>
    <w:rsid w:val="00720201"/>
    <w:rsid w:val="00722116"/>
    <w:rsid w:val="00725C73"/>
    <w:rsid w:val="00726451"/>
    <w:rsid w:val="00726F30"/>
    <w:rsid w:val="0072739B"/>
    <w:rsid w:val="00727B83"/>
    <w:rsid w:val="00730339"/>
    <w:rsid w:val="00730A55"/>
    <w:rsid w:val="00730CF5"/>
    <w:rsid w:val="00732624"/>
    <w:rsid w:val="00733739"/>
    <w:rsid w:val="007337AB"/>
    <w:rsid w:val="00734924"/>
    <w:rsid w:val="00734D8D"/>
    <w:rsid w:val="0073541C"/>
    <w:rsid w:val="00735562"/>
    <w:rsid w:val="00735871"/>
    <w:rsid w:val="007362B3"/>
    <w:rsid w:val="00737112"/>
    <w:rsid w:val="007403D7"/>
    <w:rsid w:val="00741A23"/>
    <w:rsid w:val="0074250F"/>
    <w:rsid w:val="00742C4E"/>
    <w:rsid w:val="0074372A"/>
    <w:rsid w:val="0074385D"/>
    <w:rsid w:val="00745014"/>
    <w:rsid w:val="007462BE"/>
    <w:rsid w:val="00746B41"/>
    <w:rsid w:val="007471FB"/>
    <w:rsid w:val="00747F1B"/>
    <w:rsid w:val="007500AF"/>
    <w:rsid w:val="0075049C"/>
    <w:rsid w:val="007519B0"/>
    <w:rsid w:val="00753277"/>
    <w:rsid w:val="00753432"/>
    <w:rsid w:val="00753E4E"/>
    <w:rsid w:val="007545C0"/>
    <w:rsid w:val="00756B90"/>
    <w:rsid w:val="00756C8B"/>
    <w:rsid w:val="00757272"/>
    <w:rsid w:val="007572CB"/>
    <w:rsid w:val="007605A0"/>
    <w:rsid w:val="00760D87"/>
    <w:rsid w:val="00760F56"/>
    <w:rsid w:val="00762E28"/>
    <w:rsid w:val="007638A7"/>
    <w:rsid w:val="00764283"/>
    <w:rsid w:val="007643B6"/>
    <w:rsid w:val="00765420"/>
    <w:rsid w:val="00766666"/>
    <w:rsid w:val="00767426"/>
    <w:rsid w:val="007702A1"/>
    <w:rsid w:val="00771061"/>
    <w:rsid w:val="00771CA8"/>
    <w:rsid w:val="00772DA0"/>
    <w:rsid w:val="00773720"/>
    <w:rsid w:val="00773B96"/>
    <w:rsid w:val="0077421A"/>
    <w:rsid w:val="007757EC"/>
    <w:rsid w:val="00776377"/>
    <w:rsid w:val="007764F9"/>
    <w:rsid w:val="00776D9A"/>
    <w:rsid w:val="00777359"/>
    <w:rsid w:val="00780D88"/>
    <w:rsid w:val="0078178F"/>
    <w:rsid w:val="00783281"/>
    <w:rsid w:val="00783B34"/>
    <w:rsid w:val="007845B5"/>
    <w:rsid w:val="007848A0"/>
    <w:rsid w:val="0078648F"/>
    <w:rsid w:val="007869F8"/>
    <w:rsid w:val="00787217"/>
    <w:rsid w:val="007903F1"/>
    <w:rsid w:val="00790824"/>
    <w:rsid w:val="0079082C"/>
    <w:rsid w:val="0079273D"/>
    <w:rsid w:val="00792B9F"/>
    <w:rsid w:val="007935E4"/>
    <w:rsid w:val="007941E0"/>
    <w:rsid w:val="00794211"/>
    <w:rsid w:val="007944E6"/>
    <w:rsid w:val="007947EB"/>
    <w:rsid w:val="00794B40"/>
    <w:rsid w:val="00794BC6"/>
    <w:rsid w:val="007969F6"/>
    <w:rsid w:val="00796AFB"/>
    <w:rsid w:val="007971E2"/>
    <w:rsid w:val="00797C19"/>
    <w:rsid w:val="007A0473"/>
    <w:rsid w:val="007A0E48"/>
    <w:rsid w:val="007A1320"/>
    <w:rsid w:val="007A2E06"/>
    <w:rsid w:val="007A35F5"/>
    <w:rsid w:val="007A4619"/>
    <w:rsid w:val="007A4C3A"/>
    <w:rsid w:val="007A6A1C"/>
    <w:rsid w:val="007A6AFF"/>
    <w:rsid w:val="007A6E09"/>
    <w:rsid w:val="007A71D0"/>
    <w:rsid w:val="007B01F0"/>
    <w:rsid w:val="007B0539"/>
    <w:rsid w:val="007B0BFA"/>
    <w:rsid w:val="007B0E31"/>
    <w:rsid w:val="007B0E77"/>
    <w:rsid w:val="007B121A"/>
    <w:rsid w:val="007B1B75"/>
    <w:rsid w:val="007B1CD9"/>
    <w:rsid w:val="007B1EB2"/>
    <w:rsid w:val="007B27CC"/>
    <w:rsid w:val="007B2BE4"/>
    <w:rsid w:val="007B2CE2"/>
    <w:rsid w:val="007B4061"/>
    <w:rsid w:val="007B466C"/>
    <w:rsid w:val="007B4705"/>
    <w:rsid w:val="007B51D4"/>
    <w:rsid w:val="007B5295"/>
    <w:rsid w:val="007B5523"/>
    <w:rsid w:val="007B5694"/>
    <w:rsid w:val="007B5E56"/>
    <w:rsid w:val="007B6018"/>
    <w:rsid w:val="007B71B7"/>
    <w:rsid w:val="007C0210"/>
    <w:rsid w:val="007C145D"/>
    <w:rsid w:val="007C1D57"/>
    <w:rsid w:val="007C3B31"/>
    <w:rsid w:val="007C3EF1"/>
    <w:rsid w:val="007C697E"/>
    <w:rsid w:val="007C700C"/>
    <w:rsid w:val="007C7A6F"/>
    <w:rsid w:val="007D04E4"/>
    <w:rsid w:val="007D1979"/>
    <w:rsid w:val="007D1C52"/>
    <w:rsid w:val="007D2633"/>
    <w:rsid w:val="007D2683"/>
    <w:rsid w:val="007D3061"/>
    <w:rsid w:val="007D36B2"/>
    <w:rsid w:val="007D45EB"/>
    <w:rsid w:val="007D46B4"/>
    <w:rsid w:val="007D5B74"/>
    <w:rsid w:val="007D5DD2"/>
    <w:rsid w:val="007D6FF5"/>
    <w:rsid w:val="007D73DD"/>
    <w:rsid w:val="007E01AC"/>
    <w:rsid w:val="007E0582"/>
    <w:rsid w:val="007E12BE"/>
    <w:rsid w:val="007E1C9B"/>
    <w:rsid w:val="007E2121"/>
    <w:rsid w:val="007E3E79"/>
    <w:rsid w:val="007E3FB6"/>
    <w:rsid w:val="007E4AD6"/>
    <w:rsid w:val="007E4CE6"/>
    <w:rsid w:val="007E569E"/>
    <w:rsid w:val="007E5D08"/>
    <w:rsid w:val="007E6611"/>
    <w:rsid w:val="007E670B"/>
    <w:rsid w:val="007E7111"/>
    <w:rsid w:val="007F0312"/>
    <w:rsid w:val="007F049E"/>
    <w:rsid w:val="007F1824"/>
    <w:rsid w:val="007F2B3B"/>
    <w:rsid w:val="007F37EF"/>
    <w:rsid w:val="007F3A67"/>
    <w:rsid w:val="007F3E92"/>
    <w:rsid w:val="007F43F3"/>
    <w:rsid w:val="007F4510"/>
    <w:rsid w:val="007F463E"/>
    <w:rsid w:val="007F49D2"/>
    <w:rsid w:val="007F53B9"/>
    <w:rsid w:val="007F55B6"/>
    <w:rsid w:val="007F688F"/>
    <w:rsid w:val="00800506"/>
    <w:rsid w:val="00800984"/>
    <w:rsid w:val="00800C5A"/>
    <w:rsid w:val="00801702"/>
    <w:rsid w:val="00801B89"/>
    <w:rsid w:val="0080373E"/>
    <w:rsid w:val="00803AAB"/>
    <w:rsid w:val="00803E42"/>
    <w:rsid w:val="0080510F"/>
    <w:rsid w:val="00805C0F"/>
    <w:rsid w:val="00806D03"/>
    <w:rsid w:val="00811F58"/>
    <w:rsid w:val="00812C5F"/>
    <w:rsid w:val="00813FB1"/>
    <w:rsid w:val="00814FD2"/>
    <w:rsid w:val="00814FE5"/>
    <w:rsid w:val="00816213"/>
    <w:rsid w:val="0081668F"/>
    <w:rsid w:val="00816B0B"/>
    <w:rsid w:val="00820A3D"/>
    <w:rsid w:val="00820BB5"/>
    <w:rsid w:val="00821414"/>
    <w:rsid w:val="00821891"/>
    <w:rsid w:val="00821FA3"/>
    <w:rsid w:val="008232C8"/>
    <w:rsid w:val="0082374D"/>
    <w:rsid w:val="008248C5"/>
    <w:rsid w:val="00824B0E"/>
    <w:rsid w:val="00824B86"/>
    <w:rsid w:val="008252C3"/>
    <w:rsid w:val="0082701B"/>
    <w:rsid w:val="008274F9"/>
    <w:rsid w:val="0083044A"/>
    <w:rsid w:val="0083050E"/>
    <w:rsid w:val="00830651"/>
    <w:rsid w:val="008317B5"/>
    <w:rsid w:val="008317F1"/>
    <w:rsid w:val="00831D79"/>
    <w:rsid w:val="00833151"/>
    <w:rsid w:val="008339B5"/>
    <w:rsid w:val="008340AB"/>
    <w:rsid w:val="008342F4"/>
    <w:rsid w:val="00834B4A"/>
    <w:rsid w:val="008359D6"/>
    <w:rsid w:val="00835DAE"/>
    <w:rsid w:val="0083605D"/>
    <w:rsid w:val="00836B60"/>
    <w:rsid w:val="00836CC0"/>
    <w:rsid w:val="00837229"/>
    <w:rsid w:val="00840530"/>
    <w:rsid w:val="00840C18"/>
    <w:rsid w:val="008433E7"/>
    <w:rsid w:val="00844A02"/>
    <w:rsid w:val="00846EEC"/>
    <w:rsid w:val="008477B6"/>
    <w:rsid w:val="00850346"/>
    <w:rsid w:val="00851282"/>
    <w:rsid w:val="00852427"/>
    <w:rsid w:val="00853F8C"/>
    <w:rsid w:val="00854C60"/>
    <w:rsid w:val="00854F38"/>
    <w:rsid w:val="0085553F"/>
    <w:rsid w:val="00855E22"/>
    <w:rsid w:val="0085664F"/>
    <w:rsid w:val="00856BAD"/>
    <w:rsid w:val="008579F7"/>
    <w:rsid w:val="00860072"/>
    <w:rsid w:val="008603EF"/>
    <w:rsid w:val="008605D6"/>
    <w:rsid w:val="0086061B"/>
    <w:rsid w:val="00861385"/>
    <w:rsid w:val="0086177E"/>
    <w:rsid w:val="008626E8"/>
    <w:rsid w:val="008658E4"/>
    <w:rsid w:val="00865FB8"/>
    <w:rsid w:val="00867551"/>
    <w:rsid w:val="00867937"/>
    <w:rsid w:val="00870464"/>
    <w:rsid w:val="00870C0C"/>
    <w:rsid w:val="00871A39"/>
    <w:rsid w:val="00871D37"/>
    <w:rsid w:val="00872E54"/>
    <w:rsid w:val="00872F56"/>
    <w:rsid w:val="0087305E"/>
    <w:rsid w:val="008737CB"/>
    <w:rsid w:val="008747AA"/>
    <w:rsid w:val="008764DB"/>
    <w:rsid w:val="008765B1"/>
    <w:rsid w:val="00877F83"/>
    <w:rsid w:val="008811B2"/>
    <w:rsid w:val="00881487"/>
    <w:rsid w:val="00882607"/>
    <w:rsid w:val="008836E3"/>
    <w:rsid w:val="00885875"/>
    <w:rsid w:val="00885FA0"/>
    <w:rsid w:val="00886118"/>
    <w:rsid w:val="0088662E"/>
    <w:rsid w:val="00887678"/>
    <w:rsid w:val="0088773E"/>
    <w:rsid w:val="00887B07"/>
    <w:rsid w:val="00887C4B"/>
    <w:rsid w:val="00890EE4"/>
    <w:rsid w:val="00890FC2"/>
    <w:rsid w:val="00891650"/>
    <w:rsid w:val="00891EE4"/>
    <w:rsid w:val="008928CB"/>
    <w:rsid w:val="00893177"/>
    <w:rsid w:val="00893B12"/>
    <w:rsid w:val="00894FB9"/>
    <w:rsid w:val="00895B1B"/>
    <w:rsid w:val="00896299"/>
    <w:rsid w:val="00896ED2"/>
    <w:rsid w:val="00897C4D"/>
    <w:rsid w:val="008A0DFE"/>
    <w:rsid w:val="008A1E71"/>
    <w:rsid w:val="008A4203"/>
    <w:rsid w:val="008A4EE3"/>
    <w:rsid w:val="008A5207"/>
    <w:rsid w:val="008A55BE"/>
    <w:rsid w:val="008A5D36"/>
    <w:rsid w:val="008A637B"/>
    <w:rsid w:val="008A6824"/>
    <w:rsid w:val="008A74C4"/>
    <w:rsid w:val="008A7F63"/>
    <w:rsid w:val="008B0453"/>
    <w:rsid w:val="008B1566"/>
    <w:rsid w:val="008B3F60"/>
    <w:rsid w:val="008B4E74"/>
    <w:rsid w:val="008B5CF9"/>
    <w:rsid w:val="008B789A"/>
    <w:rsid w:val="008C0AF2"/>
    <w:rsid w:val="008C1589"/>
    <w:rsid w:val="008C166C"/>
    <w:rsid w:val="008C1A21"/>
    <w:rsid w:val="008C2494"/>
    <w:rsid w:val="008C2C85"/>
    <w:rsid w:val="008C5BC3"/>
    <w:rsid w:val="008C6ABF"/>
    <w:rsid w:val="008C7653"/>
    <w:rsid w:val="008C7716"/>
    <w:rsid w:val="008D00F3"/>
    <w:rsid w:val="008D12E0"/>
    <w:rsid w:val="008D1728"/>
    <w:rsid w:val="008D1846"/>
    <w:rsid w:val="008D279F"/>
    <w:rsid w:val="008D342B"/>
    <w:rsid w:val="008D3723"/>
    <w:rsid w:val="008D4EEB"/>
    <w:rsid w:val="008D4FFD"/>
    <w:rsid w:val="008D5EB7"/>
    <w:rsid w:val="008D7097"/>
    <w:rsid w:val="008D7642"/>
    <w:rsid w:val="008D7B46"/>
    <w:rsid w:val="008E0284"/>
    <w:rsid w:val="008E1209"/>
    <w:rsid w:val="008E2C91"/>
    <w:rsid w:val="008E2CCC"/>
    <w:rsid w:val="008E3257"/>
    <w:rsid w:val="008E3267"/>
    <w:rsid w:val="008E4D68"/>
    <w:rsid w:val="008E5F8F"/>
    <w:rsid w:val="008E6ED1"/>
    <w:rsid w:val="008E763C"/>
    <w:rsid w:val="008E7C09"/>
    <w:rsid w:val="008E7F2A"/>
    <w:rsid w:val="008F1215"/>
    <w:rsid w:val="008F1AA0"/>
    <w:rsid w:val="008F2477"/>
    <w:rsid w:val="008F2494"/>
    <w:rsid w:val="008F2C75"/>
    <w:rsid w:val="008F2E6E"/>
    <w:rsid w:val="008F4788"/>
    <w:rsid w:val="008F55CD"/>
    <w:rsid w:val="008F5D51"/>
    <w:rsid w:val="008F66E3"/>
    <w:rsid w:val="008F6C4D"/>
    <w:rsid w:val="008F7CAF"/>
    <w:rsid w:val="0090052E"/>
    <w:rsid w:val="00900DF1"/>
    <w:rsid w:val="00901639"/>
    <w:rsid w:val="0090202E"/>
    <w:rsid w:val="009020A4"/>
    <w:rsid w:val="00902443"/>
    <w:rsid w:val="009029D9"/>
    <w:rsid w:val="00902B6A"/>
    <w:rsid w:val="00902BEB"/>
    <w:rsid w:val="00905E34"/>
    <w:rsid w:val="0090642D"/>
    <w:rsid w:val="00907102"/>
    <w:rsid w:val="00907C37"/>
    <w:rsid w:val="00910392"/>
    <w:rsid w:val="00910799"/>
    <w:rsid w:val="00911496"/>
    <w:rsid w:val="00911EBA"/>
    <w:rsid w:val="00914896"/>
    <w:rsid w:val="00914B15"/>
    <w:rsid w:val="009158A6"/>
    <w:rsid w:val="00915D4C"/>
    <w:rsid w:val="00916805"/>
    <w:rsid w:val="00916E36"/>
    <w:rsid w:val="009171CF"/>
    <w:rsid w:val="00917B89"/>
    <w:rsid w:val="00917C30"/>
    <w:rsid w:val="0092130E"/>
    <w:rsid w:val="009217CD"/>
    <w:rsid w:val="009219FD"/>
    <w:rsid w:val="0092222E"/>
    <w:rsid w:val="00923AD6"/>
    <w:rsid w:val="00923D6D"/>
    <w:rsid w:val="00924748"/>
    <w:rsid w:val="009249AD"/>
    <w:rsid w:val="00924A18"/>
    <w:rsid w:val="0092624F"/>
    <w:rsid w:val="00930883"/>
    <w:rsid w:val="0093097F"/>
    <w:rsid w:val="00932DA5"/>
    <w:rsid w:val="009342D5"/>
    <w:rsid w:val="0093433B"/>
    <w:rsid w:val="0093448C"/>
    <w:rsid w:val="009347C7"/>
    <w:rsid w:val="00934C13"/>
    <w:rsid w:val="00934CCA"/>
    <w:rsid w:val="00935E7F"/>
    <w:rsid w:val="0093790E"/>
    <w:rsid w:val="00937CEE"/>
    <w:rsid w:val="00940D00"/>
    <w:rsid w:val="00941EEE"/>
    <w:rsid w:val="009421DD"/>
    <w:rsid w:val="00942243"/>
    <w:rsid w:val="00943A03"/>
    <w:rsid w:val="00944180"/>
    <w:rsid w:val="009449E4"/>
    <w:rsid w:val="009453C7"/>
    <w:rsid w:val="00946ADD"/>
    <w:rsid w:val="00947C5E"/>
    <w:rsid w:val="00947CE8"/>
    <w:rsid w:val="009502EE"/>
    <w:rsid w:val="00950DB7"/>
    <w:rsid w:val="00950F8C"/>
    <w:rsid w:val="00951161"/>
    <w:rsid w:val="00951742"/>
    <w:rsid w:val="009537DE"/>
    <w:rsid w:val="00953A36"/>
    <w:rsid w:val="00953FBB"/>
    <w:rsid w:val="00954E5B"/>
    <w:rsid w:val="00956BB5"/>
    <w:rsid w:val="0095743D"/>
    <w:rsid w:val="00957F99"/>
    <w:rsid w:val="00957F9E"/>
    <w:rsid w:val="00960FA8"/>
    <w:rsid w:val="0096171A"/>
    <w:rsid w:val="00962A88"/>
    <w:rsid w:val="00962FCA"/>
    <w:rsid w:val="00964B77"/>
    <w:rsid w:val="00965908"/>
    <w:rsid w:val="00967279"/>
    <w:rsid w:val="0096779F"/>
    <w:rsid w:val="00970151"/>
    <w:rsid w:val="00970753"/>
    <w:rsid w:val="009720E2"/>
    <w:rsid w:val="00972344"/>
    <w:rsid w:val="009725E7"/>
    <w:rsid w:val="00974B62"/>
    <w:rsid w:val="00974FDB"/>
    <w:rsid w:val="00975243"/>
    <w:rsid w:val="00976446"/>
    <w:rsid w:val="00980AB3"/>
    <w:rsid w:val="00980CC4"/>
    <w:rsid w:val="009810D3"/>
    <w:rsid w:val="00981A94"/>
    <w:rsid w:val="00981C5C"/>
    <w:rsid w:val="00982952"/>
    <w:rsid w:val="00983741"/>
    <w:rsid w:val="0098560C"/>
    <w:rsid w:val="00985B2A"/>
    <w:rsid w:val="00986E42"/>
    <w:rsid w:val="009871A3"/>
    <w:rsid w:val="00987372"/>
    <w:rsid w:val="00987A15"/>
    <w:rsid w:val="00987BAE"/>
    <w:rsid w:val="00987E12"/>
    <w:rsid w:val="009906DD"/>
    <w:rsid w:val="0099089E"/>
    <w:rsid w:val="00990A75"/>
    <w:rsid w:val="00991FC8"/>
    <w:rsid w:val="00992543"/>
    <w:rsid w:val="009929AB"/>
    <w:rsid w:val="0099336D"/>
    <w:rsid w:val="009934F6"/>
    <w:rsid w:val="00994A2D"/>
    <w:rsid w:val="00997922"/>
    <w:rsid w:val="009A06D0"/>
    <w:rsid w:val="009A0722"/>
    <w:rsid w:val="009A3A50"/>
    <w:rsid w:val="009A4713"/>
    <w:rsid w:val="009A4EE4"/>
    <w:rsid w:val="009A4F50"/>
    <w:rsid w:val="009A6092"/>
    <w:rsid w:val="009A66B2"/>
    <w:rsid w:val="009A70A7"/>
    <w:rsid w:val="009A7207"/>
    <w:rsid w:val="009B1934"/>
    <w:rsid w:val="009B214F"/>
    <w:rsid w:val="009B3D44"/>
    <w:rsid w:val="009B3EA2"/>
    <w:rsid w:val="009B5EE7"/>
    <w:rsid w:val="009B61FC"/>
    <w:rsid w:val="009B7070"/>
    <w:rsid w:val="009B73DA"/>
    <w:rsid w:val="009B7DD0"/>
    <w:rsid w:val="009C0344"/>
    <w:rsid w:val="009C0E7C"/>
    <w:rsid w:val="009C1B9A"/>
    <w:rsid w:val="009C22C2"/>
    <w:rsid w:val="009C2847"/>
    <w:rsid w:val="009C2C75"/>
    <w:rsid w:val="009C3181"/>
    <w:rsid w:val="009C4443"/>
    <w:rsid w:val="009C5BD0"/>
    <w:rsid w:val="009C60A8"/>
    <w:rsid w:val="009C74D5"/>
    <w:rsid w:val="009D1662"/>
    <w:rsid w:val="009D1CBA"/>
    <w:rsid w:val="009D202A"/>
    <w:rsid w:val="009D3A23"/>
    <w:rsid w:val="009D3DEE"/>
    <w:rsid w:val="009D61C4"/>
    <w:rsid w:val="009E01C7"/>
    <w:rsid w:val="009E11DC"/>
    <w:rsid w:val="009E21FD"/>
    <w:rsid w:val="009E3BFD"/>
    <w:rsid w:val="009E3EE7"/>
    <w:rsid w:val="009E46C6"/>
    <w:rsid w:val="009E5F6A"/>
    <w:rsid w:val="009E6169"/>
    <w:rsid w:val="009E64E3"/>
    <w:rsid w:val="009E6A9A"/>
    <w:rsid w:val="009E72D3"/>
    <w:rsid w:val="009E744C"/>
    <w:rsid w:val="009F00D2"/>
    <w:rsid w:val="009F0603"/>
    <w:rsid w:val="009F0620"/>
    <w:rsid w:val="009F3A5B"/>
    <w:rsid w:val="009F4D99"/>
    <w:rsid w:val="009F4E34"/>
    <w:rsid w:val="009F6AD3"/>
    <w:rsid w:val="009F73CC"/>
    <w:rsid w:val="009F7D01"/>
    <w:rsid w:val="00A002CB"/>
    <w:rsid w:val="00A00C1D"/>
    <w:rsid w:val="00A00CAA"/>
    <w:rsid w:val="00A00EE9"/>
    <w:rsid w:val="00A01D42"/>
    <w:rsid w:val="00A021D7"/>
    <w:rsid w:val="00A02AF9"/>
    <w:rsid w:val="00A04A05"/>
    <w:rsid w:val="00A04A97"/>
    <w:rsid w:val="00A0531E"/>
    <w:rsid w:val="00A0577D"/>
    <w:rsid w:val="00A0640A"/>
    <w:rsid w:val="00A06874"/>
    <w:rsid w:val="00A07AA0"/>
    <w:rsid w:val="00A07D88"/>
    <w:rsid w:val="00A106A4"/>
    <w:rsid w:val="00A11031"/>
    <w:rsid w:val="00A113F5"/>
    <w:rsid w:val="00A11CDD"/>
    <w:rsid w:val="00A12D21"/>
    <w:rsid w:val="00A12EFA"/>
    <w:rsid w:val="00A12F2A"/>
    <w:rsid w:val="00A131DD"/>
    <w:rsid w:val="00A135DC"/>
    <w:rsid w:val="00A13C4B"/>
    <w:rsid w:val="00A13E13"/>
    <w:rsid w:val="00A14416"/>
    <w:rsid w:val="00A1461B"/>
    <w:rsid w:val="00A14C84"/>
    <w:rsid w:val="00A15154"/>
    <w:rsid w:val="00A15472"/>
    <w:rsid w:val="00A15FB5"/>
    <w:rsid w:val="00A163BC"/>
    <w:rsid w:val="00A175C0"/>
    <w:rsid w:val="00A2072D"/>
    <w:rsid w:val="00A208F3"/>
    <w:rsid w:val="00A20CAF"/>
    <w:rsid w:val="00A217AD"/>
    <w:rsid w:val="00A221E9"/>
    <w:rsid w:val="00A247AD"/>
    <w:rsid w:val="00A24AB8"/>
    <w:rsid w:val="00A2530D"/>
    <w:rsid w:val="00A3051D"/>
    <w:rsid w:val="00A31205"/>
    <w:rsid w:val="00A3264B"/>
    <w:rsid w:val="00A3307E"/>
    <w:rsid w:val="00A33131"/>
    <w:rsid w:val="00A33A08"/>
    <w:rsid w:val="00A33D3F"/>
    <w:rsid w:val="00A37580"/>
    <w:rsid w:val="00A37E49"/>
    <w:rsid w:val="00A406E5"/>
    <w:rsid w:val="00A41478"/>
    <w:rsid w:val="00A42248"/>
    <w:rsid w:val="00A429C7"/>
    <w:rsid w:val="00A4311E"/>
    <w:rsid w:val="00A4346D"/>
    <w:rsid w:val="00A439FB"/>
    <w:rsid w:val="00A43AAC"/>
    <w:rsid w:val="00A43BE7"/>
    <w:rsid w:val="00A44A83"/>
    <w:rsid w:val="00A44CB0"/>
    <w:rsid w:val="00A45D65"/>
    <w:rsid w:val="00A46C49"/>
    <w:rsid w:val="00A46D27"/>
    <w:rsid w:val="00A4716F"/>
    <w:rsid w:val="00A500E2"/>
    <w:rsid w:val="00A51B07"/>
    <w:rsid w:val="00A53291"/>
    <w:rsid w:val="00A5390C"/>
    <w:rsid w:val="00A54194"/>
    <w:rsid w:val="00A54E33"/>
    <w:rsid w:val="00A55208"/>
    <w:rsid w:val="00A55476"/>
    <w:rsid w:val="00A5553A"/>
    <w:rsid w:val="00A55C17"/>
    <w:rsid w:val="00A55EE1"/>
    <w:rsid w:val="00A55FF2"/>
    <w:rsid w:val="00A56C74"/>
    <w:rsid w:val="00A57324"/>
    <w:rsid w:val="00A57E5C"/>
    <w:rsid w:val="00A6130C"/>
    <w:rsid w:val="00A62EA9"/>
    <w:rsid w:val="00A6414B"/>
    <w:rsid w:val="00A6416B"/>
    <w:rsid w:val="00A64F47"/>
    <w:rsid w:val="00A65914"/>
    <w:rsid w:val="00A665A4"/>
    <w:rsid w:val="00A667A0"/>
    <w:rsid w:val="00A67C2C"/>
    <w:rsid w:val="00A67F0F"/>
    <w:rsid w:val="00A705E6"/>
    <w:rsid w:val="00A7081B"/>
    <w:rsid w:val="00A71186"/>
    <w:rsid w:val="00A71508"/>
    <w:rsid w:val="00A71992"/>
    <w:rsid w:val="00A7208A"/>
    <w:rsid w:val="00A73020"/>
    <w:rsid w:val="00A730FE"/>
    <w:rsid w:val="00A7312F"/>
    <w:rsid w:val="00A73B7F"/>
    <w:rsid w:val="00A73EA6"/>
    <w:rsid w:val="00A73ED2"/>
    <w:rsid w:val="00A752AB"/>
    <w:rsid w:val="00A75FCB"/>
    <w:rsid w:val="00A770E5"/>
    <w:rsid w:val="00A774F0"/>
    <w:rsid w:val="00A776BB"/>
    <w:rsid w:val="00A77AC5"/>
    <w:rsid w:val="00A8219A"/>
    <w:rsid w:val="00A827BD"/>
    <w:rsid w:val="00A82BD4"/>
    <w:rsid w:val="00A8377A"/>
    <w:rsid w:val="00A83EB3"/>
    <w:rsid w:val="00A844BF"/>
    <w:rsid w:val="00A84A8D"/>
    <w:rsid w:val="00A84AC3"/>
    <w:rsid w:val="00A8599B"/>
    <w:rsid w:val="00A85C8B"/>
    <w:rsid w:val="00A87B16"/>
    <w:rsid w:val="00A87F84"/>
    <w:rsid w:val="00A90581"/>
    <w:rsid w:val="00A90E19"/>
    <w:rsid w:val="00A92751"/>
    <w:rsid w:val="00A92D32"/>
    <w:rsid w:val="00A93CE3"/>
    <w:rsid w:val="00A94534"/>
    <w:rsid w:val="00A94956"/>
    <w:rsid w:val="00A94A48"/>
    <w:rsid w:val="00A94DCC"/>
    <w:rsid w:val="00A94FE7"/>
    <w:rsid w:val="00A95528"/>
    <w:rsid w:val="00A962FA"/>
    <w:rsid w:val="00A9658C"/>
    <w:rsid w:val="00A96777"/>
    <w:rsid w:val="00A97955"/>
    <w:rsid w:val="00A97BE1"/>
    <w:rsid w:val="00AA0563"/>
    <w:rsid w:val="00AA0DF2"/>
    <w:rsid w:val="00AA130B"/>
    <w:rsid w:val="00AA1F33"/>
    <w:rsid w:val="00AA1FBD"/>
    <w:rsid w:val="00AA29B0"/>
    <w:rsid w:val="00AA37E4"/>
    <w:rsid w:val="00AA3C1A"/>
    <w:rsid w:val="00AA4EE9"/>
    <w:rsid w:val="00AA7E92"/>
    <w:rsid w:val="00AB076B"/>
    <w:rsid w:val="00AB1EAC"/>
    <w:rsid w:val="00AB2ECB"/>
    <w:rsid w:val="00AB511B"/>
    <w:rsid w:val="00AB5701"/>
    <w:rsid w:val="00AB792D"/>
    <w:rsid w:val="00AB7E8F"/>
    <w:rsid w:val="00AC2975"/>
    <w:rsid w:val="00AC2AEA"/>
    <w:rsid w:val="00AC2F5B"/>
    <w:rsid w:val="00AC3B28"/>
    <w:rsid w:val="00AC3E0B"/>
    <w:rsid w:val="00AC4112"/>
    <w:rsid w:val="00AC51E3"/>
    <w:rsid w:val="00AC590F"/>
    <w:rsid w:val="00AC5955"/>
    <w:rsid w:val="00AC6047"/>
    <w:rsid w:val="00AC60BB"/>
    <w:rsid w:val="00AC74E6"/>
    <w:rsid w:val="00AC7867"/>
    <w:rsid w:val="00AD0205"/>
    <w:rsid w:val="00AD0333"/>
    <w:rsid w:val="00AD033C"/>
    <w:rsid w:val="00AD2CA3"/>
    <w:rsid w:val="00AD428C"/>
    <w:rsid w:val="00AD58B6"/>
    <w:rsid w:val="00AD69A7"/>
    <w:rsid w:val="00AD6CEC"/>
    <w:rsid w:val="00AD6DCD"/>
    <w:rsid w:val="00AD73AD"/>
    <w:rsid w:val="00AD7F61"/>
    <w:rsid w:val="00AE0449"/>
    <w:rsid w:val="00AE1BF3"/>
    <w:rsid w:val="00AE330F"/>
    <w:rsid w:val="00AE4A4A"/>
    <w:rsid w:val="00AE4EC9"/>
    <w:rsid w:val="00AE5B64"/>
    <w:rsid w:val="00AE6DA8"/>
    <w:rsid w:val="00AF0057"/>
    <w:rsid w:val="00AF08D4"/>
    <w:rsid w:val="00AF154A"/>
    <w:rsid w:val="00AF20A8"/>
    <w:rsid w:val="00AF39AB"/>
    <w:rsid w:val="00AF573B"/>
    <w:rsid w:val="00AF5A31"/>
    <w:rsid w:val="00AF62C6"/>
    <w:rsid w:val="00AF6B81"/>
    <w:rsid w:val="00AF76A2"/>
    <w:rsid w:val="00B02366"/>
    <w:rsid w:val="00B02D85"/>
    <w:rsid w:val="00B03D47"/>
    <w:rsid w:val="00B04147"/>
    <w:rsid w:val="00B05025"/>
    <w:rsid w:val="00B05C59"/>
    <w:rsid w:val="00B105C2"/>
    <w:rsid w:val="00B11651"/>
    <w:rsid w:val="00B12E65"/>
    <w:rsid w:val="00B137F4"/>
    <w:rsid w:val="00B13829"/>
    <w:rsid w:val="00B13DC3"/>
    <w:rsid w:val="00B17565"/>
    <w:rsid w:val="00B17E2A"/>
    <w:rsid w:val="00B17FC6"/>
    <w:rsid w:val="00B21046"/>
    <w:rsid w:val="00B225CB"/>
    <w:rsid w:val="00B22DE9"/>
    <w:rsid w:val="00B2310F"/>
    <w:rsid w:val="00B246FE"/>
    <w:rsid w:val="00B25D5D"/>
    <w:rsid w:val="00B2735B"/>
    <w:rsid w:val="00B30F0A"/>
    <w:rsid w:val="00B31018"/>
    <w:rsid w:val="00B31BED"/>
    <w:rsid w:val="00B31E85"/>
    <w:rsid w:val="00B32E2A"/>
    <w:rsid w:val="00B351D4"/>
    <w:rsid w:val="00B3547E"/>
    <w:rsid w:val="00B35E4B"/>
    <w:rsid w:val="00B36195"/>
    <w:rsid w:val="00B362A6"/>
    <w:rsid w:val="00B36F85"/>
    <w:rsid w:val="00B371A6"/>
    <w:rsid w:val="00B403E5"/>
    <w:rsid w:val="00B40483"/>
    <w:rsid w:val="00B409D0"/>
    <w:rsid w:val="00B4141F"/>
    <w:rsid w:val="00B419C2"/>
    <w:rsid w:val="00B4201E"/>
    <w:rsid w:val="00B4260F"/>
    <w:rsid w:val="00B43FAA"/>
    <w:rsid w:val="00B46CE5"/>
    <w:rsid w:val="00B47895"/>
    <w:rsid w:val="00B47E3C"/>
    <w:rsid w:val="00B47ECF"/>
    <w:rsid w:val="00B47F02"/>
    <w:rsid w:val="00B513DC"/>
    <w:rsid w:val="00B5184B"/>
    <w:rsid w:val="00B51B7C"/>
    <w:rsid w:val="00B51EAB"/>
    <w:rsid w:val="00B51EBC"/>
    <w:rsid w:val="00B531B1"/>
    <w:rsid w:val="00B53A82"/>
    <w:rsid w:val="00B53BA0"/>
    <w:rsid w:val="00B53CE4"/>
    <w:rsid w:val="00B548B6"/>
    <w:rsid w:val="00B553D6"/>
    <w:rsid w:val="00B56E6B"/>
    <w:rsid w:val="00B56FDB"/>
    <w:rsid w:val="00B57987"/>
    <w:rsid w:val="00B57C82"/>
    <w:rsid w:val="00B6083A"/>
    <w:rsid w:val="00B60B84"/>
    <w:rsid w:val="00B60EFC"/>
    <w:rsid w:val="00B61531"/>
    <w:rsid w:val="00B61630"/>
    <w:rsid w:val="00B6329D"/>
    <w:rsid w:val="00B636B1"/>
    <w:rsid w:val="00B639C0"/>
    <w:rsid w:val="00B63E32"/>
    <w:rsid w:val="00B6473B"/>
    <w:rsid w:val="00B64E77"/>
    <w:rsid w:val="00B65D70"/>
    <w:rsid w:val="00B65E20"/>
    <w:rsid w:val="00B66072"/>
    <w:rsid w:val="00B673D0"/>
    <w:rsid w:val="00B673D7"/>
    <w:rsid w:val="00B67A45"/>
    <w:rsid w:val="00B67F1A"/>
    <w:rsid w:val="00B7007C"/>
    <w:rsid w:val="00B701F2"/>
    <w:rsid w:val="00B72243"/>
    <w:rsid w:val="00B72739"/>
    <w:rsid w:val="00B73950"/>
    <w:rsid w:val="00B7420A"/>
    <w:rsid w:val="00B74408"/>
    <w:rsid w:val="00B75B05"/>
    <w:rsid w:val="00B75EAE"/>
    <w:rsid w:val="00B770EC"/>
    <w:rsid w:val="00B77951"/>
    <w:rsid w:val="00B77FAF"/>
    <w:rsid w:val="00B802AE"/>
    <w:rsid w:val="00B81352"/>
    <w:rsid w:val="00B81815"/>
    <w:rsid w:val="00B81BAE"/>
    <w:rsid w:val="00B8205C"/>
    <w:rsid w:val="00B829DC"/>
    <w:rsid w:val="00B85DA7"/>
    <w:rsid w:val="00B86207"/>
    <w:rsid w:val="00B86288"/>
    <w:rsid w:val="00B87296"/>
    <w:rsid w:val="00B908CF"/>
    <w:rsid w:val="00B91075"/>
    <w:rsid w:val="00B913AB"/>
    <w:rsid w:val="00B924A5"/>
    <w:rsid w:val="00B92D00"/>
    <w:rsid w:val="00B9319A"/>
    <w:rsid w:val="00B93275"/>
    <w:rsid w:val="00B93F1D"/>
    <w:rsid w:val="00B94023"/>
    <w:rsid w:val="00B946CD"/>
    <w:rsid w:val="00B94726"/>
    <w:rsid w:val="00B94CD3"/>
    <w:rsid w:val="00B95668"/>
    <w:rsid w:val="00B9568F"/>
    <w:rsid w:val="00B95BFE"/>
    <w:rsid w:val="00B962D8"/>
    <w:rsid w:val="00B96F55"/>
    <w:rsid w:val="00B9741B"/>
    <w:rsid w:val="00BA0654"/>
    <w:rsid w:val="00BA0823"/>
    <w:rsid w:val="00BA21E4"/>
    <w:rsid w:val="00BA2CCB"/>
    <w:rsid w:val="00BA3F50"/>
    <w:rsid w:val="00BA405F"/>
    <w:rsid w:val="00BA457F"/>
    <w:rsid w:val="00BA4F0F"/>
    <w:rsid w:val="00BA6659"/>
    <w:rsid w:val="00BA7F0C"/>
    <w:rsid w:val="00BB013C"/>
    <w:rsid w:val="00BB096C"/>
    <w:rsid w:val="00BB23AA"/>
    <w:rsid w:val="00BB4E75"/>
    <w:rsid w:val="00BB4EB1"/>
    <w:rsid w:val="00BB4FD6"/>
    <w:rsid w:val="00BC0371"/>
    <w:rsid w:val="00BC0448"/>
    <w:rsid w:val="00BC04FE"/>
    <w:rsid w:val="00BC0B55"/>
    <w:rsid w:val="00BC1C1E"/>
    <w:rsid w:val="00BC1DEA"/>
    <w:rsid w:val="00BC2753"/>
    <w:rsid w:val="00BC2886"/>
    <w:rsid w:val="00BC2BDD"/>
    <w:rsid w:val="00BC3E88"/>
    <w:rsid w:val="00BC4A23"/>
    <w:rsid w:val="00BC62B4"/>
    <w:rsid w:val="00BC6785"/>
    <w:rsid w:val="00BC6D08"/>
    <w:rsid w:val="00BC7401"/>
    <w:rsid w:val="00BD06A5"/>
    <w:rsid w:val="00BD0BDA"/>
    <w:rsid w:val="00BD1910"/>
    <w:rsid w:val="00BD2609"/>
    <w:rsid w:val="00BD3B13"/>
    <w:rsid w:val="00BD4A1A"/>
    <w:rsid w:val="00BD4F7B"/>
    <w:rsid w:val="00BD657E"/>
    <w:rsid w:val="00BD6A34"/>
    <w:rsid w:val="00BD774B"/>
    <w:rsid w:val="00BE1A07"/>
    <w:rsid w:val="00BE1C4C"/>
    <w:rsid w:val="00BE1CAC"/>
    <w:rsid w:val="00BE1CF7"/>
    <w:rsid w:val="00BE2985"/>
    <w:rsid w:val="00BE2E3D"/>
    <w:rsid w:val="00BE4394"/>
    <w:rsid w:val="00BE4A18"/>
    <w:rsid w:val="00BE5263"/>
    <w:rsid w:val="00BE582B"/>
    <w:rsid w:val="00BE6CC6"/>
    <w:rsid w:val="00BE7868"/>
    <w:rsid w:val="00BE7FED"/>
    <w:rsid w:val="00BF002D"/>
    <w:rsid w:val="00BF0792"/>
    <w:rsid w:val="00BF0A7E"/>
    <w:rsid w:val="00BF18F3"/>
    <w:rsid w:val="00BF1F5B"/>
    <w:rsid w:val="00BF47BD"/>
    <w:rsid w:val="00BF4BBE"/>
    <w:rsid w:val="00BF532C"/>
    <w:rsid w:val="00BF6284"/>
    <w:rsid w:val="00BF6A4C"/>
    <w:rsid w:val="00C004E8"/>
    <w:rsid w:val="00C00635"/>
    <w:rsid w:val="00C00A62"/>
    <w:rsid w:val="00C00AF9"/>
    <w:rsid w:val="00C0206E"/>
    <w:rsid w:val="00C0269C"/>
    <w:rsid w:val="00C047B3"/>
    <w:rsid w:val="00C04FC1"/>
    <w:rsid w:val="00C0646B"/>
    <w:rsid w:val="00C064A2"/>
    <w:rsid w:val="00C065F7"/>
    <w:rsid w:val="00C06D20"/>
    <w:rsid w:val="00C06F0A"/>
    <w:rsid w:val="00C07ECE"/>
    <w:rsid w:val="00C10933"/>
    <w:rsid w:val="00C11318"/>
    <w:rsid w:val="00C11493"/>
    <w:rsid w:val="00C11581"/>
    <w:rsid w:val="00C1231F"/>
    <w:rsid w:val="00C12E70"/>
    <w:rsid w:val="00C14290"/>
    <w:rsid w:val="00C14A52"/>
    <w:rsid w:val="00C1668C"/>
    <w:rsid w:val="00C223E1"/>
    <w:rsid w:val="00C22A84"/>
    <w:rsid w:val="00C2407A"/>
    <w:rsid w:val="00C246B4"/>
    <w:rsid w:val="00C24F8C"/>
    <w:rsid w:val="00C258BD"/>
    <w:rsid w:val="00C25E15"/>
    <w:rsid w:val="00C261A5"/>
    <w:rsid w:val="00C31653"/>
    <w:rsid w:val="00C31FBD"/>
    <w:rsid w:val="00C320BB"/>
    <w:rsid w:val="00C35AB1"/>
    <w:rsid w:val="00C36980"/>
    <w:rsid w:val="00C36D4C"/>
    <w:rsid w:val="00C37970"/>
    <w:rsid w:val="00C37D5A"/>
    <w:rsid w:val="00C418D6"/>
    <w:rsid w:val="00C41DF8"/>
    <w:rsid w:val="00C41FA9"/>
    <w:rsid w:val="00C421FE"/>
    <w:rsid w:val="00C4318E"/>
    <w:rsid w:val="00C43219"/>
    <w:rsid w:val="00C43721"/>
    <w:rsid w:val="00C44FB6"/>
    <w:rsid w:val="00C459FD"/>
    <w:rsid w:val="00C4610D"/>
    <w:rsid w:val="00C469E3"/>
    <w:rsid w:val="00C4731A"/>
    <w:rsid w:val="00C479E0"/>
    <w:rsid w:val="00C5038C"/>
    <w:rsid w:val="00C504CC"/>
    <w:rsid w:val="00C5063D"/>
    <w:rsid w:val="00C51089"/>
    <w:rsid w:val="00C5118F"/>
    <w:rsid w:val="00C515A6"/>
    <w:rsid w:val="00C51E0F"/>
    <w:rsid w:val="00C523A4"/>
    <w:rsid w:val="00C53C06"/>
    <w:rsid w:val="00C53E10"/>
    <w:rsid w:val="00C540F1"/>
    <w:rsid w:val="00C54529"/>
    <w:rsid w:val="00C550F4"/>
    <w:rsid w:val="00C55DD8"/>
    <w:rsid w:val="00C5708C"/>
    <w:rsid w:val="00C5735A"/>
    <w:rsid w:val="00C579ED"/>
    <w:rsid w:val="00C6081B"/>
    <w:rsid w:val="00C61234"/>
    <w:rsid w:val="00C62101"/>
    <w:rsid w:val="00C62B03"/>
    <w:rsid w:val="00C62DEF"/>
    <w:rsid w:val="00C63E5E"/>
    <w:rsid w:val="00C6415B"/>
    <w:rsid w:val="00C64C36"/>
    <w:rsid w:val="00C6767F"/>
    <w:rsid w:val="00C708A0"/>
    <w:rsid w:val="00C725D1"/>
    <w:rsid w:val="00C72733"/>
    <w:rsid w:val="00C729EE"/>
    <w:rsid w:val="00C72A50"/>
    <w:rsid w:val="00C72ED6"/>
    <w:rsid w:val="00C73ACD"/>
    <w:rsid w:val="00C746FC"/>
    <w:rsid w:val="00C76A90"/>
    <w:rsid w:val="00C76B4B"/>
    <w:rsid w:val="00C77DB0"/>
    <w:rsid w:val="00C77F93"/>
    <w:rsid w:val="00C80E6A"/>
    <w:rsid w:val="00C8181A"/>
    <w:rsid w:val="00C838F2"/>
    <w:rsid w:val="00C844D4"/>
    <w:rsid w:val="00C8579C"/>
    <w:rsid w:val="00C866FB"/>
    <w:rsid w:val="00C87093"/>
    <w:rsid w:val="00C87169"/>
    <w:rsid w:val="00C9210E"/>
    <w:rsid w:val="00C9211C"/>
    <w:rsid w:val="00C92443"/>
    <w:rsid w:val="00C92E68"/>
    <w:rsid w:val="00C93828"/>
    <w:rsid w:val="00C93927"/>
    <w:rsid w:val="00C93D46"/>
    <w:rsid w:val="00C951F0"/>
    <w:rsid w:val="00CA13A9"/>
    <w:rsid w:val="00CA15D5"/>
    <w:rsid w:val="00CA16E0"/>
    <w:rsid w:val="00CA176E"/>
    <w:rsid w:val="00CA1FB9"/>
    <w:rsid w:val="00CA2134"/>
    <w:rsid w:val="00CA235B"/>
    <w:rsid w:val="00CA2CD4"/>
    <w:rsid w:val="00CA399C"/>
    <w:rsid w:val="00CA43FA"/>
    <w:rsid w:val="00CA4AF6"/>
    <w:rsid w:val="00CA696A"/>
    <w:rsid w:val="00CA77B6"/>
    <w:rsid w:val="00CB00D9"/>
    <w:rsid w:val="00CB013E"/>
    <w:rsid w:val="00CB0DC5"/>
    <w:rsid w:val="00CB26F0"/>
    <w:rsid w:val="00CB3A1C"/>
    <w:rsid w:val="00CB3B8A"/>
    <w:rsid w:val="00CB4042"/>
    <w:rsid w:val="00CB4160"/>
    <w:rsid w:val="00CB5A43"/>
    <w:rsid w:val="00CB5FF7"/>
    <w:rsid w:val="00CC103C"/>
    <w:rsid w:val="00CC10B0"/>
    <w:rsid w:val="00CC11CD"/>
    <w:rsid w:val="00CC1254"/>
    <w:rsid w:val="00CC1444"/>
    <w:rsid w:val="00CC1E9F"/>
    <w:rsid w:val="00CC3824"/>
    <w:rsid w:val="00CC4954"/>
    <w:rsid w:val="00CC4B61"/>
    <w:rsid w:val="00CC57AD"/>
    <w:rsid w:val="00CC6E92"/>
    <w:rsid w:val="00CC7FC4"/>
    <w:rsid w:val="00CD13C2"/>
    <w:rsid w:val="00CD1412"/>
    <w:rsid w:val="00CD2CB9"/>
    <w:rsid w:val="00CD3205"/>
    <w:rsid w:val="00CD59F7"/>
    <w:rsid w:val="00CD6886"/>
    <w:rsid w:val="00CD6F83"/>
    <w:rsid w:val="00CD7894"/>
    <w:rsid w:val="00CE101F"/>
    <w:rsid w:val="00CE1D3E"/>
    <w:rsid w:val="00CE3618"/>
    <w:rsid w:val="00CE3B15"/>
    <w:rsid w:val="00CE4B2C"/>
    <w:rsid w:val="00CE506B"/>
    <w:rsid w:val="00CE7EF3"/>
    <w:rsid w:val="00CF0EC3"/>
    <w:rsid w:val="00CF1D51"/>
    <w:rsid w:val="00CF46C8"/>
    <w:rsid w:val="00CF4DE3"/>
    <w:rsid w:val="00CF51A8"/>
    <w:rsid w:val="00CF5BA8"/>
    <w:rsid w:val="00CF746B"/>
    <w:rsid w:val="00CF760F"/>
    <w:rsid w:val="00CF782F"/>
    <w:rsid w:val="00CF78C7"/>
    <w:rsid w:val="00D00EDF"/>
    <w:rsid w:val="00D034DB"/>
    <w:rsid w:val="00D039E7"/>
    <w:rsid w:val="00D03BE9"/>
    <w:rsid w:val="00D04245"/>
    <w:rsid w:val="00D0434A"/>
    <w:rsid w:val="00D04BC8"/>
    <w:rsid w:val="00D0566C"/>
    <w:rsid w:val="00D062B4"/>
    <w:rsid w:val="00D107E1"/>
    <w:rsid w:val="00D111BA"/>
    <w:rsid w:val="00D113E8"/>
    <w:rsid w:val="00D13BB9"/>
    <w:rsid w:val="00D16E28"/>
    <w:rsid w:val="00D172E2"/>
    <w:rsid w:val="00D208D6"/>
    <w:rsid w:val="00D20B68"/>
    <w:rsid w:val="00D21841"/>
    <w:rsid w:val="00D22EE4"/>
    <w:rsid w:val="00D22EF5"/>
    <w:rsid w:val="00D236FC"/>
    <w:rsid w:val="00D2370A"/>
    <w:rsid w:val="00D240ED"/>
    <w:rsid w:val="00D2429A"/>
    <w:rsid w:val="00D253BC"/>
    <w:rsid w:val="00D2562B"/>
    <w:rsid w:val="00D2588B"/>
    <w:rsid w:val="00D264F1"/>
    <w:rsid w:val="00D27D92"/>
    <w:rsid w:val="00D317A1"/>
    <w:rsid w:val="00D3193A"/>
    <w:rsid w:val="00D319FA"/>
    <w:rsid w:val="00D31A2B"/>
    <w:rsid w:val="00D31ABA"/>
    <w:rsid w:val="00D31FC3"/>
    <w:rsid w:val="00D34DDB"/>
    <w:rsid w:val="00D35C8B"/>
    <w:rsid w:val="00D36009"/>
    <w:rsid w:val="00D36B8A"/>
    <w:rsid w:val="00D371E9"/>
    <w:rsid w:val="00D405A6"/>
    <w:rsid w:val="00D41F9F"/>
    <w:rsid w:val="00D42768"/>
    <w:rsid w:val="00D43626"/>
    <w:rsid w:val="00D4411C"/>
    <w:rsid w:val="00D4503F"/>
    <w:rsid w:val="00D45669"/>
    <w:rsid w:val="00D468F9"/>
    <w:rsid w:val="00D477C9"/>
    <w:rsid w:val="00D50A13"/>
    <w:rsid w:val="00D51ACD"/>
    <w:rsid w:val="00D52146"/>
    <w:rsid w:val="00D525D7"/>
    <w:rsid w:val="00D531BC"/>
    <w:rsid w:val="00D535FE"/>
    <w:rsid w:val="00D536F8"/>
    <w:rsid w:val="00D5433F"/>
    <w:rsid w:val="00D5493E"/>
    <w:rsid w:val="00D55FCD"/>
    <w:rsid w:val="00D562B5"/>
    <w:rsid w:val="00D57570"/>
    <w:rsid w:val="00D578C5"/>
    <w:rsid w:val="00D61757"/>
    <w:rsid w:val="00D61C63"/>
    <w:rsid w:val="00D62B52"/>
    <w:rsid w:val="00D648D6"/>
    <w:rsid w:val="00D650AB"/>
    <w:rsid w:val="00D66903"/>
    <w:rsid w:val="00D6730D"/>
    <w:rsid w:val="00D674B1"/>
    <w:rsid w:val="00D70997"/>
    <w:rsid w:val="00D709D7"/>
    <w:rsid w:val="00D71284"/>
    <w:rsid w:val="00D71EB9"/>
    <w:rsid w:val="00D72047"/>
    <w:rsid w:val="00D726B4"/>
    <w:rsid w:val="00D732EC"/>
    <w:rsid w:val="00D73D44"/>
    <w:rsid w:val="00D74224"/>
    <w:rsid w:val="00D748DE"/>
    <w:rsid w:val="00D74E11"/>
    <w:rsid w:val="00D7567E"/>
    <w:rsid w:val="00D75796"/>
    <w:rsid w:val="00D76208"/>
    <w:rsid w:val="00D763A5"/>
    <w:rsid w:val="00D765E7"/>
    <w:rsid w:val="00D768A8"/>
    <w:rsid w:val="00D76D3E"/>
    <w:rsid w:val="00D775B8"/>
    <w:rsid w:val="00D77A5A"/>
    <w:rsid w:val="00D77DCF"/>
    <w:rsid w:val="00D77E7B"/>
    <w:rsid w:val="00D80325"/>
    <w:rsid w:val="00D807A0"/>
    <w:rsid w:val="00D80B17"/>
    <w:rsid w:val="00D81F65"/>
    <w:rsid w:val="00D82F95"/>
    <w:rsid w:val="00D83790"/>
    <w:rsid w:val="00D837B0"/>
    <w:rsid w:val="00D854AE"/>
    <w:rsid w:val="00D855C7"/>
    <w:rsid w:val="00D85D2E"/>
    <w:rsid w:val="00D860DC"/>
    <w:rsid w:val="00D86368"/>
    <w:rsid w:val="00D87215"/>
    <w:rsid w:val="00D9006E"/>
    <w:rsid w:val="00D90302"/>
    <w:rsid w:val="00D903E4"/>
    <w:rsid w:val="00D90A33"/>
    <w:rsid w:val="00D90A54"/>
    <w:rsid w:val="00D91F8C"/>
    <w:rsid w:val="00D92077"/>
    <w:rsid w:val="00D92C48"/>
    <w:rsid w:val="00D93614"/>
    <w:rsid w:val="00D93C8A"/>
    <w:rsid w:val="00D96B91"/>
    <w:rsid w:val="00D96FA3"/>
    <w:rsid w:val="00D97C4B"/>
    <w:rsid w:val="00D97FFC"/>
    <w:rsid w:val="00DA02AD"/>
    <w:rsid w:val="00DA10D7"/>
    <w:rsid w:val="00DA1749"/>
    <w:rsid w:val="00DA1B41"/>
    <w:rsid w:val="00DA2BC1"/>
    <w:rsid w:val="00DA48E8"/>
    <w:rsid w:val="00DA52BB"/>
    <w:rsid w:val="00DA79A3"/>
    <w:rsid w:val="00DB0144"/>
    <w:rsid w:val="00DB0381"/>
    <w:rsid w:val="00DB0686"/>
    <w:rsid w:val="00DB0800"/>
    <w:rsid w:val="00DB0CBE"/>
    <w:rsid w:val="00DB0E30"/>
    <w:rsid w:val="00DB1414"/>
    <w:rsid w:val="00DB27FF"/>
    <w:rsid w:val="00DB2D1C"/>
    <w:rsid w:val="00DB2EEB"/>
    <w:rsid w:val="00DB34D8"/>
    <w:rsid w:val="00DB4516"/>
    <w:rsid w:val="00DB4C48"/>
    <w:rsid w:val="00DB50DC"/>
    <w:rsid w:val="00DB7D99"/>
    <w:rsid w:val="00DC03F3"/>
    <w:rsid w:val="00DC0561"/>
    <w:rsid w:val="00DC1E20"/>
    <w:rsid w:val="00DC2057"/>
    <w:rsid w:val="00DC3067"/>
    <w:rsid w:val="00DC3B1A"/>
    <w:rsid w:val="00DC669E"/>
    <w:rsid w:val="00DC69E0"/>
    <w:rsid w:val="00DC754E"/>
    <w:rsid w:val="00DC760B"/>
    <w:rsid w:val="00DD0B21"/>
    <w:rsid w:val="00DD1C16"/>
    <w:rsid w:val="00DD215E"/>
    <w:rsid w:val="00DD46DD"/>
    <w:rsid w:val="00DD4949"/>
    <w:rsid w:val="00DD68B4"/>
    <w:rsid w:val="00DD6EE1"/>
    <w:rsid w:val="00DD748C"/>
    <w:rsid w:val="00DE0824"/>
    <w:rsid w:val="00DE0F02"/>
    <w:rsid w:val="00DE3655"/>
    <w:rsid w:val="00DE3AD4"/>
    <w:rsid w:val="00DE4A0A"/>
    <w:rsid w:val="00DE4C33"/>
    <w:rsid w:val="00DE51BE"/>
    <w:rsid w:val="00DE52F9"/>
    <w:rsid w:val="00DE58BC"/>
    <w:rsid w:val="00DE5B37"/>
    <w:rsid w:val="00DE6010"/>
    <w:rsid w:val="00DE6568"/>
    <w:rsid w:val="00DE6B2B"/>
    <w:rsid w:val="00DE6BD8"/>
    <w:rsid w:val="00DE7395"/>
    <w:rsid w:val="00DF0394"/>
    <w:rsid w:val="00DF0605"/>
    <w:rsid w:val="00DF087E"/>
    <w:rsid w:val="00DF0901"/>
    <w:rsid w:val="00DF0BF7"/>
    <w:rsid w:val="00DF1151"/>
    <w:rsid w:val="00DF159B"/>
    <w:rsid w:val="00DF2C5B"/>
    <w:rsid w:val="00DF2E95"/>
    <w:rsid w:val="00DF4250"/>
    <w:rsid w:val="00DF4C55"/>
    <w:rsid w:val="00DF4EE4"/>
    <w:rsid w:val="00E02019"/>
    <w:rsid w:val="00E023C7"/>
    <w:rsid w:val="00E0259D"/>
    <w:rsid w:val="00E0304F"/>
    <w:rsid w:val="00E03AF5"/>
    <w:rsid w:val="00E0405C"/>
    <w:rsid w:val="00E073C1"/>
    <w:rsid w:val="00E0797F"/>
    <w:rsid w:val="00E10F39"/>
    <w:rsid w:val="00E13D41"/>
    <w:rsid w:val="00E142F2"/>
    <w:rsid w:val="00E14FB5"/>
    <w:rsid w:val="00E16295"/>
    <w:rsid w:val="00E16315"/>
    <w:rsid w:val="00E16399"/>
    <w:rsid w:val="00E16866"/>
    <w:rsid w:val="00E16D6F"/>
    <w:rsid w:val="00E17340"/>
    <w:rsid w:val="00E207D2"/>
    <w:rsid w:val="00E21040"/>
    <w:rsid w:val="00E218BB"/>
    <w:rsid w:val="00E23CAB"/>
    <w:rsid w:val="00E245D5"/>
    <w:rsid w:val="00E256B6"/>
    <w:rsid w:val="00E257D9"/>
    <w:rsid w:val="00E258DC"/>
    <w:rsid w:val="00E25C0F"/>
    <w:rsid w:val="00E26004"/>
    <w:rsid w:val="00E260E5"/>
    <w:rsid w:val="00E261D5"/>
    <w:rsid w:val="00E2642F"/>
    <w:rsid w:val="00E2668F"/>
    <w:rsid w:val="00E27389"/>
    <w:rsid w:val="00E30020"/>
    <w:rsid w:val="00E30729"/>
    <w:rsid w:val="00E313A9"/>
    <w:rsid w:val="00E31AE0"/>
    <w:rsid w:val="00E33254"/>
    <w:rsid w:val="00E33848"/>
    <w:rsid w:val="00E33AC7"/>
    <w:rsid w:val="00E34CCD"/>
    <w:rsid w:val="00E34EFB"/>
    <w:rsid w:val="00E35C21"/>
    <w:rsid w:val="00E35D96"/>
    <w:rsid w:val="00E35DA4"/>
    <w:rsid w:val="00E36A9C"/>
    <w:rsid w:val="00E41081"/>
    <w:rsid w:val="00E41913"/>
    <w:rsid w:val="00E4344B"/>
    <w:rsid w:val="00E43E06"/>
    <w:rsid w:val="00E445BE"/>
    <w:rsid w:val="00E449D4"/>
    <w:rsid w:val="00E44D24"/>
    <w:rsid w:val="00E45312"/>
    <w:rsid w:val="00E457BB"/>
    <w:rsid w:val="00E461C9"/>
    <w:rsid w:val="00E469A6"/>
    <w:rsid w:val="00E46A98"/>
    <w:rsid w:val="00E46BC7"/>
    <w:rsid w:val="00E471F0"/>
    <w:rsid w:val="00E47970"/>
    <w:rsid w:val="00E50A5C"/>
    <w:rsid w:val="00E50E9D"/>
    <w:rsid w:val="00E51AA2"/>
    <w:rsid w:val="00E51B0F"/>
    <w:rsid w:val="00E5238A"/>
    <w:rsid w:val="00E527C8"/>
    <w:rsid w:val="00E52B68"/>
    <w:rsid w:val="00E53263"/>
    <w:rsid w:val="00E539B4"/>
    <w:rsid w:val="00E53D01"/>
    <w:rsid w:val="00E545D4"/>
    <w:rsid w:val="00E546C3"/>
    <w:rsid w:val="00E5493E"/>
    <w:rsid w:val="00E560B5"/>
    <w:rsid w:val="00E564B0"/>
    <w:rsid w:val="00E56C04"/>
    <w:rsid w:val="00E573C0"/>
    <w:rsid w:val="00E6008F"/>
    <w:rsid w:val="00E60AC1"/>
    <w:rsid w:val="00E60D5C"/>
    <w:rsid w:val="00E61065"/>
    <w:rsid w:val="00E616D4"/>
    <w:rsid w:val="00E61A70"/>
    <w:rsid w:val="00E627E8"/>
    <w:rsid w:val="00E64B6B"/>
    <w:rsid w:val="00E64D51"/>
    <w:rsid w:val="00E66AA9"/>
    <w:rsid w:val="00E700E2"/>
    <w:rsid w:val="00E7094F"/>
    <w:rsid w:val="00E70FD6"/>
    <w:rsid w:val="00E720AF"/>
    <w:rsid w:val="00E72CB6"/>
    <w:rsid w:val="00E72DA6"/>
    <w:rsid w:val="00E72E59"/>
    <w:rsid w:val="00E733CE"/>
    <w:rsid w:val="00E735D1"/>
    <w:rsid w:val="00E73C61"/>
    <w:rsid w:val="00E73F73"/>
    <w:rsid w:val="00E7563B"/>
    <w:rsid w:val="00E75C4B"/>
    <w:rsid w:val="00E77EA2"/>
    <w:rsid w:val="00E80354"/>
    <w:rsid w:val="00E82199"/>
    <w:rsid w:val="00E828E0"/>
    <w:rsid w:val="00E8421B"/>
    <w:rsid w:val="00E848BF"/>
    <w:rsid w:val="00E85260"/>
    <w:rsid w:val="00E863E7"/>
    <w:rsid w:val="00E8667B"/>
    <w:rsid w:val="00E86E95"/>
    <w:rsid w:val="00E87656"/>
    <w:rsid w:val="00E90034"/>
    <w:rsid w:val="00E9044D"/>
    <w:rsid w:val="00E906A2"/>
    <w:rsid w:val="00E9235C"/>
    <w:rsid w:val="00E926AE"/>
    <w:rsid w:val="00E92D76"/>
    <w:rsid w:val="00E937D3"/>
    <w:rsid w:val="00E93882"/>
    <w:rsid w:val="00E94763"/>
    <w:rsid w:val="00E966D0"/>
    <w:rsid w:val="00E97DEE"/>
    <w:rsid w:val="00EA14F3"/>
    <w:rsid w:val="00EA1693"/>
    <w:rsid w:val="00EA1C41"/>
    <w:rsid w:val="00EA2863"/>
    <w:rsid w:val="00EA3383"/>
    <w:rsid w:val="00EA356D"/>
    <w:rsid w:val="00EA412E"/>
    <w:rsid w:val="00EA5463"/>
    <w:rsid w:val="00EA60A7"/>
    <w:rsid w:val="00EA79CA"/>
    <w:rsid w:val="00EB0362"/>
    <w:rsid w:val="00EB074E"/>
    <w:rsid w:val="00EB0A1F"/>
    <w:rsid w:val="00EB1343"/>
    <w:rsid w:val="00EB2090"/>
    <w:rsid w:val="00EB22C2"/>
    <w:rsid w:val="00EB2F30"/>
    <w:rsid w:val="00EB360E"/>
    <w:rsid w:val="00EB4106"/>
    <w:rsid w:val="00EB4744"/>
    <w:rsid w:val="00EB51E0"/>
    <w:rsid w:val="00EB58D2"/>
    <w:rsid w:val="00EB62BD"/>
    <w:rsid w:val="00EB65CD"/>
    <w:rsid w:val="00EB69E0"/>
    <w:rsid w:val="00EB7039"/>
    <w:rsid w:val="00EB75DD"/>
    <w:rsid w:val="00EB7CCB"/>
    <w:rsid w:val="00EB7D65"/>
    <w:rsid w:val="00EC0797"/>
    <w:rsid w:val="00EC12DA"/>
    <w:rsid w:val="00EC2795"/>
    <w:rsid w:val="00EC35A5"/>
    <w:rsid w:val="00EC4B1B"/>
    <w:rsid w:val="00EC68B3"/>
    <w:rsid w:val="00EC7397"/>
    <w:rsid w:val="00EC767F"/>
    <w:rsid w:val="00ED0471"/>
    <w:rsid w:val="00ED04E3"/>
    <w:rsid w:val="00ED0EDE"/>
    <w:rsid w:val="00ED0F2A"/>
    <w:rsid w:val="00ED2736"/>
    <w:rsid w:val="00ED2A37"/>
    <w:rsid w:val="00ED2A75"/>
    <w:rsid w:val="00ED3336"/>
    <w:rsid w:val="00ED3D66"/>
    <w:rsid w:val="00ED4800"/>
    <w:rsid w:val="00ED61E4"/>
    <w:rsid w:val="00ED7828"/>
    <w:rsid w:val="00ED7A7F"/>
    <w:rsid w:val="00ED7C8A"/>
    <w:rsid w:val="00EE0B9B"/>
    <w:rsid w:val="00EE1172"/>
    <w:rsid w:val="00EE131D"/>
    <w:rsid w:val="00EE1E34"/>
    <w:rsid w:val="00EE2FE2"/>
    <w:rsid w:val="00EE3ACC"/>
    <w:rsid w:val="00EE5483"/>
    <w:rsid w:val="00EE6201"/>
    <w:rsid w:val="00EE671F"/>
    <w:rsid w:val="00EE7080"/>
    <w:rsid w:val="00EE7396"/>
    <w:rsid w:val="00EE790B"/>
    <w:rsid w:val="00EF0ADC"/>
    <w:rsid w:val="00EF0C2F"/>
    <w:rsid w:val="00EF356C"/>
    <w:rsid w:val="00EF3B51"/>
    <w:rsid w:val="00EF48D2"/>
    <w:rsid w:val="00EF58DB"/>
    <w:rsid w:val="00EF78AE"/>
    <w:rsid w:val="00EF7BE6"/>
    <w:rsid w:val="00F00745"/>
    <w:rsid w:val="00F01215"/>
    <w:rsid w:val="00F0150B"/>
    <w:rsid w:val="00F01C58"/>
    <w:rsid w:val="00F01F05"/>
    <w:rsid w:val="00F01F50"/>
    <w:rsid w:val="00F02DF8"/>
    <w:rsid w:val="00F02F00"/>
    <w:rsid w:val="00F03B34"/>
    <w:rsid w:val="00F04228"/>
    <w:rsid w:val="00F04EDC"/>
    <w:rsid w:val="00F05BE9"/>
    <w:rsid w:val="00F0606B"/>
    <w:rsid w:val="00F062CB"/>
    <w:rsid w:val="00F06B21"/>
    <w:rsid w:val="00F10091"/>
    <w:rsid w:val="00F10ECF"/>
    <w:rsid w:val="00F11500"/>
    <w:rsid w:val="00F11515"/>
    <w:rsid w:val="00F11C2A"/>
    <w:rsid w:val="00F1492E"/>
    <w:rsid w:val="00F14D84"/>
    <w:rsid w:val="00F160BE"/>
    <w:rsid w:val="00F16242"/>
    <w:rsid w:val="00F227BA"/>
    <w:rsid w:val="00F229F6"/>
    <w:rsid w:val="00F23110"/>
    <w:rsid w:val="00F23C7E"/>
    <w:rsid w:val="00F23D2B"/>
    <w:rsid w:val="00F248E5"/>
    <w:rsid w:val="00F251AD"/>
    <w:rsid w:val="00F25CA1"/>
    <w:rsid w:val="00F25D66"/>
    <w:rsid w:val="00F25E26"/>
    <w:rsid w:val="00F266DA"/>
    <w:rsid w:val="00F26A22"/>
    <w:rsid w:val="00F26BD5"/>
    <w:rsid w:val="00F2752E"/>
    <w:rsid w:val="00F27B16"/>
    <w:rsid w:val="00F30092"/>
    <w:rsid w:val="00F30E17"/>
    <w:rsid w:val="00F31B6E"/>
    <w:rsid w:val="00F31B9D"/>
    <w:rsid w:val="00F33051"/>
    <w:rsid w:val="00F333F4"/>
    <w:rsid w:val="00F338FA"/>
    <w:rsid w:val="00F34278"/>
    <w:rsid w:val="00F34678"/>
    <w:rsid w:val="00F3585F"/>
    <w:rsid w:val="00F35F39"/>
    <w:rsid w:val="00F3665F"/>
    <w:rsid w:val="00F402AE"/>
    <w:rsid w:val="00F40387"/>
    <w:rsid w:val="00F403B2"/>
    <w:rsid w:val="00F407C8"/>
    <w:rsid w:val="00F4269A"/>
    <w:rsid w:val="00F44188"/>
    <w:rsid w:val="00F4530C"/>
    <w:rsid w:val="00F456A7"/>
    <w:rsid w:val="00F460C6"/>
    <w:rsid w:val="00F46832"/>
    <w:rsid w:val="00F46979"/>
    <w:rsid w:val="00F46EA4"/>
    <w:rsid w:val="00F4741F"/>
    <w:rsid w:val="00F47512"/>
    <w:rsid w:val="00F47639"/>
    <w:rsid w:val="00F511B5"/>
    <w:rsid w:val="00F528C3"/>
    <w:rsid w:val="00F52D75"/>
    <w:rsid w:val="00F54E17"/>
    <w:rsid w:val="00F55CAA"/>
    <w:rsid w:val="00F560AA"/>
    <w:rsid w:val="00F573CD"/>
    <w:rsid w:val="00F57DE4"/>
    <w:rsid w:val="00F604F6"/>
    <w:rsid w:val="00F617A8"/>
    <w:rsid w:val="00F62A3D"/>
    <w:rsid w:val="00F632EF"/>
    <w:rsid w:val="00F63591"/>
    <w:rsid w:val="00F635A1"/>
    <w:rsid w:val="00F6453D"/>
    <w:rsid w:val="00F65253"/>
    <w:rsid w:val="00F65751"/>
    <w:rsid w:val="00F65D1E"/>
    <w:rsid w:val="00F66612"/>
    <w:rsid w:val="00F66AB5"/>
    <w:rsid w:val="00F671BC"/>
    <w:rsid w:val="00F7151D"/>
    <w:rsid w:val="00F71AB6"/>
    <w:rsid w:val="00F720D5"/>
    <w:rsid w:val="00F724C0"/>
    <w:rsid w:val="00F7273D"/>
    <w:rsid w:val="00F74310"/>
    <w:rsid w:val="00F752C4"/>
    <w:rsid w:val="00F767ED"/>
    <w:rsid w:val="00F768B5"/>
    <w:rsid w:val="00F76C80"/>
    <w:rsid w:val="00F77D3E"/>
    <w:rsid w:val="00F804F2"/>
    <w:rsid w:val="00F806AF"/>
    <w:rsid w:val="00F81A69"/>
    <w:rsid w:val="00F82E59"/>
    <w:rsid w:val="00F8371B"/>
    <w:rsid w:val="00F83B6B"/>
    <w:rsid w:val="00F846B8"/>
    <w:rsid w:val="00F86566"/>
    <w:rsid w:val="00F87278"/>
    <w:rsid w:val="00F87ED8"/>
    <w:rsid w:val="00F92328"/>
    <w:rsid w:val="00F92341"/>
    <w:rsid w:val="00F93612"/>
    <w:rsid w:val="00F9382B"/>
    <w:rsid w:val="00F939B0"/>
    <w:rsid w:val="00F93D65"/>
    <w:rsid w:val="00F94BB7"/>
    <w:rsid w:val="00F95452"/>
    <w:rsid w:val="00F954FD"/>
    <w:rsid w:val="00F96AAF"/>
    <w:rsid w:val="00F96C24"/>
    <w:rsid w:val="00F96DC1"/>
    <w:rsid w:val="00F97425"/>
    <w:rsid w:val="00F9794E"/>
    <w:rsid w:val="00FA14C3"/>
    <w:rsid w:val="00FA161C"/>
    <w:rsid w:val="00FA2B8C"/>
    <w:rsid w:val="00FA389F"/>
    <w:rsid w:val="00FA40EC"/>
    <w:rsid w:val="00FA5180"/>
    <w:rsid w:val="00FA5480"/>
    <w:rsid w:val="00FA5540"/>
    <w:rsid w:val="00FA6450"/>
    <w:rsid w:val="00FA6913"/>
    <w:rsid w:val="00FA7DF3"/>
    <w:rsid w:val="00FA7EAB"/>
    <w:rsid w:val="00FB022E"/>
    <w:rsid w:val="00FB0A66"/>
    <w:rsid w:val="00FB0D52"/>
    <w:rsid w:val="00FB12DB"/>
    <w:rsid w:val="00FB24D7"/>
    <w:rsid w:val="00FB27A3"/>
    <w:rsid w:val="00FB27F7"/>
    <w:rsid w:val="00FB2AF2"/>
    <w:rsid w:val="00FB2F19"/>
    <w:rsid w:val="00FB3065"/>
    <w:rsid w:val="00FB3BD0"/>
    <w:rsid w:val="00FB3E93"/>
    <w:rsid w:val="00FB459B"/>
    <w:rsid w:val="00FB4E79"/>
    <w:rsid w:val="00FB6DC3"/>
    <w:rsid w:val="00FB70C7"/>
    <w:rsid w:val="00FC0422"/>
    <w:rsid w:val="00FC0AF5"/>
    <w:rsid w:val="00FC1335"/>
    <w:rsid w:val="00FC1D53"/>
    <w:rsid w:val="00FC29F6"/>
    <w:rsid w:val="00FC347E"/>
    <w:rsid w:val="00FC3503"/>
    <w:rsid w:val="00FC3A5D"/>
    <w:rsid w:val="00FC4243"/>
    <w:rsid w:val="00FC4817"/>
    <w:rsid w:val="00FD148B"/>
    <w:rsid w:val="00FD1BCD"/>
    <w:rsid w:val="00FD24E4"/>
    <w:rsid w:val="00FD293D"/>
    <w:rsid w:val="00FD442C"/>
    <w:rsid w:val="00FD4602"/>
    <w:rsid w:val="00FD5043"/>
    <w:rsid w:val="00FD5AA3"/>
    <w:rsid w:val="00FD5B6E"/>
    <w:rsid w:val="00FD6543"/>
    <w:rsid w:val="00FD657F"/>
    <w:rsid w:val="00FD73EB"/>
    <w:rsid w:val="00FD7971"/>
    <w:rsid w:val="00FE17CE"/>
    <w:rsid w:val="00FE243A"/>
    <w:rsid w:val="00FE33EA"/>
    <w:rsid w:val="00FE43B9"/>
    <w:rsid w:val="00FE4F4D"/>
    <w:rsid w:val="00FE5A43"/>
    <w:rsid w:val="00FE5C8F"/>
    <w:rsid w:val="00FE64E4"/>
    <w:rsid w:val="00FE6554"/>
    <w:rsid w:val="00FE681E"/>
    <w:rsid w:val="00FE6B1D"/>
    <w:rsid w:val="00FE7150"/>
    <w:rsid w:val="00FF140A"/>
    <w:rsid w:val="00FF1796"/>
    <w:rsid w:val="00FF3FB2"/>
    <w:rsid w:val="00FF4638"/>
    <w:rsid w:val="00FF6A11"/>
    <w:rsid w:val="00FF7407"/>
    <w:rsid w:val="00FF7880"/>
    <w:rsid w:val="00FF7977"/>
    <w:rsid w:val="00FF7C56"/>
    <w:rsid w:val="00FF7F08"/>
    <w:rsid w:val="0429FF55"/>
    <w:rsid w:val="0552C497"/>
    <w:rsid w:val="06293148"/>
    <w:rsid w:val="068E1BC5"/>
    <w:rsid w:val="06A99E09"/>
    <w:rsid w:val="0837B2C4"/>
    <w:rsid w:val="08A7C6EA"/>
    <w:rsid w:val="0B15CE1D"/>
    <w:rsid w:val="0CCBC942"/>
    <w:rsid w:val="0D4EC6B4"/>
    <w:rsid w:val="0EB4E2BF"/>
    <w:rsid w:val="10190591"/>
    <w:rsid w:val="10A8B2E9"/>
    <w:rsid w:val="10FB1956"/>
    <w:rsid w:val="110A6BDD"/>
    <w:rsid w:val="1187D870"/>
    <w:rsid w:val="12D103DB"/>
    <w:rsid w:val="13A77448"/>
    <w:rsid w:val="15225DDB"/>
    <w:rsid w:val="16A763BF"/>
    <w:rsid w:val="16C645C1"/>
    <w:rsid w:val="175C708A"/>
    <w:rsid w:val="1890B1C0"/>
    <w:rsid w:val="1B67D891"/>
    <w:rsid w:val="1EFDC587"/>
    <w:rsid w:val="1F0C70A8"/>
    <w:rsid w:val="1F585803"/>
    <w:rsid w:val="1F9D4EF2"/>
    <w:rsid w:val="1FBD9A8C"/>
    <w:rsid w:val="1FDC8465"/>
    <w:rsid w:val="20804A3A"/>
    <w:rsid w:val="20C4A1D9"/>
    <w:rsid w:val="21A3F087"/>
    <w:rsid w:val="225C9C7D"/>
    <w:rsid w:val="256CA264"/>
    <w:rsid w:val="2791965A"/>
    <w:rsid w:val="29352170"/>
    <w:rsid w:val="2B85FB45"/>
    <w:rsid w:val="2BA8F583"/>
    <w:rsid w:val="2DE9C35E"/>
    <w:rsid w:val="2DF8B882"/>
    <w:rsid w:val="2F292037"/>
    <w:rsid w:val="2F6CD009"/>
    <w:rsid w:val="3057D610"/>
    <w:rsid w:val="338B6732"/>
    <w:rsid w:val="34789A93"/>
    <w:rsid w:val="35DD58AA"/>
    <w:rsid w:val="36472BBD"/>
    <w:rsid w:val="36A4B593"/>
    <w:rsid w:val="371FDB91"/>
    <w:rsid w:val="3D13F717"/>
    <w:rsid w:val="3E5AFB9A"/>
    <w:rsid w:val="3E7AAA9A"/>
    <w:rsid w:val="41405650"/>
    <w:rsid w:val="41ED397B"/>
    <w:rsid w:val="45D9A048"/>
    <w:rsid w:val="4751127A"/>
    <w:rsid w:val="47DF1B9C"/>
    <w:rsid w:val="48C52C03"/>
    <w:rsid w:val="4C17AD5E"/>
    <w:rsid w:val="4E4CDF20"/>
    <w:rsid w:val="51FBF86D"/>
    <w:rsid w:val="52B3E5E8"/>
    <w:rsid w:val="536FF550"/>
    <w:rsid w:val="53AAEE4E"/>
    <w:rsid w:val="53F3074B"/>
    <w:rsid w:val="56A6FE9A"/>
    <w:rsid w:val="579BF07D"/>
    <w:rsid w:val="5A246094"/>
    <w:rsid w:val="5C2A6AB1"/>
    <w:rsid w:val="5C4FEF50"/>
    <w:rsid w:val="5D7AEB2F"/>
    <w:rsid w:val="5D8D01D1"/>
    <w:rsid w:val="5E313091"/>
    <w:rsid w:val="604EAB29"/>
    <w:rsid w:val="607CD79B"/>
    <w:rsid w:val="60887092"/>
    <w:rsid w:val="60915EDC"/>
    <w:rsid w:val="616BF924"/>
    <w:rsid w:val="62C050C3"/>
    <w:rsid w:val="635AFF0A"/>
    <w:rsid w:val="63DA8573"/>
    <w:rsid w:val="6738007A"/>
    <w:rsid w:val="67A36055"/>
    <w:rsid w:val="6943676C"/>
    <w:rsid w:val="6BF7C5C8"/>
    <w:rsid w:val="6CF6DAD4"/>
    <w:rsid w:val="6FC31887"/>
    <w:rsid w:val="704BD967"/>
    <w:rsid w:val="71334F96"/>
    <w:rsid w:val="725B7082"/>
    <w:rsid w:val="72C41895"/>
    <w:rsid w:val="72EA49B2"/>
    <w:rsid w:val="73545A77"/>
    <w:rsid w:val="73F56E9A"/>
    <w:rsid w:val="75A5936B"/>
    <w:rsid w:val="76B4C1F7"/>
    <w:rsid w:val="79738FD0"/>
    <w:rsid w:val="7AFC7ED4"/>
    <w:rsid w:val="7E722619"/>
    <w:rsid w:val="7EE383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E9F0F"/>
  <w15:docId w15:val="{11D899C1-B17D-4D3A-A842-4E29737B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2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31E85"/>
    <w:pPr>
      <w:keepNext/>
      <w:keepLines/>
      <w:spacing w:before="240"/>
      <w:outlineLvl w:val="0"/>
    </w:pPr>
    <w:rPr>
      <w:rFonts w:eastAsiaTheme="majorEastAsia"/>
      <w:b/>
      <w:bCs/>
      <w:color w:val="06926B"/>
      <w:sz w:val="32"/>
      <w:szCs w:val="32"/>
    </w:rPr>
  </w:style>
  <w:style w:type="paragraph" w:styleId="Heading2">
    <w:name w:val="heading 2"/>
    <w:basedOn w:val="Normal"/>
    <w:next w:val="Normal"/>
    <w:link w:val="Heading2Char"/>
    <w:uiPriority w:val="9"/>
    <w:unhideWhenUsed/>
    <w:qFormat/>
    <w:rsid w:val="00B31E85"/>
    <w:pPr>
      <w:outlineLvl w:val="1"/>
    </w:pPr>
    <w:rPr>
      <w:b/>
      <w:bCs/>
    </w:rPr>
  </w:style>
  <w:style w:type="paragraph" w:styleId="Heading3">
    <w:name w:val="heading 3"/>
    <w:basedOn w:val="Normal"/>
    <w:next w:val="Normal"/>
    <w:link w:val="Heading3Char"/>
    <w:uiPriority w:val="9"/>
    <w:unhideWhenUsed/>
    <w:qFormat/>
    <w:rsid w:val="000A06E2"/>
    <w:pPr>
      <w:keepNext/>
      <w:keepLines/>
      <w:spacing w:before="40"/>
      <w:outlineLvl w:val="2"/>
    </w:pPr>
    <w:rPr>
      <w:rFonts w:eastAsiaTheme="majorEastAsia"/>
      <w:color w:val="4FC0EA"/>
      <w:sz w:val="24"/>
      <w:szCs w:val="24"/>
    </w:rPr>
  </w:style>
  <w:style w:type="paragraph" w:styleId="Heading4">
    <w:name w:val="heading 4"/>
    <w:basedOn w:val="Normal"/>
    <w:next w:val="Normal"/>
    <w:link w:val="Heading4Char"/>
    <w:uiPriority w:val="9"/>
    <w:unhideWhenUsed/>
    <w:qFormat/>
    <w:rsid w:val="00B31E85"/>
    <w:pPr>
      <w:keepNext/>
      <w:keepLines/>
      <w:spacing w:before="40"/>
      <w:outlineLvl w:val="3"/>
    </w:pPr>
    <w:rPr>
      <w:rFonts w:eastAsiaTheme="majorEastAsia"/>
      <w:i/>
      <w:iCs/>
    </w:rPr>
  </w:style>
  <w:style w:type="paragraph" w:styleId="Heading5">
    <w:name w:val="heading 5"/>
    <w:basedOn w:val="Normal"/>
    <w:next w:val="Normal"/>
    <w:link w:val="Heading5Char"/>
    <w:uiPriority w:val="9"/>
    <w:unhideWhenUsed/>
    <w:qFormat/>
    <w:rsid w:val="00B31E85"/>
    <w:pPr>
      <w:keepNext/>
      <w:keepLines/>
      <w:spacing w:before="40"/>
      <w:outlineLvl w:val="4"/>
    </w:pPr>
    <w:rPr>
      <w:rFonts w:eastAsiaTheme="majorEastAsia"/>
    </w:rPr>
  </w:style>
  <w:style w:type="paragraph" w:styleId="Heading6">
    <w:name w:val="heading 6"/>
    <w:basedOn w:val="Normal"/>
    <w:next w:val="Normal"/>
    <w:link w:val="Heading6Char"/>
    <w:uiPriority w:val="9"/>
    <w:unhideWhenUsed/>
    <w:qFormat/>
    <w:rsid w:val="00B31E85"/>
    <w:pPr>
      <w:keepNext/>
      <w:keepLines/>
      <w:spacing w:before="40"/>
      <w:outlineLvl w:val="5"/>
    </w:pPr>
    <w:rPr>
      <w:rFonts w:eastAsiaTheme="majorEastAsia"/>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13"/>
    <w:rPr>
      <w:color w:val="0000FF"/>
      <w:u w:val="single"/>
    </w:rPr>
  </w:style>
  <w:style w:type="paragraph" w:styleId="BalloonText">
    <w:name w:val="Balloon Text"/>
    <w:basedOn w:val="Normal"/>
    <w:link w:val="BalloonTextChar"/>
    <w:uiPriority w:val="99"/>
    <w:semiHidden/>
    <w:unhideWhenUsed/>
    <w:rsid w:val="00E41913"/>
    <w:rPr>
      <w:rFonts w:ascii="Tahoma" w:hAnsi="Tahoma" w:cs="Tahoma"/>
      <w:sz w:val="16"/>
      <w:szCs w:val="16"/>
    </w:rPr>
  </w:style>
  <w:style w:type="character" w:customStyle="1" w:styleId="BalloonTextChar">
    <w:name w:val="Balloon Text Char"/>
    <w:basedOn w:val="DefaultParagraphFont"/>
    <w:link w:val="BalloonText"/>
    <w:uiPriority w:val="99"/>
    <w:semiHidden/>
    <w:rsid w:val="00E41913"/>
    <w:rPr>
      <w:rFonts w:ascii="Tahoma" w:hAnsi="Tahoma" w:cs="Tahoma"/>
      <w:sz w:val="16"/>
      <w:szCs w:val="16"/>
    </w:rPr>
  </w:style>
  <w:style w:type="paragraph" w:styleId="Header">
    <w:name w:val="header"/>
    <w:basedOn w:val="Normal"/>
    <w:link w:val="HeaderChar"/>
    <w:uiPriority w:val="99"/>
    <w:unhideWhenUsed/>
    <w:rsid w:val="00124D3A"/>
    <w:pPr>
      <w:tabs>
        <w:tab w:val="center" w:pos="4513"/>
        <w:tab w:val="right" w:pos="9026"/>
      </w:tabs>
    </w:pPr>
  </w:style>
  <w:style w:type="character" w:customStyle="1" w:styleId="HeaderChar">
    <w:name w:val="Header Char"/>
    <w:basedOn w:val="DefaultParagraphFont"/>
    <w:link w:val="Header"/>
    <w:uiPriority w:val="99"/>
    <w:rsid w:val="00124D3A"/>
    <w:rPr>
      <w:rFonts w:ascii="Calibri" w:hAnsi="Calibri" w:cs="Times New Roman"/>
    </w:rPr>
  </w:style>
  <w:style w:type="paragraph" w:styleId="Footer">
    <w:name w:val="footer"/>
    <w:basedOn w:val="Normal"/>
    <w:link w:val="FooterChar"/>
    <w:uiPriority w:val="99"/>
    <w:unhideWhenUsed/>
    <w:rsid w:val="00124D3A"/>
    <w:pPr>
      <w:tabs>
        <w:tab w:val="center" w:pos="4513"/>
        <w:tab w:val="right" w:pos="9026"/>
      </w:tabs>
    </w:pPr>
  </w:style>
  <w:style w:type="character" w:customStyle="1" w:styleId="FooterChar">
    <w:name w:val="Footer Char"/>
    <w:basedOn w:val="DefaultParagraphFont"/>
    <w:link w:val="Footer"/>
    <w:uiPriority w:val="99"/>
    <w:rsid w:val="00124D3A"/>
    <w:rPr>
      <w:rFonts w:ascii="Calibri" w:hAnsi="Calibri" w:cs="Times New Roman"/>
    </w:rPr>
  </w:style>
  <w:style w:type="paragraph" w:styleId="BodyText">
    <w:name w:val="Body Text"/>
    <w:basedOn w:val="Normal"/>
    <w:link w:val="BodyTextChar"/>
    <w:uiPriority w:val="1"/>
    <w:qFormat/>
    <w:rsid w:val="00640845"/>
    <w:pPr>
      <w:widowControl w:val="0"/>
      <w:autoSpaceDE w:val="0"/>
      <w:autoSpaceDN w:val="0"/>
    </w:pPr>
    <w:rPr>
      <w:rFonts w:ascii="FuturaPT-Light" w:eastAsia="FuturaPT-Light" w:hAnsi="FuturaPT-Light" w:cs="FuturaPT-Light"/>
      <w:sz w:val="20"/>
      <w:szCs w:val="20"/>
      <w:lang w:val="en-US"/>
    </w:rPr>
  </w:style>
  <w:style w:type="character" w:customStyle="1" w:styleId="BodyTextChar">
    <w:name w:val="Body Text Char"/>
    <w:basedOn w:val="DefaultParagraphFont"/>
    <w:link w:val="BodyText"/>
    <w:uiPriority w:val="1"/>
    <w:rsid w:val="00640845"/>
    <w:rPr>
      <w:rFonts w:ascii="FuturaPT-Light" w:eastAsia="FuturaPT-Light" w:hAnsi="FuturaPT-Light" w:cs="FuturaPT-Light"/>
      <w:sz w:val="20"/>
      <w:szCs w:val="20"/>
      <w:lang w:val="en-US"/>
    </w:rPr>
  </w:style>
  <w:style w:type="character" w:customStyle="1" w:styleId="Heading1Char">
    <w:name w:val="Heading 1 Char"/>
    <w:basedOn w:val="DefaultParagraphFont"/>
    <w:link w:val="Heading1"/>
    <w:uiPriority w:val="9"/>
    <w:rsid w:val="00B31E85"/>
    <w:rPr>
      <w:rFonts w:ascii="Open Sans" w:eastAsiaTheme="majorEastAsia" w:hAnsi="Open Sans" w:cs="Open Sans"/>
      <w:b/>
      <w:bCs/>
      <w:color w:val="06926B"/>
      <w:sz w:val="32"/>
      <w:szCs w:val="32"/>
    </w:rPr>
  </w:style>
  <w:style w:type="character" w:customStyle="1" w:styleId="Heading2Char">
    <w:name w:val="Heading 2 Char"/>
    <w:basedOn w:val="DefaultParagraphFont"/>
    <w:link w:val="Heading2"/>
    <w:uiPriority w:val="9"/>
    <w:rsid w:val="00B31E85"/>
    <w:rPr>
      <w:rFonts w:ascii="Open Sans" w:hAnsi="Open Sans" w:cs="Open Sans"/>
      <w:b/>
      <w:bCs/>
    </w:rPr>
  </w:style>
  <w:style w:type="paragraph" w:styleId="NoSpacing">
    <w:name w:val="No Spacing"/>
    <w:uiPriority w:val="1"/>
    <w:qFormat/>
    <w:rsid w:val="00087B96"/>
    <w:pPr>
      <w:spacing w:after="0" w:line="240" w:lineRule="auto"/>
    </w:pPr>
    <w:rPr>
      <w:rFonts w:ascii="Open Sans" w:hAnsi="Open Sans" w:cs="Open Sans"/>
    </w:rPr>
  </w:style>
  <w:style w:type="character" w:customStyle="1" w:styleId="Heading3Char">
    <w:name w:val="Heading 3 Char"/>
    <w:basedOn w:val="DefaultParagraphFont"/>
    <w:link w:val="Heading3"/>
    <w:uiPriority w:val="9"/>
    <w:rsid w:val="000A06E2"/>
    <w:rPr>
      <w:rFonts w:ascii="Open Sans" w:eastAsiaTheme="majorEastAsia" w:hAnsi="Open Sans" w:cs="Open Sans"/>
      <w:color w:val="4FC0EA"/>
      <w:sz w:val="24"/>
      <w:szCs w:val="24"/>
    </w:rPr>
  </w:style>
  <w:style w:type="character" w:customStyle="1" w:styleId="Heading4Char">
    <w:name w:val="Heading 4 Char"/>
    <w:basedOn w:val="DefaultParagraphFont"/>
    <w:link w:val="Heading4"/>
    <w:uiPriority w:val="9"/>
    <w:rsid w:val="00B31E85"/>
    <w:rPr>
      <w:rFonts w:ascii="Open Sans" w:eastAsiaTheme="majorEastAsia" w:hAnsi="Open Sans" w:cs="Open Sans"/>
      <w:i/>
      <w:iCs/>
    </w:rPr>
  </w:style>
  <w:style w:type="character" w:customStyle="1" w:styleId="Heading5Char">
    <w:name w:val="Heading 5 Char"/>
    <w:basedOn w:val="DefaultParagraphFont"/>
    <w:link w:val="Heading5"/>
    <w:uiPriority w:val="9"/>
    <w:rsid w:val="00B31E85"/>
    <w:rPr>
      <w:rFonts w:ascii="Open Sans" w:eastAsiaTheme="majorEastAsia" w:hAnsi="Open Sans" w:cs="Open Sans"/>
    </w:rPr>
  </w:style>
  <w:style w:type="character" w:customStyle="1" w:styleId="Heading6Char">
    <w:name w:val="Heading 6 Char"/>
    <w:basedOn w:val="DefaultParagraphFont"/>
    <w:link w:val="Heading6"/>
    <w:uiPriority w:val="9"/>
    <w:rsid w:val="00B31E85"/>
    <w:rPr>
      <w:rFonts w:ascii="Open Sans" w:eastAsiaTheme="majorEastAsia" w:hAnsi="Open Sans" w:cs="Open Sans"/>
      <w:color w:val="243F60" w:themeColor="accent1" w:themeShade="7F"/>
    </w:rPr>
  </w:style>
  <w:style w:type="paragraph" w:styleId="ListParagraph">
    <w:name w:val="List Paragraph"/>
    <w:basedOn w:val="Normal"/>
    <w:uiPriority w:val="34"/>
    <w:qFormat/>
    <w:rsid w:val="00F16242"/>
    <w:pPr>
      <w:ind w:left="720"/>
      <w:contextualSpacing/>
    </w:pPr>
  </w:style>
  <w:style w:type="paragraph" w:styleId="NormalWeb">
    <w:name w:val="Normal (Web)"/>
    <w:basedOn w:val="Normal"/>
    <w:uiPriority w:val="99"/>
    <w:unhideWhenUsed/>
    <w:rsid w:val="009C2C75"/>
    <w:pPr>
      <w:spacing w:before="100" w:beforeAutospacing="1" w:after="100" w:afterAutospacing="1"/>
    </w:pPr>
    <w:rPr>
      <w:rFonts w:ascii="Times New Roman" w:eastAsia="Times New Roman" w:hAnsi="Times New Roman"/>
      <w:sz w:val="24"/>
      <w:szCs w:val="24"/>
      <w:lang w:val="en-US"/>
    </w:rPr>
  </w:style>
  <w:style w:type="paragraph" w:styleId="FootnoteText">
    <w:name w:val="footnote text"/>
    <w:basedOn w:val="Normal"/>
    <w:link w:val="FootnoteTextChar"/>
    <w:uiPriority w:val="99"/>
    <w:unhideWhenUsed/>
    <w:rsid w:val="00CF0EC3"/>
    <w:rPr>
      <w:sz w:val="20"/>
      <w:szCs w:val="20"/>
    </w:rPr>
  </w:style>
  <w:style w:type="character" w:customStyle="1" w:styleId="FootnoteTextChar">
    <w:name w:val="Footnote Text Char"/>
    <w:basedOn w:val="DefaultParagraphFont"/>
    <w:link w:val="FootnoteText"/>
    <w:uiPriority w:val="99"/>
    <w:rsid w:val="00CF0EC3"/>
    <w:rPr>
      <w:rFonts w:ascii="Calibri" w:hAnsi="Calibri" w:cs="Times New Roman"/>
      <w:sz w:val="20"/>
      <w:szCs w:val="20"/>
    </w:rPr>
  </w:style>
  <w:style w:type="character" w:styleId="FootnoteReference">
    <w:name w:val="footnote reference"/>
    <w:basedOn w:val="DefaultParagraphFont"/>
    <w:uiPriority w:val="99"/>
    <w:unhideWhenUsed/>
    <w:rsid w:val="00CF0EC3"/>
    <w:rPr>
      <w:vertAlign w:val="superscript"/>
    </w:rPr>
  </w:style>
  <w:style w:type="character" w:styleId="CommentReference">
    <w:name w:val="annotation reference"/>
    <w:basedOn w:val="DefaultParagraphFont"/>
    <w:uiPriority w:val="99"/>
    <w:semiHidden/>
    <w:unhideWhenUsed/>
    <w:rsid w:val="00312ADF"/>
    <w:rPr>
      <w:sz w:val="16"/>
      <w:szCs w:val="16"/>
    </w:rPr>
  </w:style>
  <w:style w:type="paragraph" w:styleId="CommentText">
    <w:name w:val="annotation text"/>
    <w:basedOn w:val="Normal"/>
    <w:link w:val="CommentTextChar"/>
    <w:uiPriority w:val="99"/>
    <w:unhideWhenUsed/>
    <w:rsid w:val="00312ADF"/>
    <w:rPr>
      <w:sz w:val="20"/>
      <w:szCs w:val="20"/>
    </w:rPr>
  </w:style>
  <w:style w:type="character" w:customStyle="1" w:styleId="CommentTextChar">
    <w:name w:val="Comment Text Char"/>
    <w:basedOn w:val="DefaultParagraphFont"/>
    <w:link w:val="CommentText"/>
    <w:uiPriority w:val="99"/>
    <w:rsid w:val="00312AD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2ADF"/>
    <w:rPr>
      <w:b/>
      <w:bCs/>
    </w:rPr>
  </w:style>
  <w:style w:type="character" w:customStyle="1" w:styleId="CommentSubjectChar">
    <w:name w:val="Comment Subject Char"/>
    <w:basedOn w:val="CommentTextChar"/>
    <w:link w:val="CommentSubject"/>
    <w:uiPriority w:val="99"/>
    <w:semiHidden/>
    <w:rsid w:val="00312ADF"/>
    <w:rPr>
      <w:rFonts w:ascii="Calibri" w:hAnsi="Calibri" w:cs="Times New Roman"/>
      <w:b/>
      <w:bCs/>
      <w:sz w:val="20"/>
      <w:szCs w:val="20"/>
    </w:rPr>
  </w:style>
  <w:style w:type="paragraph" w:styleId="Revision">
    <w:name w:val="Revision"/>
    <w:hidden/>
    <w:uiPriority w:val="99"/>
    <w:semiHidden/>
    <w:rsid w:val="0059002D"/>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A3264B"/>
    <w:rPr>
      <w:color w:val="605E5C"/>
      <w:shd w:val="clear" w:color="auto" w:fill="E1DFDD"/>
    </w:rPr>
  </w:style>
  <w:style w:type="character" w:styleId="FollowedHyperlink">
    <w:name w:val="FollowedHyperlink"/>
    <w:basedOn w:val="DefaultParagraphFont"/>
    <w:uiPriority w:val="99"/>
    <w:semiHidden/>
    <w:unhideWhenUsed/>
    <w:rsid w:val="00A665A4"/>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46280">
      <w:bodyDiv w:val="1"/>
      <w:marLeft w:val="0"/>
      <w:marRight w:val="0"/>
      <w:marTop w:val="0"/>
      <w:marBottom w:val="0"/>
      <w:divBdr>
        <w:top w:val="none" w:sz="0" w:space="0" w:color="auto"/>
        <w:left w:val="none" w:sz="0" w:space="0" w:color="auto"/>
        <w:bottom w:val="none" w:sz="0" w:space="0" w:color="auto"/>
        <w:right w:val="none" w:sz="0" w:space="0" w:color="auto"/>
      </w:divBdr>
    </w:div>
    <w:div w:id="582492330">
      <w:bodyDiv w:val="1"/>
      <w:marLeft w:val="0"/>
      <w:marRight w:val="0"/>
      <w:marTop w:val="0"/>
      <w:marBottom w:val="0"/>
      <w:divBdr>
        <w:top w:val="none" w:sz="0" w:space="0" w:color="auto"/>
        <w:left w:val="none" w:sz="0" w:space="0" w:color="auto"/>
        <w:bottom w:val="none" w:sz="0" w:space="0" w:color="auto"/>
        <w:right w:val="none" w:sz="0" w:space="0" w:color="auto"/>
      </w:divBdr>
    </w:div>
    <w:div w:id="870535128">
      <w:bodyDiv w:val="1"/>
      <w:marLeft w:val="0"/>
      <w:marRight w:val="0"/>
      <w:marTop w:val="0"/>
      <w:marBottom w:val="0"/>
      <w:divBdr>
        <w:top w:val="none" w:sz="0" w:space="0" w:color="auto"/>
        <w:left w:val="none" w:sz="0" w:space="0" w:color="auto"/>
        <w:bottom w:val="none" w:sz="0" w:space="0" w:color="auto"/>
        <w:right w:val="none" w:sz="0" w:space="0" w:color="auto"/>
      </w:divBdr>
    </w:div>
    <w:div w:id="909189869">
      <w:bodyDiv w:val="1"/>
      <w:marLeft w:val="0"/>
      <w:marRight w:val="0"/>
      <w:marTop w:val="0"/>
      <w:marBottom w:val="0"/>
      <w:divBdr>
        <w:top w:val="none" w:sz="0" w:space="0" w:color="auto"/>
        <w:left w:val="none" w:sz="0" w:space="0" w:color="auto"/>
        <w:bottom w:val="none" w:sz="0" w:space="0" w:color="auto"/>
        <w:right w:val="none" w:sz="0" w:space="0" w:color="auto"/>
      </w:divBdr>
    </w:div>
    <w:div w:id="1048914186">
      <w:bodyDiv w:val="1"/>
      <w:marLeft w:val="0"/>
      <w:marRight w:val="0"/>
      <w:marTop w:val="0"/>
      <w:marBottom w:val="0"/>
      <w:divBdr>
        <w:top w:val="none" w:sz="0" w:space="0" w:color="auto"/>
        <w:left w:val="none" w:sz="0" w:space="0" w:color="auto"/>
        <w:bottom w:val="none" w:sz="0" w:space="0" w:color="auto"/>
        <w:right w:val="none" w:sz="0" w:space="0" w:color="auto"/>
      </w:divBdr>
    </w:div>
    <w:div w:id="1142037204">
      <w:bodyDiv w:val="1"/>
      <w:marLeft w:val="0"/>
      <w:marRight w:val="0"/>
      <w:marTop w:val="0"/>
      <w:marBottom w:val="0"/>
      <w:divBdr>
        <w:top w:val="none" w:sz="0" w:space="0" w:color="auto"/>
        <w:left w:val="none" w:sz="0" w:space="0" w:color="auto"/>
        <w:bottom w:val="none" w:sz="0" w:space="0" w:color="auto"/>
        <w:right w:val="none" w:sz="0" w:space="0" w:color="auto"/>
      </w:divBdr>
    </w:div>
    <w:div w:id="1410226464">
      <w:bodyDiv w:val="1"/>
      <w:marLeft w:val="0"/>
      <w:marRight w:val="0"/>
      <w:marTop w:val="0"/>
      <w:marBottom w:val="0"/>
      <w:divBdr>
        <w:top w:val="none" w:sz="0" w:space="0" w:color="auto"/>
        <w:left w:val="none" w:sz="0" w:space="0" w:color="auto"/>
        <w:bottom w:val="none" w:sz="0" w:space="0" w:color="auto"/>
        <w:right w:val="none" w:sz="0" w:space="0" w:color="auto"/>
      </w:divBdr>
    </w:div>
    <w:div w:id="17012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imatexchange.org.uk/projects/perennial-energy-crops-and-their-potential-in-scotland-evidence-re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binaries/content/documents/govscot/publications/research-and-analysis/2023/11/negative-emissions-technologies-nets-feasibility-study/documents/negative-emissions-technologies-nets-feasibility-study-final-report/negative-emissions-technologies-nets-feasibility-study-final-report/govscot%3Adocument/negative-emissions-technologies-nets-feasibility-study-final-report.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ea.org/reports/net-zero-by-2050" TargetMode="External"/><Relationship Id="rId13" Type="http://schemas.openxmlformats.org/officeDocument/2006/relationships/hyperlink" Target="https://www.gov.scot/publications/scotlands-third-land-use-strategy-2021-2026-getting-best-land/documents/" TargetMode="External"/><Relationship Id="rId18" Type="http://schemas.openxmlformats.org/officeDocument/2006/relationships/hyperlink" Target="https://www.biomassconnect.org/wp-content/uploads/2023/05/Environmental-and-Biodiversity-impacts-of-Miscanthus.pdf" TargetMode="External"/><Relationship Id="rId3" Type="http://schemas.openxmlformats.org/officeDocument/2006/relationships/hyperlink" Target="https://www.futurebiogas.com/beccs/" TargetMode="External"/><Relationship Id="rId7" Type="http://schemas.openxmlformats.org/officeDocument/2006/relationships/hyperlink" Target="https://www.theccc.org.uk/publication/sixth-carbon-budget/" TargetMode="External"/><Relationship Id="rId12" Type="http://schemas.openxmlformats.org/officeDocument/2006/relationships/hyperlink" Target="https://www.sepa.org.uk/regulations/pollution-prevention-and-control/medium-combustion-plant/" TargetMode="External"/><Relationship Id="rId17" Type="http://schemas.openxmlformats.org/officeDocument/2006/relationships/hyperlink" Target="http://www.supergen-bioenergy.net/wpcontent/uploads/2020/05/Supergen-Bioenergy-Hub-Case-Studies-Report.pdf" TargetMode="External"/><Relationship Id="rId2" Type="http://schemas.openxmlformats.org/officeDocument/2006/relationships/hyperlink" Target="https://data.consilium.europa.eu/doc/document/ST-14544-2018-INIT/en/pdf" TargetMode="External"/><Relationship Id="rId16" Type="http://schemas.openxmlformats.org/officeDocument/2006/relationships/hyperlink" Target="https://www.forestresearch.gov.uk/tools-and-resources/statistics/forestry-statistics/" TargetMode="External"/><Relationship Id="rId1" Type="http://schemas.openxmlformats.org/officeDocument/2006/relationships/hyperlink" Target="https://sbp-cert.org/" TargetMode="External"/><Relationship Id="rId6" Type="http://schemas.openxmlformats.org/officeDocument/2006/relationships/hyperlink" Target="https://www.gov.uk/government/collections/digest-of-uk-energy-statistics-dukes" TargetMode="External"/><Relationship Id="rId11" Type="http://schemas.openxmlformats.org/officeDocument/2006/relationships/hyperlink" Target="https://www.gov.uk/government/consultations/decarbonisation-readiness-updates-to-the-2009-carbon-capture-readiness-requirements" TargetMode="External"/><Relationship Id="rId5" Type="http://schemas.openxmlformats.org/officeDocument/2006/relationships/hyperlink" Target="https://commonslibrary.parliament.uk/constituency-data-households-off-the-gas-grid" TargetMode="External"/><Relationship Id="rId15" Type="http://schemas.openxmlformats.org/officeDocument/2006/relationships/hyperlink" Target="https://envirocrops.com/" TargetMode="External"/><Relationship Id="rId10" Type="http://schemas.openxmlformats.org/officeDocument/2006/relationships/hyperlink" Target="https://www.r-e-a.net/wp-content/uploads/2020/10/S4-WH2020-Neil-Holland-Biomass-Heat-Works.pdf" TargetMode="External"/><Relationship Id="rId19" Type="http://schemas.openxmlformats.org/officeDocument/2006/relationships/hyperlink" Target="https://www.biomassconnect.org/wp-content/uploads/2023/03/TA-Biomass-Buffers-Final-1.pdf" TargetMode="External"/><Relationship Id="rId4" Type="http://schemas.openxmlformats.org/officeDocument/2006/relationships/hyperlink" Target="https://www.theccc.org.uk/publication/net-zero-the-uks-contribution-to-stopping-global-warming/" TargetMode="External"/><Relationship Id="rId9" Type="http://schemas.openxmlformats.org/officeDocument/2006/relationships/hyperlink" Target="https://www.ipcc.ch/report/ar6/syr/" TargetMode="External"/><Relationship Id="rId14" Type="http://schemas.openxmlformats.org/officeDocument/2006/relationships/hyperlink" Target="https://www.biomassconne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Downloads\RE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5" ma:contentTypeDescription="Create a new document." ma:contentTypeScope="" ma:versionID="9930edceeac99d9c502635eaaaca264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Mark Sommerfeld</DisplayName>
        <AccountId>64</AccountId>
        <AccountType/>
      </UserInfo>
      <UserInfo>
        <DisplayName>Frank Gordon</DisplayName>
        <AccountId>68</AccountId>
        <AccountType/>
      </UserInfo>
      <UserInfo>
        <DisplayName>Kat McManus</DisplayName>
        <AccountId>314</AccountId>
        <AccountType/>
      </UserInfo>
      <UserInfo>
        <DisplayName>Samantha Smith</DisplayName>
        <AccountId>351</AccountId>
        <AccountType/>
      </UserInfo>
      <UserInfo>
        <DisplayName>Poppy Airey</DisplayName>
        <AccountId>181</AccountId>
        <AccountType/>
      </UserInfo>
      <UserInfo>
        <DisplayName>Paul Thompson</DisplayName>
        <AccountId>114</AccountId>
        <AccountType/>
      </UserInfo>
      <UserInfo>
        <DisplayName>Sara Bartle</DisplayName>
        <AccountId>165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EBAF7-38F0-4FA4-BA13-BBEF04D8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783E5-5421-4429-8095-1CB86C80524A}">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3.xml><?xml version="1.0" encoding="utf-8"?>
<ds:datastoreItem xmlns:ds="http://schemas.openxmlformats.org/officeDocument/2006/customXml" ds:itemID="{566B66A4-72C7-4F72-B5EA-48CC17FAA50B}">
  <ds:schemaRefs>
    <ds:schemaRef ds:uri="http://schemas.openxmlformats.org/officeDocument/2006/bibliography"/>
  </ds:schemaRefs>
</ds:datastoreItem>
</file>

<file path=customXml/itemProps4.xml><?xml version="1.0" encoding="utf-8"?>
<ds:datastoreItem xmlns:ds="http://schemas.openxmlformats.org/officeDocument/2006/customXml" ds:itemID="{DBDD941B-9BF9-497C-B776-A9B7C0726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REA Letterhead</Template>
  <TotalTime>0</TotalTime>
  <Pages>12</Pages>
  <Words>6204</Words>
  <Characters>35365</Characters>
  <Application>Microsoft Office Word</Application>
  <DocSecurity>0</DocSecurity>
  <Lines>294</Lines>
  <Paragraphs>82</Paragraphs>
  <ScaleCrop>false</ScaleCrop>
  <Company>REA</Company>
  <LinksUpToDate>false</LinksUpToDate>
  <CharactersWithSpaces>41487</CharactersWithSpaces>
  <SharedDoc>false</SharedDoc>
  <HLinks>
    <vt:vector size="126" baseType="variant">
      <vt:variant>
        <vt:i4>2555944</vt:i4>
      </vt:variant>
      <vt:variant>
        <vt:i4>3</vt:i4>
      </vt:variant>
      <vt:variant>
        <vt:i4>0</vt:i4>
      </vt:variant>
      <vt:variant>
        <vt:i4>5</vt:i4>
      </vt:variant>
      <vt:variant>
        <vt:lpwstr>https://www.climatexchange.org.uk/projects/perennial-energy-crops-and-their-potential-in-scotland-evidence-review/</vt:lpwstr>
      </vt:variant>
      <vt:variant>
        <vt:lpwstr/>
      </vt:variant>
      <vt:variant>
        <vt:i4>7012392</vt:i4>
      </vt:variant>
      <vt:variant>
        <vt:i4>0</vt:i4>
      </vt:variant>
      <vt:variant>
        <vt:i4>0</vt:i4>
      </vt:variant>
      <vt:variant>
        <vt:i4>5</vt:i4>
      </vt:variant>
      <vt:variant>
        <vt:lpwstr>https://www.gov.scot/binaries/content/documents/govscot/publications/research-and-analysis/2023/11/negative-emissions-technologies-nets-feasibility-study/documents/negative-emissions-technologies-nets-feasibility-study-final-report/negative-emissions-technologies-nets-feasibility-study-final-report/govscot%3Adocument/negative-emissions-technologies-nets-feasibility-study-final-report.pdf</vt:lpwstr>
      </vt:variant>
      <vt:variant>
        <vt:lpwstr/>
      </vt:variant>
      <vt:variant>
        <vt:i4>4980757</vt:i4>
      </vt:variant>
      <vt:variant>
        <vt:i4>48</vt:i4>
      </vt:variant>
      <vt:variant>
        <vt:i4>0</vt:i4>
      </vt:variant>
      <vt:variant>
        <vt:i4>5</vt:i4>
      </vt:variant>
      <vt:variant>
        <vt:lpwstr>https://www.biomassconnect.org/wp-content/uploads/2023/03/TA-Biomass-Buffers-Final-1.pdf</vt:lpwstr>
      </vt:variant>
      <vt:variant>
        <vt:lpwstr/>
      </vt:variant>
      <vt:variant>
        <vt:i4>3932264</vt:i4>
      </vt:variant>
      <vt:variant>
        <vt:i4>45</vt:i4>
      </vt:variant>
      <vt:variant>
        <vt:i4>0</vt:i4>
      </vt:variant>
      <vt:variant>
        <vt:i4>5</vt:i4>
      </vt:variant>
      <vt:variant>
        <vt:lpwstr>https://www.biomassconnect.org/wp-content/uploads/2023/05/Environmental-and-Biodiversity-impacts-of-Miscanthus.pdf</vt:lpwstr>
      </vt:variant>
      <vt:variant>
        <vt:lpwstr/>
      </vt:variant>
      <vt:variant>
        <vt:i4>7274529</vt:i4>
      </vt:variant>
      <vt:variant>
        <vt:i4>42</vt:i4>
      </vt:variant>
      <vt:variant>
        <vt:i4>0</vt:i4>
      </vt:variant>
      <vt:variant>
        <vt:i4>5</vt:i4>
      </vt:variant>
      <vt:variant>
        <vt:lpwstr>http://www.supergen-bioenergy.net/wpcontent/uploads/2020/05/Supergen-Bioenergy-Hub-Case-Studies-Report.pdf</vt:lpwstr>
      </vt:variant>
      <vt:variant>
        <vt:lpwstr/>
      </vt:variant>
      <vt:variant>
        <vt:i4>1</vt:i4>
      </vt:variant>
      <vt:variant>
        <vt:i4>39</vt:i4>
      </vt:variant>
      <vt:variant>
        <vt:i4>0</vt:i4>
      </vt:variant>
      <vt:variant>
        <vt:i4>5</vt:i4>
      </vt:variant>
      <vt:variant>
        <vt:lpwstr>https://www.forestresearch.gov.uk/tools-and-resources/statistics/forestry-statistics/</vt:lpwstr>
      </vt:variant>
      <vt:variant>
        <vt:lpwstr/>
      </vt:variant>
      <vt:variant>
        <vt:i4>6815844</vt:i4>
      </vt:variant>
      <vt:variant>
        <vt:i4>36</vt:i4>
      </vt:variant>
      <vt:variant>
        <vt:i4>0</vt:i4>
      </vt:variant>
      <vt:variant>
        <vt:i4>5</vt:i4>
      </vt:variant>
      <vt:variant>
        <vt:lpwstr>https://www.gov.scot/publications/scotlands-third-land-use-strategy-2021-2026-getting-best-land/documents/</vt:lpwstr>
      </vt:variant>
      <vt:variant>
        <vt:lpwstr/>
      </vt:variant>
      <vt:variant>
        <vt:i4>4128805</vt:i4>
      </vt:variant>
      <vt:variant>
        <vt:i4>33</vt:i4>
      </vt:variant>
      <vt:variant>
        <vt:i4>0</vt:i4>
      </vt:variant>
      <vt:variant>
        <vt:i4>5</vt:i4>
      </vt:variant>
      <vt:variant>
        <vt:lpwstr>https://www.sepa.org.uk/regulations/pollution-prevention-and-control/medium-combustion-plant/</vt:lpwstr>
      </vt:variant>
      <vt:variant>
        <vt:lpwstr>Legislation</vt:lpwstr>
      </vt:variant>
      <vt:variant>
        <vt:i4>8126505</vt:i4>
      </vt:variant>
      <vt:variant>
        <vt:i4>30</vt:i4>
      </vt:variant>
      <vt:variant>
        <vt:i4>0</vt:i4>
      </vt:variant>
      <vt:variant>
        <vt:i4>5</vt:i4>
      </vt:variant>
      <vt:variant>
        <vt:lpwstr>https://www.gov.uk/government/consultations/decarbonisation-readiness-updates-to-the-2009-carbon-capture-readiness-requirements</vt:lpwstr>
      </vt:variant>
      <vt:variant>
        <vt:lpwstr/>
      </vt:variant>
      <vt:variant>
        <vt:i4>2293877</vt:i4>
      </vt:variant>
      <vt:variant>
        <vt:i4>27</vt:i4>
      </vt:variant>
      <vt:variant>
        <vt:i4>0</vt:i4>
      </vt:variant>
      <vt:variant>
        <vt:i4>5</vt:i4>
      </vt:variant>
      <vt:variant>
        <vt:lpwstr>https://www.r-e-a.net/wp-content/uploads/2020/10/S4-WH2020-Neil-Holland-Biomass-Heat-Works.pdf</vt:lpwstr>
      </vt:variant>
      <vt:variant>
        <vt:lpwstr/>
      </vt:variant>
      <vt:variant>
        <vt:i4>4128887</vt:i4>
      </vt:variant>
      <vt:variant>
        <vt:i4>24</vt:i4>
      </vt:variant>
      <vt:variant>
        <vt:i4>0</vt:i4>
      </vt:variant>
      <vt:variant>
        <vt:i4>5</vt:i4>
      </vt:variant>
      <vt:variant>
        <vt:lpwstr>https://www.ipcc.ch/report/ar6/syr/</vt:lpwstr>
      </vt:variant>
      <vt:variant>
        <vt:lpwstr/>
      </vt:variant>
      <vt:variant>
        <vt:i4>131074</vt:i4>
      </vt:variant>
      <vt:variant>
        <vt:i4>21</vt:i4>
      </vt:variant>
      <vt:variant>
        <vt:i4>0</vt:i4>
      </vt:variant>
      <vt:variant>
        <vt:i4>5</vt:i4>
      </vt:variant>
      <vt:variant>
        <vt:lpwstr>https://www.iea.org/reports/net-zero-by-2050</vt:lpwstr>
      </vt:variant>
      <vt:variant>
        <vt:lpwstr/>
      </vt:variant>
      <vt:variant>
        <vt:i4>655380</vt:i4>
      </vt:variant>
      <vt:variant>
        <vt:i4>18</vt:i4>
      </vt:variant>
      <vt:variant>
        <vt:i4>0</vt:i4>
      </vt:variant>
      <vt:variant>
        <vt:i4>5</vt:i4>
      </vt:variant>
      <vt:variant>
        <vt:lpwstr>https://www.theccc.org.uk/publication/sixth-carbon-budget/</vt:lpwstr>
      </vt:variant>
      <vt:variant>
        <vt:lpwstr>key-recommendations</vt:lpwstr>
      </vt:variant>
      <vt:variant>
        <vt:i4>7012395</vt:i4>
      </vt:variant>
      <vt:variant>
        <vt:i4>15</vt:i4>
      </vt:variant>
      <vt:variant>
        <vt:i4>0</vt:i4>
      </vt:variant>
      <vt:variant>
        <vt:i4>5</vt:i4>
      </vt:variant>
      <vt:variant>
        <vt:lpwstr>https://www.gov.uk/government/collections/digest-of-uk-energy-statistics-dukes</vt:lpwstr>
      </vt:variant>
      <vt:variant>
        <vt:lpwstr/>
      </vt:variant>
      <vt:variant>
        <vt:i4>6946929</vt:i4>
      </vt:variant>
      <vt:variant>
        <vt:i4>12</vt:i4>
      </vt:variant>
      <vt:variant>
        <vt:i4>0</vt:i4>
      </vt:variant>
      <vt:variant>
        <vt:i4>5</vt:i4>
      </vt:variant>
      <vt:variant>
        <vt:lpwstr>https://commonslibrary.parliament.uk/constituency-data-households-off-the-gas-grid</vt:lpwstr>
      </vt:variant>
      <vt:variant>
        <vt:lpwstr/>
      </vt:variant>
      <vt:variant>
        <vt:i4>7012479</vt:i4>
      </vt:variant>
      <vt:variant>
        <vt:i4>9</vt:i4>
      </vt:variant>
      <vt:variant>
        <vt:i4>0</vt:i4>
      </vt:variant>
      <vt:variant>
        <vt:i4>5</vt:i4>
      </vt:variant>
      <vt:variant>
        <vt:lpwstr>https://www.theccc.org.uk/publication/net-zero-the-uks-contribution-to-stopping-global-warming/</vt:lpwstr>
      </vt:variant>
      <vt:variant>
        <vt:lpwstr/>
      </vt:variant>
      <vt:variant>
        <vt:i4>2883620</vt:i4>
      </vt:variant>
      <vt:variant>
        <vt:i4>6</vt:i4>
      </vt:variant>
      <vt:variant>
        <vt:i4>0</vt:i4>
      </vt:variant>
      <vt:variant>
        <vt:i4>5</vt:i4>
      </vt:variant>
      <vt:variant>
        <vt:lpwstr>https://www.futurebiogas.com/beccs/</vt:lpwstr>
      </vt:variant>
      <vt:variant>
        <vt:lpwstr/>
      </vt:variant>
      <vt:variant>
        <vt:i4>4128869</vt:i4>
      </vt:variant>
      <vt:variant>
        <vt:i4>3</vt:i4>
      </vt:variant>
      <vt:variant>
        <vt:i4>0</vt:i4>
      </vt:variant>
      <vt:variant>
        <vt:i4>5</vt:i4>
      </vt:variant>
      <vt:variant>
        <vt:lpwstr>https://data.consilium.europa.eu/doc/document/ST-14544-2018-INIT/en/pdf</vt:lpwstr>
      </vt:variant>
      <vt:variant>
        <vt:lpwstr/>
      </vt:variant>
      <vt:variant>
        <vt:i4>4653070</vt:i4>
      </vt:variant>
      <vt:variant>
        <vt:i4>0</vt:i4>
      </vt:variant>
      <vt:variant>
        <vt:i4>0</vt:i4>
      </vt:variant>
      <vt:variant>
        <vt:i4>5</vt:i4>
      </vt:variant>
      <vt:variant>
        <vt:lpwstr>https://sbp-cert.org/</vt:lpwstr>
      </vt:variant>
      <vt:variant>
        <vt:lpwstr/>
      </vt:variant>
      <vt:variant>
        <vt:i4>4653083</vt:i4>
      </vt:variant>
      <vt:variant>
        <vt:i4>6</vt:i4>
      </vt:variant>
      <vt:variant>
        <vt:i4>0</vt:i4>
      </vt:variant>
      <vt:variant>
        <vt:i4>5</vt:i4>
      </vt:variant>
      <vt:variant>
        <vt:lpwstr>http://www.r-e-a.net/</vt:lpwstr>
      </vt:variant>
      <vt:variant>
        <vt:lpwstr/>
      </vt:variant>
      <vt:variant>
        <vt:i4>6684755</vt:i4>
      </vt:variant>
      <vt:variant>
        <vt:i4>3</vt:i4>
      </vt:variant>
      <vt:variant>
        <vt:i4>0</vt:i4>
      </vt:variant>
      <vt:variant>
        <vt:i4>5</vt:i4>
      </vt:variant>
      <vt:variant>
        <vt:lpwstr>mailto:info@r-e-a.net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Smith</dc:creator>
  <cp:keywords/>
  <cp:lastModifiedBy>Samantha Smith</cp:lastModifiedBy>
  <cp:revision>2</cp:revision>
  <dcterms:created xsi:type="dcterms:W3CDTF">2024-05-29T08:51:00Z</dcterms:created>
  <dcterms:modified xsi:type="dcterms:W3CDTF">2024-05-29T08:51:00Z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