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EB588" w14:textId="5DDC1E61" w:rsidR="00D23ADA" w:rsidRDefault="009977DB" w:rsidP="00F47E67">
      <w:pPr>
        <w:jc w:val="center"/>
        <w:rPr>
          <w:rFonts w:ascii="Open Sans" w:eastAsia="Calibri" w:hAnsi="Open Sans" w:cs="Open Sans"/>
          <w:b/>
          <w:bCs/>
          <w:color w:val="06926B"/>
          <w:kern w:val="0"/>
          <w:sz w:val="28"/>
          <w:szCs w:val="28"/>
          <w14:ligatures w14:val="none"/>
        </w:rPr>
      </w:pPr>
      <w:r w:rsidRPr="009977DB">
        <w:rPr>
          <w:rFonts w:ascii="Open Sans" w:eastAsia="Calibri" w:hAnsi="Open Sans" w:cs="Open Sans"/>
          <w:b/>
          <w:bCs/>
          <w:color w:val="06926B"/>
          <w:kern w:val="0"/>
          <w:sz w:val="28"/>
          <w:szCs w:val="28"/>
          <w14:ligatures w14:val="none"/>
        </w:rPr>
        <w:t>REA response to</w:t>
      </w:r>
      <w:r>
        <w:rPr>
          <w:rFonts w:ascii="Open Sans" w:eastAsia="Calibri" w:hAnsi="Open Sans" w:cs="Open Sans"/>
          <w:b/>
          <w:bCs/>
          <w:color w:val="06926B"/>
          <w:kern w:val="0"/>
          <w:sz w:val="28"/>
          <w:szCs w:val="28"/>
          <w14:ligatures w14:val="none"/>
        </w:rPr>
        <w:t xml:space="preserve"> </w:t>
      </w:r>
      <w:r w:rsidR="00B87E42" w:rsidRPr="00B87E42">
        <w:rPr>
          <w:rFonts w:ascii="Open Sans" w:eastAsia="Calibri" w:hAnsi="Open Sans" w:cs="Open Sans"/>
          <w:b/>
          <w:bCs/>
          <w:color w:val="06926B"/>
          <w:kern w:val="0"/>
          <w:sz w:val="28"/>
          <w:szCs w:val="28"/>
          <w14:ligatures w14:val="none"/>
        </w:rPr>
        <w:t>Smart Secure Electricity Systems Programme: Energy Smart Appliances</w:t>
      </w:r>
      <w:r w:rsidR="00F47E67">
        <w:rPr>
          <w:rFonts w:ascii="Open Sans" w:eastAsia="Calibri" w:hAnsi="Open Sans" w:cs="Open Sans"/>
          <w:b/>
          <w:bCs/>
          <w:color w:val="06926B"/>
          <w:kern w:val="0"/>
          <w:sz w:val="28"/>
          <w:szCs w:val="28"/>
          <w14:ligatures w14:val="none"/>
        </w:rPr>
        <w:t xml:space="preserve"> Consultation</w:t>
      </w:r>
    </w:p>
    <w:p w14:paraId="3022A6BC" w14:textId="77777777" w:rsidR="00782F16" w:rsidRDefault="00782F16" w:rsidP="00782F16">
      <w:pPr>
        <w:spacing w:after="0" w:line="240" w:lineRule="auto"/>
        <w:jc w:val="both"/>
        <w:rPr>
          <w:rFonts w:ascii="Open Sans" w:eastAsia="Times New Roman" w:hAnsi="Open Sans" w:cs="Times New Roman"/>
          <w:kern w:val="0"/>
          <w:sz w:val="22"/>
          <w14:ligatures w14:val="none"/>
        </w:rPr>
      </w:pPr>
    </w:p>
    <w:p w14:paraId="4BB1B411" w14:textId="5F508C49" w:rsidR="00782F16" w:rsidRPr="00782F16" w:rsidRDefault="00782F16" w:rsidP="00782F16">
      <w:pPr>
        <w:spacing w:after="0" w:line="240" w:lineRule="auto"/>
        <w:jc w:val="both"/>
        <w:rPr>
          <w:rFonts w:ascii="Open Sans" w:eastAsia="Times New Roman" w:hAnsi="Open Sans" w:cs="Times New Roman"/>
          <w:kern w:val="0"/>
          <w:sz w:val="22"/>
          <w14:ligatures w14:val="none"/>
        </w:rPr>
      </w:pPr>
      <w:r w:rsidRPr="00782F16">
        <w:rPr>
          <w:rFonts w:ascii="Open Sans" w:eastAsia="Times New Roman" w:hAnsi="Open Sans" w:cs="Times New Roman"/>
          <w:kern w:val="0"/>
          <w:sz w:val="22"/>
          <w14:ligatures w14:val="none"/>
        </w:rPr>
        <w:t xml:space="preserve">The Association for Renewable Energy &amp; Clean Technology (REA) is pleased to submit this response to the above consultation.  The REA represents renewable electricity, heat and transport, as well as Electric Vehicle charging infrastructure, Energy Storage and Circular Economy companies. Members encompass a wide variety of organisations, including generators, project developers, fuel and power suppliers, investors, equipment producers and service providers.  Members range in size from major multinationals to sole traders.  There are around 550 corporate members of the REA, making it the largest renewable energy and clean technology trade association in the UK.  </w:t>
      </w:r>
    </w:p>
    <w:p w14:paraId="5B9E6991" w14:textId="77777777" w:rsidR="00D0109D" w:rsidRDefault="00D0109D" w:rsidP="005F36D1">
      <w:pPr>
        <w:rPr>
          <w:b/>
          <w:bCs/>
        </w:rPr>
      </w:pPr>
    </w:p>
    <w:p w14:paraId="26D8DFD7" w14:textId="320DEF34" w:rsidR="005F36D1" w:rsidRPr="00ED3B53" w:rsidRDefault="005F36D1" w:rsidP="005F36D1">
      <w:pPr>
        <w:rPr>
          <w:b/>
          <w:bCs/>
        </w:rPr>
      </w:pPr>
      <w:r w:rsidRPr="00ED3B53">
        <w:rPr>
          <w:b/>
          <w:bCs/>
        </w:rPr>
        <w:t>1. Do you have a view on the lead time industry will require to implement the first phase</w:t>
      </w:r>
      <w:r>
        <w:rPr>
          <w:b/>
          <w:bCs/>
        </w:rPr>
        <w:t xml:space="preserve"> </w:t>
      </w:r>
      <w:r w:rsidRPr="00ED3B53">
        <w:rPr>
          <w:b/>
          <w:bCs/>
        </w:rPr>
        <w:t>regulations as proposed in this document?</w:t>
      </w:r>
    </w:p>
    <w:p w14:paraId="1CB524F1" w14:textId="049439F8" w:rsidR="00A522A2" w:rsidRDefault="00AE6C5F" w:rsidP="007062AE">
      <w:r>
        <w:t xml:space="preserve">Given the </w:t>
      </w:r>
      <w:r w:rsidR="00271366">
        <w:t xml:space="preserve">uncertainty in the </w:t>
      </w:r>
      <w:r w:rsidR="006E3C94">
        <w:t>requirements</w:t>
      </w:r>
      <w:r w:rsidR="00271366">
        <w:t xml:space="preserve"> at this stage, along with the added uncertainty </w:t>
      </w:r>
      <w:r w:rsidR="00884B54">
        <w:t>of</w:t>
      </w:r>
      <w:r w:rsidR="00271366">
        <w:t xml:space="preserve"> seeing a </w:t>
      </w:r>
      <w:r w:rsidR="006E3C94">
        <w:t>potential</w:t>
      </w:r>
      <w:r w:rsidR="00271366">
        <w:t xml:space="preserve"> new </w:t>
      </w:r>
      <w:r w:rsidR="006E3C94">
        <w:t>Government</w:t>
      </w:r>
      <w:r w:rsidR="00271366">
        <w:t xml:space="preserve"> come to power</w:t>
      </w:r>
      <w:r w:rsidR="00884B54">
        <w:t xml:space="preserve"> who may wish to review the proposals</w:t>
      </w:r>
      <w:r w:rsidR="00271366">
        <w:t xml:space="preserve">, we believe the first phase of </w:t>
      </w:r>
      <w:r w:rsidR="006E3C94">
        <w:t>implementation will likely need to be extended</w:t>
      </w:r>
      <w:r w:rsidR="00D0203F">
        <w:t xml:space="preserve"> beyond </w:t>
      </w:r>
      <w:r w:rsidR="00F7630A">
        <w:t>t</w:t>
      </w:r>
      <w:r w:rsidR="00D0203F">
        <w:t>he 18 months being proposed. This could</w:t>
      </w:r>
      <w:r w:rsidR="00F7630A">
        <w:t xml:space="preserve">, </w:t>
      </w:r>
      <w:r w:rsidR="00D0203F">
        <w:t>in turn</w:t>
      </w:r>
      <w:r w:rsidR="00F7630A">
        <w:t>,</w:t>
      </w:r>
      <w:r w:rsidR="00D0203F">
        <w:t xml:space="preserve"> have impacts on phase two, however </w:t>
      </w:r>
      <w:r w:rsidR="007414C5">
        <w:t xml:space="preserve">believe the proposed two years likely to be </w:t>
      </w:r>
      <w:r w:rsidR="00EF376E">
        <w:t>achievable depending on how stringe</w:t>
      </w:r>
      <w:r w:rsidR="003D1FDA">
        <w:t xml:space="preserve">ncy of </w:t>
      </w:r>
      <w:r w:rsidR="00EF376E">
        <w:t xml:space="preserve">the </w:t>
      </w:r>
      <w:r w:rsidR="003D1FDA">
        <w:t>requirements</w:t>
      </w:r>
      <w:r w:rsidR="00F7630A">
        <w:t xml:space="preserve"> and the availability of guidance. </w:t>
      </w:r>
    </w:p>
    <w:p w14:paraId="3FC6253A" w14:textId="1B384239" w:rsidR="00950B71" w:rsidRDefault="00EF376E" w:rsidP="007062AE">
      <w:r>
        <w:t>We</w:t>
      </w:r>
      <w:r w:rsidR="003D1FDA">
        <w:t>,</w:t>
      </w:r>
      <w:r>
        <w:t xml:space="preserve"> howeve</w:t>
      </w:r>
      <w:r w:rsidR="003D1FDA">
        <w:t>r, also</w:t>
      </w:r>
      <w:r>
        <w:t xml:space="preserve"> stress that s</w:t>
      </w:r>
      <w:r w:rsidR="00FD4CF4">
        <w:t xml:space="preserve">peed of implementation </w:t>
      </w:r>
      <w:r>
        <w:t>will also be heavily</w:t>
      </w:r>
      <w:r w:rsidR="00FD4CF4">
        <w:t xml:space="preserve"> dependent on </w:t>
      </w:r>
      <w:r w:rsidR="00D33514">
        <w:t xml:space="preserve">the wider policy environment and nature of the market. Existing assets have, to date, been provided little incentive to explore greater flexibility services or smart systems, as </w:t>
      </w:r>
      <w:r w:rsidR="00601B2D">
        <w:t>the price signals</w:t>
      </w:r>
      <w:r w:rsidR="00011563">
        <w:t xml:space="preserve"> </w:t>
      </w:r>
      <w:r w:rsidR="00950B71">
        <w:t xml:space="preserve">and </w:t>
      </w:r>
      <w:r w:rsidR="00011563">
        <w:t xml:space="preserve">flexibility </w:t>
      </w:r>
      <w:r w:rsidR="00950B71">
        <w:t xml:space="preserve">markets </w:t>
      </w:r>
      <w:r w:rsidR="00011563">
        <w:t xml:space="preserve">have been slow </w:t>
      </w:r>
      <w:r w:rsidR="007062DF">
        <w:t>t</w:t>
      </w:r>
      <w:r w:rsidR="00011563">
        <w:t xml:space="preserve">o develop and are not yet well standardised across the industry. </w:t>
      </w:r>
      <w:r w:rsidR="00DD6483">
        <w:t xml:space="preserve"> </w:t>
      </w:r>
      <w:r w:rsidR="00011563">
        <w:t>While regulation will help to ensure greater adoption, failure to</w:t>
      </w:r>
      <w:r w:rsidR="00E36BE6">
        <w:t xml:space="preserve"> match these </w:t>
      </w:r>
      <w:r w:rsidR="00011563">
        <w:t xml:space="preserve">with </w:t>
      </w:r>
      <w:r w:rsidR="00A522A2">
        <w:t>clear price signals could</w:t>
      </w:r>
      <w:r w:rsidR="0076164B">
        <w:t xml:space="preserve"> result in a contraction of the sector</w:t>
      </w:r>
      <w:r w:rsidR="00B4422A">
        <w:t xml:space="preserve"> and</w:t>
      </w:r>
      <w:r w:rsidR="0076164B">
        <w:t xml:space="preserve"> slow innovation</w:t>
      </w:r>
      <w:r w:rsidR="00950B71">
        <w:t xml:space="preserve"> due to the addition of costly regulation without </w:t>
      </w:r>
      <w:r w:rsidR="00CA32CF">
        <w:t>a</w:t>
      </w:r>
      <w:r w:rsidR="00950B71">
        <w:t xml:space="preserve"> clear market reward. </w:t>
      </w:r>
    </w:p>
    <w:p w14:paraId="43BCD435" w14:textId="77777777" w:rsidR="00D72510" w:rsidRPr="00ED3B53" w:rsidRDefault="00D72510" w:rsidP="00D72510">
      <w:pPr>
        <w:rPr>
          <w:b/>
          <w:bCs/>
        </w:rPr>
      </w:pPr>
      <w:r w:rsidRPr="00ED3B53">
        <w:rPr>
          <w:b/>
          <w:bCs/>
        </w:rPr>
        <w:t xml:space="preserve">2. Do you agree with our plan to proceed </w:t>
      </w:r>
      <w:proofErr w:type="gramStart"/>
      <w:r w:rsidRPr="00ED3B53">
        <w:rPr>
          <w:b/>
          <w:bCs/>
        </w:rPr>
        <w:t>on the basis of</w:t>
      </w:r>
      <w:proofErr w:type="gramEnd"/>
      <w:r w:rsidRPr="00ED3B53">
        <w:rPr>
          <w:b/>
          <w:bCs/>
        </w:rPr>
        <w:t xml:space="preserve"> phasing ESA device regulations as set out above whilst committing to keep this approach under review?</w:t>
      </w:r>
    </w:p>
    <w:p w14:paraId="42E39287" w14:textId="74B5B918" w:rsidR="002B4138" w:rsidRDefault="00D72510" w:rsidP="007062AE">
      <w:r>
        <w:t xml:space="preserve">We agree with a phased approach and stress </w:t>
      </w:r>
      <w:r w:rsidR="00A744E9">
        <w:t>the importance of ensuring the approach is kept under regular review</w:t>
      </w:r>
      <w:r w:rsidR="00BD02B5">
        <w:t xml:space="preserve"> via </w:t>
      </w:r>
      <w:r w:rsidR="00A744E9">
        <w:t xml:space="preserve">industry consultation. </w:t>
      </w:r>
      <w:r w:rsidR="002D1A26">
        <w:t>Significantly</w:t>
      </w:r>
      <w:r w:rsidR="00821C50">
        <w:t xml:space="preserve">, the approach should be responsive to how quickly the </w:t>
      </w:r>
      <w:r w:rsidR="001226BB">
        <w:t xml:space="preserve">markets for flexibility are able to evolve. If the </w:t>
      </w:r>
      <w:r w:rsidR="002F3152">
        <w:t xml:space="preserve">price signals are not yet there </w:t>
      </w:r>
      <w:r w:rsidR="00BD02B5">
        <w:t>to reward the implementation of such standards</w:t>
      </w:r>
      <w:r w:rsidR="002D1A26">
        <w:t xml:space="preserve">, then the ESA requirements should be </w:t>
      </w:r>
      <w:r w:rsidR="00D34307">
        <w:t xml:space="preserve">slowed, to avoid </w:t>
      </w:r>
      <w:r w:rsidR="00925045">
        <w:t>unnecessary</w:t>
      </w:r>
      <w:r w:rsidR="00D34307">
        <w:t xml:space="preserve"> cost being place on the sector, </w:t>
      </w:r>
      <w:r w:rsidR="00925045">
        <w:t>and ultimately</w:t>
      </w:r>
      <w:r w:rsidR="00D34307">
        <w:t xml:space="preserve"> </w:t>
      </w:r>
      <w:r w:rsidR="009F4806">
        <w:t xml:space="preserve">the </w:t>
      </w:r>
      <w:r w:rsidR="00D34307">
        <w:t xml:space="preserve">consumer, before the benefits can be realised. </w:t>
      </w:r>
    </w:p>
    <w:p w14:paraId="0ACADFC7" w14:textId="48BCA4F8" w:rsidR="00D34307" w:rsidRDefault="00D34307" w:rsidP="007062AE">
      <w:r>
        <w:lastRenderedPageBreak/>
        <w:t xml:space="preserve">For </w:t>
      </w:r>
      <w:r w:rsidR="00452575">
        <w:t xml:space="preserve">example, Smart Tariffs are still evolving in the market, with some </w:t>
      </w:r>
      <w:r w:rsidR="00A40867">
        <w:t>notable</w:t>
      </w:r>
      <w:r w:rsidR="00452575">
        <w:t xml:space="preserve"> market leaders. These </w:t>
      </w:r>
      <w:r w:rsidR="00A40867">
        <w:t>tariffs,</w:t>
      </w:r>
      <w:r w:rsidR="00452575">
        <w:t xml:space="preserve"> </w:t>
      </w:r>
      <w:r w:rsidR="00A40867">
        <w:t>however, are</w:t>
      </w:r>
      <w:r w:rsidR="001A06C8">
        <w:t xml:space="preserve"> </w:t>
      </w:r>
      <w:r w:rsidR="00452575">
        <w:t xml:space="preserve">largely </w:t>
      </w:r>
      <w:r w:rsidR="001A06C8">
        <w:t xml:space="preserve">associated with EV </w:t>
      </w:r>
      <w:r w:rsidR="00A40867">
        <w:t>charging</w:t>
      </w:r>
      <w:r w:rsidR="001A06C8">
        <w:t xml:space="preserve">, rather </w:t>
      </w:r>
      <w:proofErr w:type="spellStart"/>
      <w:proofErr w:type="gramStart"/>
      <w:r w:rsidR="001A06C8">
        <w:t>the</w:t>
      </w:r>
      <w:r w:rsidR="00916D60">
        <w:t>n</w:t>
      </w:r>
      <w:proofErr w:type="spellEnd"/>
      <w:proofErr w:type="gramEnd"/>
      <w:r w:rsidR="001A06C8">
        <w:t xml:space="preserve"> wider </w:t>
      </w:r>
      <w:r w:rsidR="00925045">
        <w:t>ESA’s</w:t>
      </w:r>
      <w:r w:rsidR="00A40867">
        <w:t xml:space="preserve"> such as heating technologies or storage technologies.  Until price signals are available for these technologies it will be difficult to see these standards expediated. </w:t>
      </w:r>
    </w:p>
    <w:p w14:paraId="720FB6E4" w14:textId="631E3D93" w:rsidR="00C46947" w:rsidRDefault="00A40867" w:rsidP="007062AE">
      <w:r>
        <w:t xml:space="preserve">Given this, the review process may need to consider </w:t>
      </w:r>
      <w:r w:rsidR="00EA72CD">
        <w:t>separate</w:t>
      </w:r>
      <w:r w:rsidR="007664B2">
        <w:t xml:space="preserve"> </w:t>
      </w:r>
      <w:r w:rsidR="00EA72CD">
        <w:t>timelines</w:t>
      </w:r>
      <w:r w:rsidR="007664B2">
        <w:t xml:space="preserve"> for different technology groups. Thermal storage technologies are likely to require different price signals to </w:t>
      </w:r>
      <w:r w:rsidR="00EA72CD">
        <w:t xml:space="preserve">low carbon heat generation </w:t>
      </w:r>
      <w:r w:rsidR="00494449">
        <w:t>technologies and</w:t>
      </w:r>
      <w:r w:rsidR="00EA72CD">
        <w:t xml:space="preserve"> may need a different lead time </w:t>
      </w:r>
      <w:r w:rsidR="00C46947">
        <w:t xml:space="preserve">to see ESA standards introduced. Individual technology timelines will need to be considered as part of the </w:t>
      </w:r>
      <w:r w:rsidR="0046015B">
        <w:t xml:space="preserve">review process. </w:t>
      </w:r>
    </w:p>
    <w:p w14:paraId="074631FA" w14:textId="77777777" w:rsidR="00FA27AB" w:rsidRPr="00ED3B53" w:rsidRDefault="00FA27AB" w:rsidP="00FA27AB">
      <w:pPr>
        <w:rPr>
          <w:b/>
          <w:bCs/>
        </w:rPr>
      </w:pPr>
      <w:r w:rsidRPr="00ED3B53">
        <w:rPr>
          <w:b/>
          <w:bCs/>
        </w:rPr>
        <w:t>3. Do you have a view on when the smart mandate for heating appliances should be implemented? Please provide evidence to support your answer.</w:t>
      </w:r>
    </w:p>
    <w:p w14:paraId="6D046C8D" w14:textId="51471494" w:rsidR="00C46947" w:rsidRPr="00415460" w:rsidRDefault="00FA27AB" w:rsidP="007062AE">
      <w:r w:rsidRPr="00415460">
        <w:t xml:space="preserve">Introduction of the smart mandate should align with wider market developments. </w:t>
      </w:r>
      <w:r w:rsidR="00F00DA9">
        <w:t>This</w:t>
      </w:r>
      <w:r w:rsidR="00415460" w:rsidRPr="00415460">
        <w:t xml:space="preserve"> includes:</w:t>
      </w:r>
    </w:p>
    <w:p w14:paraId="5AA5708F" w14:textId="48F54F58" w:rsidR="00415460" w:rsidRDefault="00415460" w:rsidP="004734F8">
      <w:pPr>
        <w:pStyle w:val="ListParagraph"/>
        <w:numPr>
          <w:ilvl w:val="0"/>
          <w:numId w:val="2"/>
        </w:numPr>
      </w:pPr>
      <w:r w:rsidRPr="00415460">
        <w:t xml:space="preserve">Implementation of The Review of Electricity Market Review, and any </w:t>
      </w:r>
      <w:r>
        <w:t xml:space="preserve">finalised proposals for the development of </w:t>
      </w:r>
      <w:r w:rsidR="00441A11">
        <w:t xml:space="preserve">flexibility markets. </w:t>
      </w:r>
    </w:p>
    <w:p w14:paraId="247D7674" w14:textId="51FA3ABD" w:rsidR="00FF70FB" w:rsidRDefault="00876CAD" w:rsidP="00FF70FB">
      <w:pPr>
        <w:pStyle w:val="ListParagraph"/>
        <w:numPr>
          <w:ilvl w:val="0"/>
          <w:numId w:val="2"/>
        </w:numPr>
      </w:pPr>
      <w:r>
        <w:t xml:space="preserve">Continuing implementation of the Smart </w:t>
      </w:r>
      <w:r w:rsidR="00FF70FB">
        <w:t>Systems and Flexibility Plan</w:t>
      </w:r>
    </w:p>
    <w:p w14:paraId="44266AEF" w14:textId="3D96DBA5" w:rsidR="00441A11" w:rsidRDefault="00441A11" w:rsidP="004734F8">
      <w:pPr>
        <w:pStyle w:val="ListParagraph"/>
        <w:numPr>
          <w:ilvl w:val="0"/>
          <w:numId w:val="2"/>
        </w:numPr>
      </w:pPr>
      <w:r>
        <w:t xml:space="preserve">Roll out dates and critical mass for the availability of SMETS 2 smart meters in people’s homes. </w:t>
      </w:r>
    </w:p>
    <w:p w14:paraId="46A69E5B" w14:textId="35CCAD7C" w:rsidR="00441A11" w:rsidRDefault="001F4007" w:rsidP="004734F8">
      <w:pPr>
        <w:pStyle w:val="ListParagraph"/>
        <w:numPr>
          <w:ilvl w:val="0"/>
          <w:numId w:val="2"/>
        </w:numPr>
      </w:pPr>
      <w:r>
        <w:t>Implementation</w:t>
      </w:r>
      <w:r w:rsidR="00441A11">
        <w:t xml:space="preserve"> of more generous </w:t>
      </w:r>
      <w:r>
        <w:t>government</w:t>
      </w:r>
      <w:r w:rsidR="00441A11">
        <w:t xml:space="preserve"> support </w:t>
      </w:r>
      <w:r>
        <w:t>mechanisms</w:t>
      </w:r>
      <w:r w:rsidR="00441A11">
        <w:t xml:space="preserve"> to support the deployment of low carbon heating systems, thermal storage and </w:t>
      </w:r>
      <w:r w:rsidR="00F00DA9">
        <w:t xml:space="preserve">battery </w:t>
      </w:r>
      <w:r w:rsidR="00441A11">
        <w:t xml:space="preserve">storage. </w:t>
      </w:r>
      <w:r w:rsidR="003943D0">
        <w:t xml:space="preserve">Such a </w:t>
      </w:r>
      <w:r w:rsidR="00F00DA9">
        <w:t>support mechanism</w:t>
      </w:r>
      <w:r w:rsidR="00441A11">
        <w:t xml:space="preserve"> will need to consider the additional costs </w:t>
      </w:r>
      <w:r w:rsidR="003943D0">
        <w:t>t</w:t>
      </w:r>
      <w:r w:rsidR="00441A11">
        <w:t xml:space="preserve">hat ESA regulations may </w:t>
      </w:r>
      <w:r>
        <w:t xml:space="preserve">add to the installation of such systems. </w:t>
      </w:r>
    </w:p>
    <w:p w14:paraId="362B07E8" w14:textId="78B5DD88" w:rsidR="001F4007" w:rsidRDefault="001F4007" w:rsidP="004734F8">
      <w:pPr>
        <w:pStyle w:val="ListParagraph"/>
        <w:numPr>
          <w:ilvl w:val="0"/>
          <w:numId w:val="2"/>
        </w:numPr>
      </w:pPr>
      <w:r>
        <w:t xml:space="preserve">Wider </w:t>
      </w:r>
      <w:r w:rsidR="008D080D">
        <w:t xml:space="preserve">evolution of flexibility market products and </w:t>
      </w:r>
      <w:r w:rsidR="00482043">
        <w:t>price signal in the market to support the benefits of ESA</w:t>
      </w:r>
      <w:r w:rsidR="004734F8">
        <w:t xml:space="preserve">, </w:t>
      </w:r>
      <w:r w:rsidR="0082442E">
        <w:t>for</w:t>
      </w:r>
      <w:r w:rsidR="004734F8">
        <w:t xml:space="preserve"> low carbon heating systems and storage. </w:t>
      </w:r>
    </w:p>
    <w:p w14:paraId="26DC6064" w14:textId="6AA07E2C" w:rsidR="004734F8" w:rsidRDefault="004734F8" w:rsidP="004734F8">
      <w:r>
        <w:t xml:space="preserve">Failure to align </w:t>
      </w:r>
      <w:r w:rsidR="003943D0">
        <w:t>th</w:t>
      </w:r>
      <w:r w:rsidR="0082442E">
        <w:t>ese</w:t>
      </w:r>
      <w:r w:rsidR="003943D0">
        <w:t xml:space="preserve"> market development</w:t>
      </w:r>
      <w:r w:rsidR="0082442E">
        <w:t>s</w:t>
      </w:r>
      <w:r>
        <w:t xml:space="preserve"> with a smart mandate on heating appliances could see additional </w:t>
      </w:r>
      <w:r w:rsidR="00F00DA9">
        <w:t>requirements place</w:t>
      </w:r>
      <w:r w:rsidR="0082442E">
        <w:t>d</w:t>
      </w:r>
      <w:r w:rsidR="00F00DA9">
        <w:t xml:space="preserve"> </w:t>
      </w:r>
      <w:r w:rsidR="003943D0">
        <w:t xml:space="preserve">on systems before the market is ready for them, ultimately slowing deployment and adding cost. It is important that such requirements </w:t>
      </w:r>
      <w:r w:rsidR="00381D1B">
        <w:t>are introduced</w:t>
      </w:r>
      <w:r w:rsidR="003943D0">
        <w:t xml:space="preserve"> </w:t>
      </w:r>
      <w:r w:rsidR="00716D1D">
        <w:t xml:space="preserve">aligned with a whole system approach. </w:t>
      </w:r>
    </w:p>
    <w:p w14:paraId="43B6981B" w14:textId="77777777" w:rsidR="00037F84" w:rsidRPr="00ED3B53" w:rsidRDefault="00037F84" w:rsidP="00037F84">
      <w:pPr>
        <w:spacing w:after="0" w:line="240" w:lineRule="auto"/>
        <w:rPr>
          <w:b/>
          <w:bCs/>
        </w:rPr>
      </w:pPr>
      <w:r w:rsidRPr="00ED3B53">
        <w:rPr>
          <w:b/>
          <w:bCs/>
        </w:rPr>
        <w:t xml:space="preserve">4. Would you support the introduction of a metering accuracy requirement to the </w:t>
      </w:r>
    </w:p>
    <w:p w14:paraId="4EF62A3C" w14:textId="77777777" w:rsidR="00037F84" w:rsidRPr="00ED3B53" w:rsidRDefault="00037F84" w:rsidP="00037F84">
      <w:pPr>
        <w:spacing w:after="0" w:line="240" w:lineRule="auto"/>
        <w:rPr>
          <w:b/>
          <w:bCs/>
        </w:rPr>
      </w:pPr>
      <w:r w:rsidRPr="00ED3B53">
        <w:rPr>
          <w:b/>
          <w:bCs/>
        </w:rPr>
        <w:t xml:space="preserve">effect that all ESAs should have a means to measure their import/export </w:t>
      </w:r>
    </w:p>
    <w:p w14:paraId="54BF2540" w14:textId="77777777" w:rsidR="00037F84" w:rsidRPr="00ED3B53" w:rsidRDefault="00037F84" w:rsidP="00037F84">
      <w:pPr>
        <w:spacing w:after="0" w:line="240" w:lineRule="auto"/>
        <w:rPr>
          <w:b/>
          <w:bCs/>
        </w:rPr>
      </w:pPr>
      <w:r w:rsidRPr="00ED3B53">
        <w:rPr>
          <w:b/>
          <w:bCs/>
        </w:rPr>
        <w:t>consumption to up to or better than 2% nominal accuracy?</w:t>
      </w:r>
    </w:p>
    <w:p w14:paraId="08D33283" w14:textId="6C0CF04A" w:rsidR="00441A11" w:rsidRDefault="00037F84" w:rsidP="007062AE">
      <w:r w:rsidRPr="00037F84">
        <w:rPr>
          <w:highlight w:val="yellow"/>
        </w:rPr>
        <w:t>Member feedback welcome</w:t>
      </w:r>
    </w:p>
    <w:p w14:paraId="63B90D35" w14:textId="7500CFDA" w:rsidR="007062AE" w:rsidRPr="00ED3B53" w:rsidRDefault="007062AE" w:rsidP="00AD5734">
      <w:pPr>
        <w:spacing w:after="0" w:line="240" w:lineRule="auto"/>
        <w:rPr>
          <w:b/>
          <w:bCs/>
        </w:rPr>
      </w:pPr>
      <w:r w:rsidRPr="00ED3B53">
        <w:rPr>
          <w:b/>
          <w:bCs/>
        </w:rPr>
        <w:t xml:space="preserve">8. Do you have a view on whether standalone domestic battery energy storage systems (BESS) should be included in future legislation </w:t>
      </w:r>
      <w:proofErr w:type="gramStart"/>
      <w:r w:rsidRPr="00ED3B53">
        <w:rPr>
          <w:b/>
          <w:bCs/>
        </w:rPr>
        <w:t>in order to</w:t>
      </w:r>
      <w:proofErr w:type="gramEnd"/>
      <w:r w:rsidRPr="00ED3B53">
        <w:rPr>
          <w:b/>
          <w:bCs/>
        </w:rPr>
        <w:t xml:space="preserve"> be subject to the smart mandate requirements associated with the first phase regulations? </w:t>
      </w:r>
    </w:p>
    <w:p w14:paraId="4D3C87C4" w14:textId="77777777" w:rsidR="007062AE" w:rsidRPr="00ED3B53" w:rsidRDefault="007062AE" w:rsidP="00AD5734">
      <w:pPr>
        <w:spacing w:after="0" w:line="240" w:lineRule="auto"/>
        <w:rPr>
          <w:b/>
          <w:bCs/>
        </w:rPr>
      </w:pPr>
      <w:r w:rsidRPr="00ED3B53">
        <w:rPr>
          <w:b/>
          <w:bCs/>
        </w:rPr>
        <w:t>Please provide evidence to support your answer.</w:t>
      </w:r>
    </w:p>
    <w:p w14:paraId="70F48D20" w14:textId="77777777" w:rsidR="00047A7C" w:rsidRDefault="00047A7C" w:rsidP="007062AE"/>
    <w:p w14:paraId="532B29A5" w14:textId="715E99BB" w:rsidR="00B34F58" w:rsidRDefault="007062AE" w:rsidP="007062AE">
      <w:r>
        <w:lastRenderedPageBreak/>
        <w:t>In general,</w:t>
      </w:r>
      <w:r w:rsidR="00896304">
        <w:t xml:space="preserve"> given existing regulation already in place for BESS systems,</w:t>
      </w:r>
      <w:r>
        <w:t xml:space="preserve"> the REA does not think </w:t>
      </w:r>
      <w:r w:rsidR="00B34F58">
        <w:t xml:space="preserve">it would be appropriate to include such systems in </w:t>
      </w:r>
      <w:r w:rsidR="008403BD">
        <w:t>the first phase of regulations</w:t>
      </w:r>
      <w:r w:rsidR="00322413">
        <w:t xml:space="preserve"> where proposed requirements are already largely met. </w:t>
      </w:r>
    </w:p>
    <w:p w14:paraId="58379E6D" w14:textId="6AC786D7" w:rsidR="00442D9C" w:rsidRDefault="00322413" w:rsidP="009522A2">
      <w:r>
        <w:t xml:space="preserve">It is noted that </w:t>
      </w:r>
      <w:r w:rsidR="002B2053">
        <w:t xml:space="preserve">BESS devices already </w:t>
      </w:r>
      <w:r w:rsidR="00381D1B">
        <w:t>must</w:t>
      </w:r>
      <w:r w:rsidR="002B2053">
        <w:t xml:space="preserve"> comply with</w:t>
      </w:r>
      <w:r w:rsidR="009522A2">
        <w:t xml:space="preserve"> </w:t>
      </w:r>
      <w:r w:rsidR="002B2053">
        <w:t>ETSI</w:t>
      </w:r>
      <w:r w:rsidR="003F6961">
        <w:t xml:space="preserve"> EN</w:t>
      </w:r>
      <w:r w:rsidR="002B2053">
        <w:t xml:space="preserve"> 303 645</w:t>
      </w:r>
      <w:r w:rsidR="007D29D5">
        <w:t xml:space="preserve"> </w:t>
      </w:r>
      <w:r w:rsidR="009522A2">
        <w:t xml:space="preserve">which </w:t>
      </w:r>
      <w:proofErr w:type="spellStart"/>
      <w:r w:rsidR="009522A2">
        <w:t>includ</w:t>
      </w:r>
      <w:proofErr w:type="spellEnd"/>
      <w:r w:rsidR="009522A2">
        <w:t xml:space="preserve"> </w:t>
      </w:r>
      <w:r w:rsidR="00413F6B">
        <w:t xml:space="preserve">following requirements of </w:t>
      </w:r>
      <w:r w:rsidR="007D29D5">
        <w:t>G98</w:t>
      </w:r>
      <w:r w:rsidR="004672F0">
        <w:t>, G99 and G100</w:t>
      </w:r>
      <w:r w:rsidR="00413F6B">
        <w:t xml:space="preserve"> </w:t>
      </w:r>
      <w:proofErr w:type="gramStart"/>
      <w:r w:rsidR="00AC46AC">
        <w:t>in order</w:t>
      </w:r>
      <w:r w:rsidR="00413F6B">
        <w:t xml:space="preserve"> to</w:t>
      </w:r>
      <w:proofErr w:type="gramEnd"/>
      <w:r w:rsidR="00413F6B">
        <w:t xml:space="preserve"> protect the network</w:t>
      </w:r>
      <w:r w:rsidR="00442D9C">
        <w:t xml:space="preserve">, which is enforced and monitored via the ENA and the Type Test Register. Additional regulations are also applied via MCS and PAS 63100. </w:t>
      </w:r>
      <w:r w:rsidR="005B0B2E">
        <w:t xml:space="preserve">These requirements already place significant costs on manufacturers, while also </w:t>
      </w:r>
      <w:r w:rsidR="00442D9C">
        <w:t>already ensur</w:t>
      </w:r>
      <w:r w:rsidR="00B66B0D">
        <w:t xml:space="preserve">ing a </w:t>
      </w:r>
      <w:r w:rsidR="000F0844">
        <w:t xml:space="preserve">level </w:t>
      </w:r>
      <w:r w:rsidR="00B66B0D">
        <w:t xml:space="preserve">of </w:t>
      </w:r>
      <w:r w:rsidR="000F0844">
        <w:t>smart service</w:t>
      </w:r>
      <w:r w:rsidR="005B0B2E">
        <w:t>.</w:t>
      </w:r>
    </w:p>
    <w:p w14:paraId="64E6D297" w14:textId="2592C3A8" w:rsidR="00975A8A" w:rsidRDefault="00442D9C" w:rsidP="009522A2">
      <w:r>
        <w:t xml:space="preserve">Given the costs </w:t>
      </w:r>
      <w:r w:rsidR="008A0381">
        <w:t xml:space="preserve">associated with such existing regulation, it </w:t>
      </w:r>
      <w:r w:rsidR="00047A7C">
        <w:t xml:space="preserve">could be damaging to add further costs in the form of </w:t>
      </w:r>
      <w:r w:rsidR="000F0844">
        <w:t xml:space="preserve">ESA regulations at this time, especially before </w:t>
      </w:r>
      <w:r w:rsidR="001E7346">
        <w:t xml:space="preserve">Time of Use tariffs and smart meters become more established across the whole UK market. </w:t>
      </w:r>
      <w:r w:rsidR="00AB33C0">
        <w:t xml:space="preserve">This is something </w:t>
      </w:r>
      <w:r w:rsidR="00930E8B">
        <w:t>that</w:t>
      </w:r>
      <w:r w:rsidR="00AB33C0">
        <w:t xml:space="preserve"> can be kept under review, and </w:t>
      </w:r>
      <w:r w:rsidR="00930E8B">
        <w:t>potentially brought in via</w:t>
      </w:r>
      <w:r w:rsidR="00AB33C0">
        <w:t xml:space="preserve"> later stages once flexibility markets are more established. </w:t>
      </w:r>
    </w:p>
    <w:p w14:paraId="40F1EA01" w14:textId="7826D11A" w:rsidR="007062AE" w:rsidRDefault="007062AE" w:rsidP="007062AE">
      <w:pPr>
        <w:rPr>
          <w:b/>
          <w:bCs/>
        </w:rPr>
      </w:pPr>
      <w:r w:rsidRPr="00ED3B53">
        <w:rPr>
          <w:b/>
          <w:bCs/>
        </w:rPr>
        <w:t>9. Do you have any data on what proportion of installed domestic battery energy storage systems (BESS) have smart functionality? Smart functionality is defined as being communications-enabled and able to respond to price and/or other signals by shifting and/or modulating their electricity consumptio</w:t>
      </w:r>
      <w:r w:rsidR="005868B6">
        <w:rPr>
          <w:b/>
          <w:bCs/>
        </w:rPr>
        <w:t>n.</w:t>
      </w:r>
    </w:p>
    <w:p w14:paraId="0498405C" w14:textId="2C65D3FD" w:rsidR="003A3A41" w:rsidRDefault="00AB33C0" w:rsidP="007062AE">
      <w:r>
        <w:t xml:space="preserve">With the market constantly evolving, we are aware that </w:t>
      </w:r>
      <w:r w:rsidR="00356B65">
        <w:t>BESS system</w:t>
      </w:r>
      <w:r w:rsidR="000D2D4C">
        <w:t xml:space="preserve"> developers </w:t>
      </w:r>
      <w:r w:rsidR="00356B65">
        <w:t xml:space="preserve">are </w:t>
      </w:r>
      <w:r w:rsidR="00C12F3C">
        <w:t xml:space="preserve">also continually looking at additional services </w:t>
      </w:r>
      <w:r w:rsidR="000974CD">
        <w:t xml:space="preserve">and </w:t>
      </w:r>
      <w:r w:rsidR="00C12F3C">
        <w:t xml:space="preserve">benefits to </w:t>
      </w:r>
      <w:r w:rsidR="000974CD">
        <w:t xml:space="preserve">be </w:t>
      </w:r>
      <w:r w:rsidR="00C12F3C">
        <w:t>provide</w:t>
      </w:r>
      <w:r w:rsidR="000974CD">
        <w:t>d</w:t>
      </w:r>
      <w:r w:rsidR="00C12F3C">
        <w:t xml:space="preserve"> to the consumer</w:t>
      </w:r>
      <w:r w:rsidR="006936B7">
        <w:t xml:space="preserve">. </w:t>
      </w:r>
      <w:r w:rsidR="00F503CA">
        <w:t>To</w:t>
      </w:r>
      <w:r w:rsidR="006020D5">
        <w:t xml:space="preserve"> respond to th</w:t>
      </w:r>
      <w:r w:rsidR="00C12F3C">
        <w:t xml:space="preserve">ese market dynamics, </w:t>
      </w:r>
      <w:r w:rsidR="006020D5">
        <w:t>most do already have a level of smart functionality</w:t>
      </w:r>
      <w:r w:rsidR="006936B7">
        <w:t xml:space="preserve"> and responsiveness to price signals</w:t>
      </w:r>
      <w:r w:rsidR="00243F7F">
        <w:t xml:space="preserve">, </w:t>
      </w:r>
      <w:r w:rsidR="00F503CA">
        <w:t>enabling</w:t>
      </w:r>
      <w:r w:rsidR="006936B7">
        <w:t xml:space="preserve"> consumers to take advantage of</w:t>
      </w:r>
      <w:r w:rsidR="000974CD">
        <w:t xml:space="preserve"> </w:t>
      </w:r>
      <w:r w:rsidR="0001377C">
        <w:t>the</w:t>
      </w:r>
      <w:r w:rsidR="000974CD">
        <w:t xml:space="preserve"> limited price signals currently in the mark</w:t>
      </w:r>
      <w:r w:rsidR="0001377C">
        <w:t>et</w:t>
      </w:r>
      <w:r w:rsidR="00BC3259">
        <w:t xml:space="preserve">. As such, we believe there is a strong indication that </w:t>
      </w:r>
      <w:r w:rsidR="004E06A5">
        <w:t xml:space="preserve">that </w:t>
      </w:r>
      <w:r w:rsidR="00592A32">
        <w:t>a significant proportion of BESS have smart fun</w:t>
      </w:r>
      <w:r w:rsidR="0082399C">
        <w:t xml:space="preserve">ctionality and/or </w:t>
      </w:r>
      <w:r w:rsidR="003A3A41">
        <w:t>meet the necessary standards</w:t>
      </w:r>
      <w:r w:rsidR="00BD01A3">
        <w:t xml:space="preserve"> for it to be added</w:t>
      </w:r>
      <w:r w:rsidR="00467082">
        <w:t xml:space="preserve">. </w:t>
      </w:r>
    </w:p>
    <w:p w14:paraId="1BAB0760" w14:textId="5620BB7A" w:rsidR="007062AE" w:rsidRPr="00BD2101" w:rsidRDefault="007062AE" w:rsidP="007062AE">
      <w:pPr>
        <w:rPr>
          <w:rFonts w:asciiTheme="majorHAnsi" w:hAnsiTheme="majorHAnsi"/>
        </w:rPr>
      </w:pPr>
      <w:r w:rsidRPr="00BD2101">
        <w:rPr>
          <w:rFonts w:asciiTheme="majorHAnsi" w:hAnsiTheme="majorHAnsi" w:cs="Arial"/>
          <w:color w:val="222222"/>
          <w:shd w:val="clear" w:color="auto" w:fill="FFFFFF"/>
        </w:rPr>
        <w:t xml:space="preserve">Once smart meters and </w:t>
      </w:r>
      <w:proofErr w:type="spellStart"/>
      <w:r w:rsidRPr="00BD2101">
        <w:rPr>
          <w:rFonts w:asciiTheme="majorHAnsi" w:hAnsiTheme="majorHAnsi" w:cs="Arial"/>
          <w:color w:val="222222"/>
          <w:shd w:val="clear" w:color="auto" w:fill="FFFFFF"/>
        </w:rPr>
        <w:t>ToU</w:t>
      </w:r>
      <w:proofErr w:type="spellEnd"/>
      <w:r w:rsidRPr="00BD2101">
        <w:rPr>
          <w:rFonts w:asciiTheme="majorHAnsi" w:hAnsiTheme="majorHAnsi" w:cs="Arial"/>
          <w:color w:val="222222"/>
          <w:shd w:val="clear" w:color="auto" w:fill="FFFFFF"/>
        </w:rPr>
        <w:t xml:space="preserve"> tariffs</w:t>
      </w:r>
      <w:r w:rsidR="00F503CA">
        <w:rPr>
          <w:rFonts w:asciiTheme="majorHAnsi" w:hAnsiTheme="majorHAnsi" w:cs="Arial"/>
          <w:color w:val="222222"/>
          <w:shd w:val="clear" w:color="auto" w:fill="FFFFFF"/>
        </w:rPr>
        <w:t xml:space="preserve"> have deep market </w:t>
      </w:r>
      <w:r w:rsidR="003F6961">
        <w:rPr>
          <w:rFonts w:asciiTheme="majorHAnsi" w:hAnsiTheme="majorHAnsi" w:cs="Arial"/>
          <w:color w:val="222222"/>
          <w:shd w:val="clear" w:color="auto" w:fill="FFFFFF"/>
        </w:rPr>
        <w:t>presence</w:t>
      </w:r>
      <w:r w:rsidR="00467082" w:rsidRPr="00BD2101">
        <w:rPr>
          <w:rFonts w:asciiTheme="majorHAnsi" w:hAnsiTheme="majorHAnsi" w:cs="Arial"/>
          <w:color w:val="222222"/>
          <w:shd w:val="clear" w:color="auto" w:fill="FFFFFF"/>
        </w:rPr>
        <w:t>,</w:t>
      </w:r>
      <w:r w:rsidRPr="00BD2101">
        <w:rPr>
          <w:rFonts w:asciiTheme="majorHAnsi" w:hAnsiTheme="majorHAnsi" w:cs="Arial"/>
          <w:color w:val="222222"/>
          <w:shd w:val="clear" w:color="auto" w:fill="FFFFFF"/>
        </w:rPr>
        <w:t xml:space="preserve"> it may become beneficial to be able to control clusters of batteries.  </w:t>
      </w:r>
      <w:r w:rsidR="00A62BE1">
        <w:rPr>
          <w:rFonts w:asciiTheme="majorHAnsi" w:hAnsiTheme="majorHAnsi" w:cs="Arial"/>
          <w:color w:val="222222"/>
          <w:shd w:val="clear" w:color="auto" w:fill="FFFFFF"/>
        </w:rPr>
        <w:t xml:space="preserve">It may </w:t>
      </w:r>
      <w:r w:rsidR="003F6961">
        <w:rPr>
          <w:rFonts w:asciiTheme="majorHAnsi" w:hAnsiTheme="majorHAnsi" w:cs="Arial"/>
          <w:color w:val="222222"/>
          <w:shd w:val="clear" w:color="auto" w:fill="FFFFFF"/>
        </w:rPr>
        <w:t>then</w:t>
      </w:r>
      <w:r w:rsidR="00A62BE1">
        <w:rPr>
          <w:rFonts w:asciiTheme="majorHAnsi" w:hAnsiTheme="majorHAnsi" w:cs="Arial"/>
          <w:color w:val="222222"/>
          <w:shd w:val="clear" w:color="auto" w:fill="FFFFFF"/>
        </w:rPr>
        <w:t xml:space="preserve"> be appropriate to consider further evolution of ESA requirements, although we note given the current evolution of the </w:t>
      </w:r>
      <w:r w:rsidR="00B81DE0">
        <w:rPr>
          <w:rFonts w:asciiTheme="majorHAnsi" w:hAnsiTheme="majorHAnsi" w:cs="Arial"/>
          <w:color w:val="222222"/>
          <w:shd w:val="clear" w:color="auto" w:fill="FFFFFF"/>
        </w:rPr>
        <w:t>sector there</w:t>
      </w:r>
      <w:r w:rsidRPr="00BD2101">
        <w:rPr>
          <w:rFonts w:asciiTheme="majorHAnsi" w:hAnsiTheme="majorHAnsi" w:cs="Arial"/>
          <w:color w:val="222222"/>
          <w:shd w:val="clear" w:color="auto" w:fill="FFFFFF"/>
        </w:rPr>
        <w:t xml:space="preserve"> is sufficient evidence that market-driven solutions may lead the way</w:t>
      </w:r>
      <w:r w:rsidR="009B5F9A">
        <w:rPr>
          <w:rFonts w:asciiTheme="majorHAnsi" w:hAnsiTheme="majorHAnsi" w:cs="Arial"/>
          <w:color w:val="222222"/>
          <w:shd w:val="clear" w:color="auto" w:fill="FFFFFF"/>
        </w:rPr>
        <w:t>,</w:t>
      </w:r>
      <w:r w:rsidRPr="00BD2101">
        <w:rPr>
          <w:rFonts w:asciiTheme="majorHAnsi" w:hAnsiTheme="majorHAnsi" w:cs="Arial"/>
          <w:color w:val="222222"/>
          <w:shd w:val="clear" w:color="auto" w:fill="FFFFFF"/>
        </w:rPr>
        <w:t xml:space="preserve"> rather than </w:t>
      </w:r>
      <w:r w:rsidR="00397A08">
        <w:rPr>
          <w:rFonts w:asciiTheme="majorHAnsi" w:hAnsiTheme="majorHAnsi" w:cs="Arial"/>
          <w:color w:val="222222"/>
          <w:shd w:val="clear" w:color="auto" w:fill="FFFFFF"/>
        </w:rPr>
        <w:t>being driven by legislative requirements</w:t>
      </w:r>
      <w:r w:rsidRPr="00BD2101">
        <w:rPr>
          <w:rFonts w:asciiTheme="majorHAnsi" w:hAnsiTheme="majorHAnsi" w:cs="Arial"/>
          <w:color w:val="222222"/>
          <w:shd w:val="clear" w:color="auto" w:fill="FFFFFF"/>
        </w:rPr>
        <w:t>.</w:t>
      </w:r>
    </w:p>
    <w:p w14:paraId="0B46ADA4" w14:textId="77777777" w:rsidR="007062AE" w:rsidRPr="00ED3B53" w:rsidRDefault="007062AE" w:rsidP="007062AE">
      <w:pPr>
        <w:rPr>
          <w:b/>
          <w:bCs/>
        </w:rPr>
      </w:pPr>
      <w:r w:rsidRPr="00ED3B53">
        <w:rPr>
          <w:b/>
          <w:bCs/>
        </w:rPr>
        <w:t>10.Do you have evidence on the extent to which domestic battery energy storage systems (BESS) with smart functionality already meet the minimum requirements set out in Table 1? Please provide evidence to support your answer.</w:t>
      </w:r>
      <w:r>
        <w:rPr>
          <w:b/>
          <w:bCs/>
        </w:rPr>
        <w:t xml:space="preserve"> </w:t>
      </w:r>
    </w:p>
    <w:p w14:paraId="28151496" w14:textId="77777777" w:rsidR="00F033C6" w:rsidRDefault="007062AE" w:rsidP="007062AE">
      <w:pPr>
        <w:spacing w:line="235" w:lineRule="atLeast"/>
      </w:pPr>
      <w:r>
        <w:t>All the</w:t>
      </w:r>
      <w:r w:rsidR="00705554">
        <w:t xml:space="preserve"> </w:t>
      </w:r>
      <w:r w:rsidR="003B7579">
        <w:t>requirements</w:t>
      </w:r>
      <w:r w:rsidR="00705554">
        <w:t xml:space="preserve"> listed in table 1</w:t>
      </w:r>
      <w:r>
        <w:t xml:space="preserve"> </w:t>
      </w:r>
      <w:r w:rsidR="003B7579">
        <w:t xml:space="preserve">are largely already covered by </w:t>
      </w:r>
      <w:r>
        <w:t>ETSI EN 303 645</w:t>
      </w:r>
      <w:r w:rsidR="00F033C6">
        <w:t xml:space="preserve">, which BESS systems need to </w:t>
      </w:r>
      <w:r>
        <w:t>register to confirm compliance</w:t>
      </w:r>
      <w:r w:rsidR="00F033C6">
        <w:t xml:space="preserve"> against</w:t>
      </w:r>
      <w:r>
        <w:t>.</w:t>
      </w:r>
    </w:p>
    <w:p w14:paraId="31803629" w14:textId="4742EA8A" w:rsidR="007062AE" w:rsidRPr="00ED3B53" w:rsidRDefault="00F033C6" w:rsidP="007062AE">
      <w:pPr>
        <w:spacing w:line="235" w:lineRule="atLeast"/>
        <w:rPr>
          <w:rFonts w:ascii="Aptos" w:eastAsia="Times New Roman" w:hAnsi="Aptos" w:cs="Times New Roman"/>
          <w:kern w:val="0"/>
          <w:lang w:eastAsia="en-GB"/>
          <w14:ligatures w14:val="none"/>
        </w:rPr>
      </w:pPr>
      <w:r>
        <w:t xml:space="preserve">We </w:t>
      </w:r>
      <w:r w:rsidR="00C55F9A">
        <w:t xml:space="preserve">do however </w:t>
      </w:r>
      <w:r>
        <w:t>note</w:t>
      </w:r>
      <w:r w:rsidR="00C55F9A">
        <w:t xml:space="preserve">, as compared with table 1, there is </w:t>
      </w:r>
      <w:r w:rsidR="00DF49B3">
        <w:t>currently no</w:t>
      </w:r>
      <w:r w:rsidR="00CA6DEF">
        <w:t xml:space="preserve"> </w:t>
      </w:r>
      <w:r w:rsidR="008871CE">
        <w:t xml:space="preserve">specific requirement </w:t>
      </w:r>
      <w:r w:rsidR="00CA6DEF">
        <w:t xml:space="preserve">for BESS </w:t>
      </w:r>
      <w:r w:rsidR="008871CE">
        <w:t>relating to random delay</w:t>
      </w:r>
      <w:r w:rsidR="00CB5B72">
        <w:t xml:space="preserve">. However, </w:t>
      </w:r>
      <w:r w:rsidR="007062AE">
        <w:t xml:space="preserve">energy storage devices must comply with numerous tests in G98 and G99 </w:t>
      </w:r>
      <w:r w:rsidR="008871CE">
        <w:t>to</w:t>
      </w:r>
      <w:r w:rsidR="007062AE">
        <w:t xml:space="preserve"> be permitted to be </w:t>
      </w:r>
      <w:r w:rsidR="008871CE">
        <w:t>connected to the grid –</w:t>
      </w:r>
      <w:r w:rsidR="007062AE">
        <w:t xml:space="preserve"> </w:t>
      </w:r>
      <w:r w:rsidR="008871CE">
        <w:t xml:space="preserve">this includes required response </w:t>
      </w:r>
      <w:r w:rsidR="007062AE">
        <w:t>behaviour</w:t>
      </w:r>
      <w:r w:rsidR="00CA6DEF">
        <w:t>s</w:t>
      </w:r>
      <w:r w:rsidR="007062AE">
        <w:t xml:space="preserve"> when there is network instability in the </w:t>
      </w:r>
      <w:r w:rsidR="007062AE">
        <w:lastRenderedPageBreak/>
        <w:t>form of high or low voltage, high and low frequency, rate of change of frequency, fault currents, formulaic reduction in power in relation to grid frequency changes ("droop") and many other requirements.</w:t>
      </w:r>
      <w:r w:rsidR="007062AE" w:rsidRPr="00ED3B53">
        <w:rPr>
          <w:rFonts w:ascii="Aptos" w:hAnsi="Aptos"/>
        </w:rPr>
        <w:t xml:space="preserve"> </w:t>
      </w:r>
      <w:r w:rsidR="00743532">
        <w:rPr>
          <w:rFonts w:ascii="Aptos" w:hAnsi="Aptos"/>
        </w:rPr>
        <w:t>As such the</w:t>
      </w:r>
      <w:r w:rsidR="007062AE" w:rsidRPr="00ED3B53">
        <w:rPr>
          <w:rFonts w:ascii="Aptos" w:eastAsia="Times New Roman" w:hAnsi="Aptos" w:cs="Times New Roman"/>
          <w:kern w:val="0"/>
          <w:lang w:eastAsia="en-GB"/>
          <w14:ligatures w14:val="none"/>
        </w:rPr>
        <w:t xml:space="preserve"> grid stability compliance offered by energy storage</w:t>
      </w:r>
      <w:r w:rsidR="00743532">
        <w:rPr>
          <w:rFonts w:ascii="Aptos" w:eastAsia="Times New Roman" w:hAnsi="Aptos" w:cs="Times New Roman"/>
          <w:kern w:val="0"/>
          <w:lang w:eastAsia="en-GB"/>
          <w14:ligatures w14:val="none"/>
        </w:rPr>
        <w:t xml:space="preserve">, and already required, </w:t>
      </w:r>
      <w:r w:rsidR="00DF49B3">
        <w:rPr>
          <w:rFonts w:ascii="Aptos" w:eastAsia="Times New Roman" w:hAnsi="Aptos" w:cs="Times New Roman"/>
          <w:kern w:val="0"/>
          <w:lang w:eastAsia="en-GB"/>
          <w14:ligatures w14:val="none"/>
        </w:rPr>
        <w:t xml:space="preserve">mean </w:t>
      </w:r>
      <w:r w:rsidR="00DF49B3" w:rsidRPr="00ED3B53">
        <w:rPr>
          <w:rFonts w:ascii="Aptos" w:eastAsia="Times New Roman" w:hAnsi="Aptos" w:cs="Times New Roman"/>
          <w:kern w:val="0"/>
          <w:lang w:eastAsia="en-GB"/>
          <w14:ligatures w14:val="none"/>
        </w:rPr>
        <w:t>devices</w:t>
      </w:r>
      <w:r w:rsidR="007062AE" w:rsidRPr="00ED3B53">
        <w:rPr>
          <w:rFonts w:ascii="Aptos" w:eastAsia="Times New Roman" w:hAnsi="Aptos" w:cs="Times New Roman"/>
          <w:kern w:val="0"/>
          <w:lang w:eastAsia="en-GB"/>
          <w14:ligatures w14:val="none"/>
        </w:rPr>
        <w:t xml:space="preserve"> </w:t>
      </w:r>
      <w:r w:rsidR="00743532">
        <w:rPr>
          <w:rFonts w:ascii="Aptos" w:eastAsia="Times New Roman" w:hAnsi="Aptos" w:cs="Times New Roman"/>
          <w:kern w:val="0"/>
          <w:lang w:eastAsia="en-GB"/>
          <w14:ligatures w14:val="none"/>
        </w:rPr>
        <w:t xml:space="preserve">are </w:t>
      </w:r>
      <w:proofErr w:type="gramStart"/>
      <w:r w:rsidR="00743532">
        <w:rPr>
          <w:rFonts w:ascii="Aptos" w:eastAsia="Times New Roman" w:hAnsi="Aptos" w:cs="Times New Roman"/>
          <w:kern w:val="0"/>
          <w:lang w:eastAsia="en-GB"/>
          <w14:ligatures w14:val="none"/>
        </w:rPr>
        <w:t xml:space="preserve">already </w:t>
      </w:r>
      <w:r w:rsidR="007062AE" w:rsidRPr="00ED3B53">
        <w:rPr>
          <w:rFonts w:ascii="Aptos" w:eastAsia="Times New Roman" w:hAnsi="Aptos" w:cs="Times New Roman"/>
          <w:kern w:val="0"/>
          <w:lang w:eastAsia="en-GB"/>
          <w14:ligatures w14:val="none"/>
        </w:rPr>
        <w:t xml:space="preserve"> more</w:t>
      </w:r>
      <w:proofErr w:type="gramEnd"/>
      <w:r w:rsidR="007062AE" w:rsidRPr="00ED3B53">
        <w:rPr>
          <w:rFonts w:ascii="Aptos" w:eastAsia="Times New Roman" w:hAnsi="Aptos" w:cs="Times New Roman"/>
          <w:kern w:val="0"/>
          <w:lang w:eastAsia="en-GB"/>
          <w14:ligatures w14:val="none"/>
        </w:rPr>
        <w:t xml:space="preserve"> sophisticated </w:t>
      </w:r>
      <w:r w:rsidR="00743532">
        <w:rPr>
          <w:rFonts w:ascii="Aptos" w:eastAsia="Times New Roman" w:hAnsi="Aptos" w:cs="Times New Roman"/>
          <w:kern w:val="0"/>
          <w:lang w:eastAsia="en-GB"/>
          <w14:ligatures w14:val="none"/>
        </w:rPr>
        <w:t xml:space="preserve">then the simple </w:t>
      </w:r>
      <w:r w:rsidR="00DF49B3">
        <w:rPr>
          <w:rFonts w:ascii="Aptos" w:eastAsia="Times New Roman" w:hAnsi="Aptos" w:cs="Times New Roman"/>
          <w:kern w:val="0"/>
          <w:lang w:eastAsia="en-GB"/>
          <w14:ligatures w14:val="none"/>
        </w:rPr>
        <w:t xml:space="preserve">random </w:t>
      </w:r>
      <w:r w:rsidR="00743532">
        <w:rPr>
          <w:rFonts w:ascii="Aptos" w:eastAsia="Times New Roman" w:hAnsi="Aptos" w:cs="Times New Roman"/>
          <w:kern w:val="0"/>
          <w:lang w:eastAsia="en-GB"/>
          <w14:ligatures w14:val="none"/>
        </w:rPr>
        <w:t xml:space="preserve">delay requirement suggested in table 1. </w:t>
      </w:r>
    </w:p>
    <w:p w14:paraId="2EC3E6BD" w14:textId="77777777" w:rsidR="000F5C49" w:rsidRPr="00ED3B53" w:rsidRDefault="000F5C49" w:rsidP="000F5C49">
      <w:pPr>
        <w:spacing w:after="0" w:line="240" w:lineRule="auto"/>
        <w:rPr>
          <w:b/>
          <w:bCs/>
        </w:rPr>
      </w:pPr>
      <w:r w:rsidRPr="00ED3B53">
        <w:rPr>
          <w:b/>
          <w:bCs/>
        </w:rPr>
        <w:t xml:space="preserve">11.Do you agree with government’s proposal that electric heating appliances must </w:t>
      </w:r>
    </w:p>
    <w:p w14:paraId="2C77B807" w14:textId="77777777" w:rsidR="000F5C49" w:rsidRPr="00ED3B53" w:rsidRDefault="000F5C49" w:rsidP="000F5C49">
      <w:pPr>
        <w:spacing w:after="0" w:line="240" w:lineRule="auto"/>
        <w:rPr>
          <w:b/>
          <w:bCs/>
        </w:rPr>
      </w:pPr>
      <w:r w:rsidRPr="00ED3B53">
        <w:rPr>
          <w:b/>
          <w:bCs/>
        </w:rPr>
        <w:t xml:space="preserve">be able to modulate output and/or change the time at which electricity is </w:t>
      </w:r>
    </w:p>
    <w:p w14:paraId="07DBB671" w14:textId="77777777" w:rsidR="000F5C49" w:rsidRPr="00ED3B53" w:rsidRDefault="000F5C49" w:rsidP="000F5C49">
      <w:pPr>
        <w:spacing w:after="0" w:line="240" w:lineRule="auto"/>
        <w:rPr>
          <w:b/>
          <w:bCs/>
        </w:rPr>
      </w:pPr>
      <w:r w:rsidRPr="00ED3B53">
        <w:rPr>
          <w:b/>
          <w:bCs/>
        </w:rPr>
        <w:t xml:space="preserve">consumed in response to signals, including price and other signals that facilitate </w:t>
      </w:r>
    </w:p>
    <w:p w14:paraId="12F2D4FC" w14:textId="77777777" w:rsidR="000F5C49" w:rsidRDefault="000F5C49" w:rsidP="000F5C49">
      <w:pPr>
        <w:spacing w:after="0" w:line="240" w:lineRule="auto"/>
        <w:rPr>
          <w:b/>
          <w:bCs/>
        </w:rPr>
      </w:pPr>
      <w:r w:rsidRPr="00ED3B53">
        <w:rPr>
          <w:b/>
          <w:bCs/>
        </w:rPr>
        <w:t>DSR?</w:t>
      </w:r>
    </w:p>
    <w:p w14:paraId="2B91FDDA" w14:textId="77777777" w:rsidR="000D6704" w:rsidRPr="00ED3B53" w:rsidRDefault="000D6704" w:rsidP="000F5C49">
      <w:pPr>
        <w:spacing w:after="0" w:line="240" w:lineRule="auto"/>
        <w:rPr>
          <w:b/>
          <w:bCs/>
        </w:rPr>
      </w:pPr>
    </w:p>
    <w:p w14:paraId="041573B9" w14:textId="2728937A" w:rsidR="009A0DAA" w:rsidRDefault="00EE6D1E" w:rsidP="00D32AAA">
      <w:r>
        <w:t xml:space="preserve">While </w:t>
      </w:r>
      <w:r w:rsidR="000B6596">
        <w:t>w</w:t>
      </w:r>
      <w:r>
        <w:t>e</w:t>
      </w:r>
      <w:r w:rsidR="009A0DAA">
        <w:t xml:space="preserve"> are supportive of </w:t>
      </w:r>
      <w:r>
        <w:t>t</w:t>
      </w:r>
      <w:r w:rsidR="009A0DAA">
        <w:t>his requirement</w:t>
      </w:r>
      <w:r>
        <w:t xml:space="preserve"> in the medium to long term</w:t>
      </w:r>
      <w:r w:rsidR="009A0DAA">
        <w:t xml:space="preserve">, </w:t>
      </w:r>
      <w:r>
        <w:t>we</w:t>
      </w:r>
      <w:r w:rsidR="009A0DAA">
        <w:t xml:space="preserve"> stress </w:t>
      </w:r>
      <w:r w:rsidR="00656A5E">
        <w:t>t</w:t>
      </w:r>
      <w:r w:rsidR="009A0DAA">
        <w:t xml:space="preserve">hat it must be met with clear </w:t>
      </w:r>
      <w:r w:rsidR="00656A5E">
        <w:t>price</w:t>
      </w:r>
      <w:r w:rsidR="009A0DAA">
        <w:t xml:space="preserve"> signals in the market that ensures those with ESA</w:t>
      </w:r>
      <w:r w:rsidR="000D6704">
        <w:t xml:space="preserve"> heating appliances</w:t>
      </w:r>
      <w:r w:rsidR="009A0DAA">
        <w:t xml:space="preserve"> are rewarded for th</w:t>
      </w:r>
      <w:r w:rsidR="00BD6AA6">
        <w:t xml:space="preserve">is response. If the rewards are </w:t>
      </w:r>
      <w:r w:rsidR="00DA57A9">
        <w:t>limited</w:t>
      </w:r>
      <w:r w:rsidR="00BD6AA6">
        <w:t xml:space="preserve">, as they are today, </w:t>
      </w:r>
      <w:r w:rsidR="000D6704">
        <w:t>t</w:t>
      </w:r>
      <w:r w:rsidR="00BD6AA6">
        <w:t>hen this requirement will lead to poor consumer experiences</w:t>
      </w:r>
      <w:r>
        <w:t xml:space="preserve"> and only serve to add cost to the deployment of such systems</w:t>
      </w:r>
      <w:r w:rsidR="00A65379">
        <w:t xml:space="preserve">. </w:t>
      </w:r>
      <w:r w:rsidR="00C90936">
        <w:t xml:space="preserve">The current difficulty in monetising the flexibility these assets provide needs to be addressed as </w:t>
      </w:r>
      <w:r w:rsidR="0051297B">
        <w:t>part</w:t>
      </w:r>
      <w:r w:rsidR="00C90936">
        <w:t xml:space="preserve"> of </w:t>
      </w:r>
      <w:r w:rsidR="0051297B">
        <w:t>the timing for such a</w:t>
      </w:r>
      <w:r w:rsidR="00C90936">
        <w:t xml:space="preserve"> mandate. </w:t>
      </w:r>
    </w:p>
    <w:p w14:paraId="653E8B9D" w14:textId="77777777" w:rsidR="00AC539A" w:rsidRPr="00ED3B53" w:rsidRDefault="00AC539A" w:rsidP="00AC539A">
      <w:pPr>
        <w:spacing w:after="0" w:line="240" w:lineRule="auto"/>
        <w:rPr>
          <w:b/>
          <w:bCs/>
        </w:rPr>
      </w:pPr>
      <w:r w:rsidRPr="00ED3B53">
        <w:rPr>
          <w:b/>
          <w:bCs/>
        </w:rPr>
        <w:t xml:space="preserve">26.Do you agree with government’s proposal to require the appliance manufacturer </w:t>
      </w:r>
    </w:p>
    <w:p w14:paraId="2B7EED37" w14:textId="77777777" w:rsidR="00AC539A" w:rsidRPr="00ED3B53" w:rsidRDefault="00AC539A" w:rsidP="00AC539A">
      <w:pPr>
        <w:spacing w:after="0" w:line="240" w:lineRule="auto"/>
        <w:rPr>
          <w:b/>
          <w:bCs/>
        </w:rPr>
      </w:pPr>
      <w:r w:rsidRPr="00ED3B53">
        <w:rPr>
          <w:b/>
          <w:bCs/>
        </w:rPr>
        <w:t>to provide appliances with integrated or ‘add-on’ ESA functionality?</w:t>
      </w:r>
    </w:p>
    <w:p w14:paraId="4C19B8D8" w14:textId="77777777" w:rsidR="00AC539A" w:rsidRDefault="00AC539A" w:rsidP="00D32AAA"/>
    <w:p w14:paraId="71090C27" w14:textId="1C66C8F3" w:rsidR="00FB6F53" w:rsidRDefault="00FB6F53" w:rsidP="00FB6F53">
      <w:r>
        <w:t>PAS1878 does not require a specific protocol between the ESA and the CEM but there are some requirements about this protocol.  I</w:t>
      </w:r>
      <w:r w:rsidR="00867843">
        <w:t>f</w:t>
      </w:r>
      <w:r>
        <w:t xml:space="preserve"> the Government intends to mandate and rules on one class of ESA manufacturer it should make sure that it does not unfairly advantage one type of ESA over another as some ESAs already have far more regulation than others.  An </w:t>
      </w:r>
      <w:r w:rsidR="00867843">
        <w:t>even-handed</w:t>
      </w:r>
      <w:r>
        <w:t xml:space="preserve"> approach should be taken that treats each type of ESA </w:t>
      </w:r>
      <w:r w:rsidR="00867843">
        <w:t>f</w:t>
      </w:r>
      <w:r>
        <w:t xml:space="preserve">airly, while recognising that differences exist requiring some specific regulations for different types of </w:t>
      </w:r>
      <w:proofErr w:type="gramStart"/>
      <w:r>
        <w:t>device</w:t>
      </w:r>
      <w:proofErr w:type="gramEnd"/>
      <w:r>
        <w:t>.</w:t>
      </w:r>
    </w:p>
    <w:p w14:paraId="246F16C8" w14:textId="4606A80E" w:rsidR="00D32AAA" w:rsidRPr="0099091D" w:rsidRDefault="442F7B1B" w:rsidP="1C2E957A">
      <w:pPr>
        <w:rPr>
          <w:b/>
          <w:bCs/>
          <w:u w:val="single"/>
        </w:rPr>
      </w:pPr>
      <w:r w:rsidRPr="0099091D">
        <w:rPr>
          <w:b/>
          <w:bCs/>
          <w:u w:val="single"/>
        </w:rPr>
        <w:t>Questions 30-33:</w:t>
      </w:r>
      <w:r w:rsidR="6726CBD5" w:rsidRPr="0099091D">
        <w:rPr>
          <w:b/>
          <w:bCs/>
          <w:u w:val="single"/>
        </w:rPr>
        <w:t xml:space="preserve"> </w:t>
      </w:r>
    </w:p>
    <w:p w14:paraId="046BFE09" w14:textId="715B597C" w:rsidR="00D32AAA" w:rsidRDefault="69CA66E7" w:rsidP="1C2E957A">
      <w:pPr>
        <w:rPr>
          <w:b/>
          <w:bCs/>
        </w:rPr>
      </w:pPr>
      <w:r>
        <w:t xml:space="preserve">The REA </w:t>
      </w:r>
      <w:r w:rsidR="1185B48E">
        <w:t>understands</w:t>
      </w:r>
      <w:r>
        <w:t xml:space="preserve"> that </w:t>
      </w:r>
      <w:r w:rsidR="738653A2">
        <w:t>proposed</w:t>
      </w:r>
      <w:r>
        <w:t xml:space="preserve"> changes to EV </w:t>
      </w:r>
      <w:proofErr w:type="spellStart"/>
      <w:r>
        <w:t>chargepoints</w:t>
      </w:r>
      <w:proofErr w:type="spellEnd"/>
      <w:r>
        <w:t xml:space="preserve"> would not take </w:t>
      </w:r>
      <w:r w:rsidR="73E151A0">
        <w:t>effect</w:t>
      </w:r>
      <w:r>
        <w:t xml:space="preserve"> until stage 2. However, we would warn that long-established manufacturers of widely deployed technologies are likely to have more resources to fund such measures such as these. </w:t>
      </w:r>
    </w:p>
    <w:p w14:paraId="526A5B22" w14:textId="2C4AE713" w:rsidR="00D32AAA" w:rsidRDefault="207CDBB0" w:rsidP="50ED90AA">
      <w:r>
        <w:t>T</w:t>
      </w:r>
      <w:r w:rsidR="69CA66E7">
        <w:t>he cost of new regulations should not be borne by nascent industries such as heat batteries, domestic-scale batteries, heat pumps and EV charging. Costs held absorbed by the manufacturer will inevitably result in less funding for development and marketing, which are crucial for these nascent industries. Any costs passed on to the consumer will deter buyers and inhibit the uptake of these technologies at a period when they need to be rolled out widely.</w:t>
      </w:r>
    </w:p>
    <w:p w14:paraId="4033F36C" w14:textId="4238AB83" w:rsidR="0FEFD466" w:rsidRDefault="0FEFD466" w:rsidP="1C2E957A">
      <w:r>
        <w:lastRenderedPageBreak/>
        <w:t xml:space="preserve">This comes after the Government’s own statistics reveal the cost of the smart charging regulations for </w:t>
      </w:r>
      <w:proofErr w:type="spellStart"/>
      <w:r>
        <w:t>chargepoint</w:t>
      </w:r>
      <w:proofErr w:type="spellEnd"/>
      <w:r>
        <w:t xml:space="preserve"> manufacturers was up to £500,000. Post Brexit the UK has </w:t>
      </w:r>
      <w:r w:rsidR="68855ACC">
        <w:t>p</w:t>
      </w:r>
      <w:r w:rsidR="351BAFBE">
        <w:t>ursue</w:t>
      </w:r>
      <w:r w:rsidR="00E53963">
        <w:t>d</w:t>
      </w:r>
      <w:r w:rsidR="7AB7EA12">
        <w:t xml:space="preserve"> </w:t>
      </w:r>
      <w:r w:rsidR="00E53963">
        <w:t>several</w:t>
      </w:r>
      <w:r w:rsidR="7AB7EA12">
        <w:t xml:space="preserve"> contrasting regulations to other markets for both domestic and public charging infrastructure. This is making it harder to source equipment capable of complying with these re</w:t>
      </w:r>
      <w:r w:rsidR="65CF252F">
        <w:t>gulations. The Government must look</w:t>
      </w:r>
      <w:r w:rsidR="004C6807">
        <w:t xml:space="preserve"> to </w:t>
      </w:r>
      <w:r w:rsidR="65CF252F">
        <w:t xml:space="preserve">support </w:t>
      </w:r>
      <w:r w:rsidR="004C6807">
        <w:t>the</w:t>
      </w:r>
      <w:r w:rsidR="65CF252F">
        <w:t xml:space="preserve"> domestic </w:t>
      </w:r>
      <w:proofErr w:type="spellStart"/>
      <w:r w:rsidR="65CF252F">
        <w:t>chargepoint</w:t>
      </w:r>
      <w:proofErr w:type="spellEnd"/>
      <w:r w:rsidR="65CF252F">
        <w:t xml:space="preserve"> manufacturing market, so that businesses are less reliant on imports whose produc</w:t>
      </w:r>
      <w:r w:rsidR="41F56923">
        <w:t>tion cycle times can be drawn out</w:t>
      </w:r>
      <w:r w:rsidR="003312B3">
        <w:t xml:space="preserve"> when needing to comply with new requirements in divergent markets</w:t>
      </w:r>
      <w:r w:rsidR="41F56923">
        <w:t xml:space="preserve">. </w:t>
      </w:r>
      <w:r w:rsidR="00B22693">
        <w:t>Failure to do so, can</w:t>
      </w:r>
      <w:r w:rsidR="41F56923">
        <w:t xml:space="preserve"> result in exemptions and delayed implementation which create an un</w:t>
      </w:r>
      <w:r w:rsidR="3B8ED2BF">
        <w:t xml:space="preserve">equal charging experience and cause a delay in EV uptake if the products to charge them do not meet consumer expectations. </w:t>
      </w:r>
    </w:p>
    <w:p w14:paraId="182FAC83" w14:textId="07485BA1" w:rsidR="00D32AAA" w:rsidRDefault="44EA7FCA" w:rsidP="1C2E957A">
      <w:r>
        <w:t xml:space="preserve">The REA also recognises the advancements in </w:t>
      </w:r>
      <w:r w:rsidR="5C7B4130">
        <w:t>communications</w:t>
      </w:r>
      <w:r>
        <w:t xml:space="preserve"> between cars and other systems. We suggest that since the publication of the original Smart C</w:t>
      </w:r>
      <w:r w:rsidR="58DC70CA">
        <w:t>h</w:t>
      </w:r>
      <w:r>
        <w:t>arge Point Regulations that regulations</w:t>
      </w:r>
      <w:r w:rsidR="243CF263">
        <w:t xml:space="preserve"> could</w:t>
      </w:r>
      <w:r>
        <w:t xml:space="preserve"> be applied to the </w:t>
      </w:r>
      <w:r w:rsidR="7C608A2F">
        <w:t xml:space="preserve">vehicle rather than the </w:t>
      </w:r>
      <w:proofErr w:type="spellStart"/>
      <w:r w:rsidR="7C608A2F">
        <w:t>chargepoint</w:t>
      </w:r>
      <w:proofErr w:type="spellEnd"/>
      <w:r w:rsidR="7C608A2F">
        <w:t xml:space="preserve">. The </w:t>
      </w:r>
      <w:proofErr w:type="spellStart"/>
      <w:r w:rsidR="7C608A2F">
        <w:t>chargepoint</w:t>
      </w:r>
      <w:proofErr w:type="spellEnd"/>
      <w:r w:rsidR="7C608A2F">
        <w:t xml:space="preserve"> is merely an </w:t>
      </w:r>
      <w:r w:rsidR="42344A2D">
        <w:t>intermediary</w:t>
      </w:r>
      <w:r w:rsidR="7C608A2F">
        <w:t xml:space="preserve"> between the </w:t>
      </w:r>
      <w:r w:rsidR="465B2EB8">
        <w:t>vehicle</w:t>
      </w:r>
      <w:r w:rsidR="7C608A2F">
        <w:t xml:space="preserve"> and the energy supplier and we see significant savings to the </w:t>
      </w:r>
      <w:proofErr w:type="spellStart"/>
      <w:r w:rsidR="7C608A2F">
        <w:t>chargepoint</w:t>
      </w:r>
      <w:proofErr w:type="spellEnd"/>
      <w:r w:rsidR="7C608A2F">
        <w:t xml:space="preserve"> manufacturers from instead </w:t>
      </w:r>
      <w:r w:rsidR="7EDAED2F">
        <w:t>examining</w:t>
      </w:r>
      <w:r w:rsidR="7C608A2F">
        <w:t xml:space="preserve"> how </w:t>
      </w:r>
      <w:r w:rsidR="5F59F3B5">
        <w:t>future</w:t>
      </w:r>
      <w:r w:rsidR="7C608A2F">
        <w:t xml:space="preserve"> </w:t>
      </w:r>
      <w:r w:rsidR="054C5E66">
        <w:t>regulation</w:t>
      </w:r>
      <w:r w:rsidR="7C608A2F">
        <w:t xml:space="preserve"> is applied to the </w:t>
      </w:r>
      <w:r w:rsidR="1905DC55">
        <w:t xml:space="preserve">vehicle. </w:t>
      </w:r>
    </w:p>
    <w:p w14:paraId="49C1F794" w14:textId="69948760" w:rsidR="2BBB2B85" w:rsidRDefault="2BBB2B85" w:rsidP="1C2E957A">
      <w:r>
        <w:t xml:space="preserve">With advancements in plug and charge across </w:t>
      </w:r>
      <w:proofErr w:type="gramStart"/>
      <w:r>
        <w:t>a number of</w:t>
      </w:r>
      <w:proofErr w:type="gramEnd"/>
      <w:r>
        <w:t xml:space="preserve"> OEM’s enhanced communication is possible and we would st</w:t>
      </w:r>
      <w:r w:rsidR="4D7C10ED">
        <w:t xml:space="preserve">rongly recommend the Government considers how demand side response can be triggered through the vehicle. </w:t>
      </w:r>
    </w:p>
    <w:p w14:paraId="4734D467" w14:textId="42EF96B9" w:rsidR="00E50335" w:rsidRDefault="00E50335" w:rsidP="00E50335">
      <w:r>
        <w:t>PAS1878 does not require a specific protocol between the ESA and the CEM but there are some requirements about this protocol.  I</w:t>
      </w:r>
      <w:r w:rsidR="0026644E">
        <w:t>f</w:t>
      </w:r>
      <w:r>
        <w:t xml:space="preserve"> the Government intends to mandate and rules on one class of ESA manufacturer it should make sure that it does not unfairly advantage one type of ESA o</w:t>
      </w:r>
      <w:r w:rsidR="00A411D0">
        <w:t>v</w:t>
      </w:r>
      <w:r>
        <w:t xml:space="preserve">er another as some ESAs already have far more regulation than others.  An </w:t>
      </w:r>
      <w:r w:rsidR="00E428F9">
        <w:t>even-handed</w:t>
      </w:r>
      <w:r>
        <w:t xml:space="preserve"> approach should be taken that treats each type of ESA </w:t>
      </w:r>
      <w:r w:rsidR="00E428F9">
        <w:t>f</w:t>
      </w:r>
      <w:r>
        <w:t xml:space="preserve">airly, while recognising that differences exist requiring some specific regulations for different types of </w:t>
      </w:r>
      <w:proofErr w:type="gramStart"/>
      <w:r>
        <w:t>device</w:t>
      </w:r>
      <w:proofErr w:type="gramEnd"/>
      <w:r>
        <w:t>.</w:t>
      </w:r>
    </w:p>
    <w:p w14:paraId="40370C01" w14:textId="12C947D4" w:rsidR="002B690B" w:rsidRPr="00ED3B53" w:rsidRDefault="002B690B" w:rsidP="002B690B">
      <w:pPr>
        <w:rPr>
          <w:b/>
          <w:bCs/>
        </w:rPr>
      </w:pPr>
      <w:r w:rsidRPr="00ED3B53">
        <w:rPr>
          <w:b/>
          <w:bCs/>
        </w:rPr>
        <w:t>34.Do you foresee any issues with adoption of ETSI EN 303 645 for Phase 1</w:t>
      </w:r>
      <w:r>
        <w:rPr>
          <w:b/>
          <w:bCs/>
        </w:rPr>
        <w:t xml:space="preserve"> </w:t>
      </w:r>
      <w:r w:rsidRPr="00ED3B53">
        <w:rPr>
          <w:b/>
          <w:bCs/>
        </w:rPr>
        <w:t>requirements for all ESAs? If so, how could these issues be mitigated?</w:t>
      </w:r>
    </w:p>
    <w:p w14:paraId="46AB6D41" w14:textId="24F91FF3" w:rsidR="00E50335" w:rsidRDefault="00F2115A" w:rsidP="002B690B">
      <w:pPr>
        <w:rPr>
          <w:b/>
          <w:bCs/>
        </w:rPr>
      </w:pPr>
      <w:r>
        <w:t>We note that e</w:t>
      </w:r>
      <w:r w:rsidR="002B690B">
        <w:t xml:space="preserve">nergy storage devices and solar inverters are already required to comply with this standard and submit a statement to this effect to the ENA type test register. </w:t>
      </w:r>
    </w:p>
    <w:p w14:paraId="29E8AFA7" w14:textId="77777777" w:rsidR="00FE5161" w:rsidRPr="00ED3B53" w:rsidRDefault="00FE5161" w:rsidP="00FE5161">
      <w:pPr>
        <w:spacing w:after="0" w:line="240" w:lineRule="auto"/>
        <w:rPr>
          <w:b/>
          <w:bCs/>
        </w:rPr>
      </w:pPr>
      <w:r w:rsidRPr="00ED3B53">
        <w:rPr>
          <w:b/>
          <w:bCs/>
        </w:rPr>
        <w:t xml:space="preserve">35.To what extent would requiring cyber security testing of ESAs prior to them being </w:t>
      </w:r>
    </w:p>
    <w:p w14:paraId="5EA764D2" w14:textId="77777777" w:rsidR="00FE5161" w:rsidRPr="00ED3B53" w:rsidRDefault="00FE5161" w:rsidP="00FE5161">
      <w:pPr>
        <w:spacing w:after="0" w:line="240" w:lineRule="auto"/>
        <w:rPr>
          <w:b/>
          <w:bCs/>
        </w:rPr>
      </w:pPr>
      <w:r w:rsidRPr="00ED3B53">
        <w:rPr>
          <w:b/>
          <w:bCs/>
        </w:rPr>
        <w:t xml:space="preserve">sold or distributed in GB impact ESA supply chains? What other approaches </w:t>
      </w:r>
    </w:p>
    <w:p w14:paraId="56D3AD3F" w14:textId="77777777" w:rsidR="00FE5161" w:rsidRPr="00ED3B53" w:rsidRDefault="00FE5161" w:rsidP="00FE5161">
      <w:pPr>
        <w:spacing w:after="0" w:line="240" w:lineRule="auto"/>
        <w:rPr>
          <w:b/>
          <w:bCs/>
        </w:rPr>
      </w:pPr>
      <w:r w:rsidRPr="00ED3B53">
        <w:rPr>
          <w:b/>
          <w:bCs/>
        </w:rPr>
        <w:t xml:space="preserve">could be used to provide sufficient assurance that cyber security requirements </w:t>
      </w:r>
    </w:p>
    <w:p w14:paraId="11AA2561" w14:textId="77777777" w:rsidR="00FE5161" w:rsidRPr="00ED3B53" w:rsidRDefault="00FE5161" w:rsidP="00FE5161">
      <w:pPr>
        <w:spacing w:after="0" w:line="240" w:lineRule="auto"/>
        <w:rPr>
          <w:b/>
          <w:bCs/>
        </w:rPr>
      </w:pPr>
      <w:proofErr w:type="spellStart"/>
      <w:r w:rsidRPr="00ED3B53">
        <w:rPr>
          <w:b/>
          <w:bCs/>
        </w:rPr>
        <w:t>were</w:t>
      </w:r>
      <w:proofErr w:type="spellEnd"/>
      <w:r w:rsidRPr="00ED3B53">
        <w:rPr>
          <w:b/>
          <w:bCs/>
        </w:rPr>
        <w:t xml:space="preserve"> being met?</w:t>
      </w:r>
    </w:p>
    <w:p w14:paraId="22281FC3" w14:textId="77777777" w:rsidR="00FE5161" w:rsidRDefault="00FE5161" w:rsidP="00FE5161"/>
    <w:p w14:paraId="2B250B72" w14:textId="05AE16A0" w:rsidR="00E50335" w:rsidRDefault="00FE5161" w:rsidP="1C2E957A">
      <w:r>
        <w:t xml:space="preserve">We raise concern that this could delay the introduction of ESAs or potentially result in them being withdrawn.  An alternative approach could be the existing registration of </w:t>
      </w:r>
      <w:r>
        <w:lastRenderedPageBreak/>
        <w:t xml:space="preserve">devices with the ENA type test register. As such, we encourage government to build </w:t>
      </w:r>
      <w:proofErr w:type="spellStart"/>
      <w:r>
        <w:t>o</w:t>
      </w:r>
      <w:r w:rsidR="00AB001B">
        <w:t>on</w:t>
      </w:r>
      <w:proofErr w:type="spellEnd"/>
      <w:r w:rsidR="00AB001B">
        <w:t xml:space="preserve"> </w:t>
      </w:r>
      <w:r>
        <w:t xml:space="preserve">the regulatory framework </w:t>
      </w:r>
      <w:r w:rsidR="0058574B">
        <w:t>that</w:t>
      </w:r>
      <w:r>
        <w:t xml:space="preserve"> is already in place.</w:t>
      </w:r>
    </w:p>
    <w:p w14:paraId="6C6B7596" w14:textId="77777777" w:rsidR="0058574B" w:rsidRPr="00ED3B53" w:rsidRDefault="0058574B" w:rsidP="0058574B">
      <w:pPr>
        <w:spacing w:after="0" w:line="240" w:lineRule="auto"/>
        <w:rPr>
          <w:b/>
          <w:bCs/>
        </w:rPr>
      </w:pPr>
      <w:r w:rsidRPr="00ED3B53">
        <w:rPr>
          <w:b/>
          <w:bCs/>
        </w:rPr>
        <w:t>36.Do you have any suggested alternative solutions to the random offset function</w:t>
      </w:r>
    </w:p>
    <w:p w14:paraId="718AFDDD" w14:textId="77777777" w:rsidR="0058574B" w:rsidRPr="00ED3B53" w:rsidRDefault="0058574B" w:rsidP="0058574B">
      <w:pPr>
        <w:spacing w:after="0" w:line="240" w:lineRule="auto"/>
        <w:rPr>
          <w:b/>
          <w:bCs/>
        </w:rPr>
      </w:pPr>
      <w:r w:rsidRPr="00ED3B53">
        <w:rPr>
          <w:b/>
          <w:bCs/>
        </w:rPr>
        <w:t>which would mitigate the risk of large-scale synchronised changes in load?</w:t>
      </w:r>
    </w:p>
    <w:p w14:paraId="72046476" w14:textId="77777777" w:rsidR="0058574B" w:rsidRDefault="0058574B" w:rsidP="0058574B">
      <w:pPr>
        <w:spacing w:after="0" w:line="240" w:lineRule="auto"/>
      </w:pPr>
    </w:p>
    <w:p w14:paraId="598E9489" w14:textId="209FDBFB" w:rsidR="0058574B" w:rsidRDefault="0058574B" w:rsidP="0058574B">
      <w:pPr>
        <w:spacing w:after="0" w:line="240" w:lineRule="auto"/>
      </w:pPr>
      <w:r>
        <w:t xml:space="preserve">We would encourage government to also consider monitoring grid frequency and not plough on with a state of change if it is outside certain limits - these could be </w:t>
      </w:r>
      <w:proofErr w:type="gramStart"/>
      <w:r>
        <w:t>similar to</w:t>
      </w:r>
      <w:proofErr w:type="gramEnd"/>
      <w:r>
        <w:t xml:space="preserve"> the emergency limits used b</w:t>
      </w:r>
      <w:r w:rsidR="00924D97">
        <w:t>y</w:t>
      </w:r>
      <w:r>
        <w:t xml:space="preserve"> generators. This rule should not be used to provide "free" demand side response to the network operators.</w:t>
      </w:r>
    </w:p>
    <w:p w14:paraId="58510381" w14:textId="77777777" w:rsidR="0058574B" w:rsidRDefault="0058574B" w:rsidP="1C2E957A">
      <w:pPr>
        <w:rPr>
          <w:b/>
          <w:bCs/>
        </w:rPr>
      </w:pPr>
    </w:p>
    <w:p w14:paraId="49840A94" w14:textId="398B2C08" w:rsidR="00D76D0D" w:rsidRPr="00D76D0D" w:rsidRDefault="00D76D0D" w:rsidP="1C2E957A">
      <w:pPr>
        <w:rPr>
          <w:b/>
          <w:bCs/>
        </w:rPr>
      </w:pPr>
      <w:r w:rsidRPr="00D76D0D">
        <w:rPr>
          <w:b/>
          <w:bCs/>
        </w:rPr>
        <w:t>Questions 44-47:</w:t>
      </w:r>
    </w:p>
    <w:p w14:paraId="5A9FC892" w14:textId="5EC10406" w:rsidR="007B6346" w:rsidRDefault="001C6661" w:rsidP="00D32AAA">
      <w:r>
        <w:t xml:space="preserve">Any proposed </w:t>
      </w:r>
      <w:r w:rsidR="004D257D">
        <w:t xml:space="preserve">standard will need to ensure that it is not overly burdensome and complex for industry to implement. Government must take learnings from the Smart Charging Regulations for electric vehicles to ensure this. Within the original Smart Charging Regulations there was an obligation to ensure that a test was </w:t>
      </w:r>
      <w:r w:rsidR="00630225">
        <w:t>undertaken,</w:t>
      </w:r>
      <w:r w:rsidR="004D257D">
        <w:t xml:space="preserve"> and paperwork provided to show that it had been undertaken. However, at the time of publication there was no guidance as to whether this test had to be repeated at the point of resale. For </w:t>
      </w:r>
      <w:r w:rsidR="00B6691E">
        <w:t>example,</w:t>
      </w:r>
      <w:r w:rsidR="004D257D">
        <w:t xml:space="preserve"> a</w:t>
      </w:r>
      <w:r w:rsidR="00117B55">
        <w:t>n</w:t>
      </w:r>
      <w:r w:rsidR="004D257D">
        <w:t xml:space="preserve"> installer having to retest it after both the </w:t>
      </w:r>
      <w:r w:rsidR="00766682">
        <w:t xml:space="preserve">hardware manufacturer and energy company </w:t>
      </w:r>
      <w:r w:rsidR="00F113E6">
        <w:t>had already checked it.</w:t>
      </w:r>
    </w:p>
    <w:p w14:paraId="493D5AAA" w14:textId="3EDE5E9C" w:rsidR="00D32AAA" w:rsidRDefault="00117B55" w:rsidP="00D32AAA">
      <w:r>
        <w:t xml:space="preserve">The standard must therefore be very clear from the start </w:t>
      </w:r>
      <w:r w:rsidR="0029389B">
        <w:t xml:space="preserve">where the obligation for compliance lies and that proof of this is easily transferable from different service providers. </w:t>
      </w:r>
    </w:p>
    <w:p w14:paraId="109B329A" w14:textId="226B3EBB" w:rsidR="00B6691E" w:rsidRDefault="00911384" w:rsidP="00D32AAA">
      <w:r>
        <w:t xml:space="preserve">Having a standard across </w:t>
      </w:r>
      <w:proofErr w:type="gramStart"/>
      <w:r>
        <w:t>a number of</w:t>
      </w:r>
      <w:proofErr w:type="gramEnd"/>
      <w:r>
        <w:t xml:space="preserve"> different areas e.g. cyber security</w:t>
      </w:r>
      <w:r w:rsidR="00344F21">
        <w:t xml:space="preserve">, data protection and grid stability </w:t>
      </w:r>
      <w:r w:rsidR="004A1E39">
        <w:t xml:space="preserve">may also require a tailored </w:t>
      </w:r>
      <w:r w:rsidR="00040A31">
        <w:t>and phased approach. It is well know</w:t>
      </w:r>
      <w:r w:rsidR="0035632C">
        <w:t>n</w:t>
      </w:r>
      <w:r w:rsidR="00040A31">
        <w:t xml:space="preserve"> th</w:t>
      </w:r>
      <w:r w:rsidR="00995294">
        <w:t xml:space="preserve">ere is a shortage of cyber security experts in the sector and therefore ensuring </w:t>
      </w:r>
      <w:r w:rsidR="00D801EB">
        <w:t>compliance may take longer as recruitment and impl</w:t>
      </w:r>
      <w:r w:rsidR="00ED7825">
        <w:t>emen</w:t>
      </w:r>
      <w:r w:rsidR="00D801EB">
        <w:t xml:space="preserve">tation could </w:t>
      </w:r>
      <w:r w:rsidR="00ED1F75">
        <w:t xml:space="preserve">be delayed. </w:t>
      </w:r>
    </w:p>
    <w:p w14:paraId="4FD5695E" w14:textId="77777777" w:rsidR="00E01E69" w:rsidRDefault="00705C82" w:rsidP="00D32AAA">
      <w:r>
        <w:t xml:space="preserve">Demand Side Response Service Providers </w:t>
      </w:r>
      <w:r w:rsidR="00813E2E">
        <w:t>(D</w:t>
      </w:r>
      <w:r w:rsidR="00F937B3">
        <w:t xml:space="preserve">SRSPs) we expect already to be </w:t>
      </w:r>
      <w:r w:rsidR="00270BD8">
        <w:t xml:space="preserve">purchasing where it is possible Energy Smart Appliances that are compliant with existing regulation. However, we do understand and support the need for derogations where </w:t>
      </w:r>
      <w:r w:rsidR="007D00F4">
        <w:t xml:space="preserve">the existing market does not necessarily </w:t>
      </w:r>
      <w:r w:rsidR="00D17E60">
        <w:t xml:space="preserve">support UK regulations to date. </w:t>
      </w:r>
    </w:p>
    <w:p w14:paraId="56D70575" w14:textId="30CD543F" w:rsidR="00705C82" w:rsidRDefault="00D17E60" w:rsidP="00D32AAA">
      <w:r>
        <w:t xml:space="preserve">For </w:t>
      </w:r>
      <w:r w:rsidR="00E01E69">
        <w:t>example,</w:t>
      </w:r>
      <w:r>
        <w:t xml:space="preserve"> the majority of </w:t>
      </w:r>
      <w:proofErr w:type="spellStart"/>
      <w:r>
        <w:t>chargepoints</w:t>
      </w:r>
      <w:proofErr w:type="spellEnd"/>
      <w:r>
        <w:t xml:space="preserve"> are manufactured within Europe. The UK is a comparatively small market, and </w:t>
      </w:r>
      <w:r w:rsidR="004870AB">
        <w:t xml:space="preserve">post Brexit as the UK positions itself as a leader in the EV rollout, </w:t>
      </w:r>
      <w:proofErr w:type="gramStart"/>
      <w:r w:rsidR="004870AB">
        <w:t>a number of</w:t>
      </w:r>
      <w:proofErr w:type="gramEnd"/>
      <w:r w:rsidR="004870AB">
        <w:t xml:space="preserve"> our regulations, standards and specifications differ from Europe</w:t>
      </w:r>
      <w:r w:rsidR="00530023">
        <w:t xml:space="preserve">an markets. For </w:t>
      </w:r>
      <w:r w:rsidR="007B256B">
        <w:t>example,</w:t>
      </w:r>
      <w:r w:rsidR="00530023">
        <w:t xml:space="preserve"> the height requirements </w:t>
      </w:r>
      <w:proofErr w:type="gramStart"/>
      <w:r w:rsidR="00530023">
        <w:t>with in</w:t>
      </w:r>
      <w:proofErr w:type="gramEnd"/>
      <w:r w:rsidR="00530023">
        <w:t xml:space="preserve"> PAS 1899 are different to those in many European markets. This can make it more difficult for our members to purchase compliant equipment which</w:t>
      </w:r>
      <w:r w:rsidR="008C2380">
        <w:t>,</w:t>
      </w:r>
      <w:r w:rsidR="00530023">
        <w:t xml:space="preserve"> if produced</w:t>
      </w:r>
      <w:r w:rsidR="008C2380">
        <w:t>,</w:t>
      </w:r>
      <w:r w:rsidR="00530023">
        <w:t xml:space="preserve"> will likely be in smaller quantities, with all UK competitors bidding for the same limited number of products. </w:t>
      </w:r>
    </w:p>
    <w:p w14:paraId="777A998A" w14:textId="1B1E6A38" w:rsidR="00530023" w:rsidRDefault="00530023" w:rsidP="00D32AAA">
      <w:r>
        <w:lastRenderedPageBreak/>
        <w:t xml:space="preserve">The UK in its </w:t>
      </w:r>
      <w:r w:rsidR="00CA1C7A">
        <w:t xml:space="preserve">mission to become a world leader must therefore support and encourage UK manufacturing to avoid this going forward. This would ensure that any future products are easily interoperable with existing UK regulations, built in and built for the UK market. </w:t>
      </w:r>
      <w:r w:rsidR="007B256B">
        <w:t xml:space="preserve">The UK should also look to work with Europe to ensure a greater level of interoperability and a similar consumer experience for EV drivers who drive across Europe and the UK. </w:t>
      </w:r>
    </w:p>
    <w:p w14:paraId="465AD5E5" w14:textId="77777777" w:rsidR="00116461" w:rsidRPr="00ED3B53" w:rsidRDefault="00116461" w:rsidP="00392BD8">
      <w:pPr>
        <w:spacing w:after="0" w:line="240" w:lineRule="auto"/>
        <w:rPr>
          <w:b/>
          <w:bCs/>
        </w:rPr>
      </w:pPr>
      <w:r w:rsidRPr="00ED3B53">
        <w:rPr>
          <w:b/>
          <w:bCs/>
        </w:rPr>
        <w:t>49.Given the additional detail provided in this chapter, do you believe that the proposed 24-month period between when the first and second phase regulations come into force is appropriate?</w:t>
      </w:r>
    </w:p>
    <w:p w14:paraId="1F3F9149" w14:textId="77777777" w:rsidR="00392BD8" w:rsidRDefault="00392BD8" w:rsidP="00392BD8">
      <w:pPr>
        <w:spacing w:after="0" w:line="240" w:lineRule="auto"/>
      </w:pPr>
    </w:p>
    <w:p w14:paraId="3494D007" w14:textId="408A933E" w:rsidR="00116461" w:rsidRDefault="00F1353D" w:rsidP="00392BD8">
      <w:pPr>
        <w:spacing w:after="0" w:line="240" w:lineRule="auto"/>
      </w:pPr>
      <w:r>
        <w:t>M</w:t>
      </w:r>
      <w:r w:rsidR="00116461">
        <w:t xml:space="preserve">ore intensive regulation should be delayed to 60 - 120 months - or perhaps longer – until there is really a valuable reward for flexibility for ESAs.  </w:t>
      </w:r>
    </w:p>
    <w:p w14:paraId="520D328A" w14:textId="77777777" w:rsidR="00392BD8" w:rsidRDefault="00392BD8" w:rsidP="00392BD8">
      <w:pPr>
        <w:spacing w:after="0" w:line="240" w:lineRule="auto"/>
      </w:pPr>
    </w:p>
    <w:p w14:paraId="515251B6" w14:textId="29657D63" w:rsidR="00116461" w:rsidRDefault="00614ED7" w:rsidP="00116461">
      <w:r>
        <w:t xml:space="preserve">The introduction of these standards </w:t>
      </w:r>
      <w:proofErr w:type="gramStart"/>
      <w:r>
        <w:t>need</w:t>
      </w:r>
      <w:proofErr w:type="gramEnd"/>
      <w:r>
        <w:t xml:space="preserve"> to be met with an evolved </w:t>
      </w:r>
      <w:r w:rsidR="00392BD8">
        <w:t>market</w:t>
      </w:r>
      <w:r w:rsidR="00232E42">
        <w:t xml:space="preserve"> that properly rewards ESA</w:t>
      </w:r>
      <w:r w:rsidR="00493184">
        <w:t>’s</w:t>
      </w:r>
      <w:r w:rsidR="00116461">
        <w:t>. For example</w:t>
      </w:r>
      <w:r w:rsidR="00B46519">
        <w:t xml:space="preserve">, </w:t>
      </w:r>
      <w:r w:rsidR="00116461">
        <w:t>there are still a relatively small number of smart tariffs and most of them are targeted at just one asset class</w:t>
      </w:r>
      <w:r w:rsidR="00232E42">
        <w:t xml:space="preserve"> (EV Charging)</w:t>
      </w:r>
      <w:r w:rsidR="00116461">
        <w:t xml:space="preserve">. </w:t>
      </w:r>
    </w:p>
    <w:p w14:paraId="052295D2" w14:textId="589E52B5" w:rsidR="00373A9B" w:rsidRPr="00ED3B53" w:rsidRDefault="00373A9B" w:rsidP="00373A9B">
      <w:pPr>
        <w:spacing w:after="0" w:line="240" w:lineRule="auto"/>
        <w:rPr>
          <w:b/>
          <w:bCs/>
        </w:rPr>
      </w:pPr>
      <w:r w:rsidRPr="00ED3B53">
        <w:rPr>
          <w:b/>
          <w:bCs/>
        </w:rPr>
        <w:t xml:space="preserve">50.Are there any documents (such as specific standards, protocols, guidance, </w:t>
      </w:r>
      <w:proofErr w:type="gramStart"/>
      <w:r w:rsidRPr="00ED3B53">
        <w:rPr>
          <w:b/>
          <w:bCs/>
        </w:rPr>
        <w:t xml:space="preserve">code, </w:t>
      </w:r>
      <w:r w:rsidR="00493184">
        <w:rPr>
          <w:b/>
          <w:bCs/>
        </w:rPr>
        <w:t xml:space="preserve"> </w:t>
      </w:r>
      <w:r w:rsidRPr="00ED3B53">
        <w:rPr>
          <w:b/>
          <w:bCs/>
        </w:rPr>
        <w:t>specifications</w:t>
      </w:r>
      <w:proofErr w:type="gramEnd"/>
      <w:r w:rsidRPr="00ED3B53">
        <w:rPr>
          <w:b/>
          <w:bCs/>
        </w:rPr>
        <w:t xml:space="preserve">) that should be explored for inclusion into the SSES technical </w:t>
      </w:r>
    </w:p>
    <w:p w14:paraId="1ADA5935" w14:textId="77777777" w:rsidR="00373A9B" w:rsidRPr="00ED3B53" w:rsidRDefault="00373A9B" w:rsidP="00C04978">
      <w:pPr>
        <w:spacing w:after="0" w:line="240" w:lineRule="auto"/>
        <w:rPr>
          <w:b/>
          <w:bCs/>
        </w:rPr>
      </w:pPr>
      <w:r w:rsidRPr="00ED3B53">
        <w:rPr>
          <w:b/>
          <w:bCs/>
        </w:rPr>
        <w:t xml:space="preserve">framework? Please can you provide within your answer why their inclusion would </w:t>
      </w:r>
    </w:p>
    <w:p w14:paraId="459CF768" w14:textId="77777777" w:rsidR="00373A9B" w:rsidRPr="00ED3B53" w:rsidRDefault="00373A9B" w:rsidP="00C04978">
      <w:pPr>
        <w:spacing w:after="0" w:line="240" w:lineRule="auto"/>
        <w:rPr>
          <w:b/>
          <w:bCs/>
        </w:rPr>
      </w:pPr>
      <w:r w:rsidRPr="00ED3B53">
        <w:rPr>
          <w:b/>
          <w:bCs/>
        </w:rPr>
        <w:t xml:space="preserve">help meet the SSES policy objectives and why the SSES technical framework is </w:t>
      </w:r>
    </w:p>
    <w:p w14:paraId="31CC309E" w14:textId="77777777" w:rsidR="00373A9B" w:rsidRPr="00ED3B53" w:rsidRDefault="00373A9B" w:rsidP="00C04978">
      <w:pPr>
        <w:spacing w:after="0" w:line="240" w:lineRule="auto"/>
        <w:rPr>
          <w:b/>
          <w:bCs/>
        </w:rPr>
      </w:pPr>
      <w:r w:rsidRPr="00ED3B53">
        <w:rPr>
          <w:b/>
          <w:bCs/>
        </w:rPr>
        <w:t>the best delivery mechanism.</w:t>
      </w:r>
    </w:p>
    <w:p w14:paraId="3994B5C4" w14:textId="77777777" w:rsidR="00C04978" w:rsidRDefault="00C04978" w:rsidP="00C04978">
      <w:pPr>
        <w:spacing w:after="0" w:line="240" w:lineRule="auto"/>
      </w:pPr>
    </w:p>
    <w:p w14:paraId="0171DD17" w14:textId="1AAEA8F6" w:rsidR="00373A9B" w:rsidRDefault="00373A9B" w:rsidP="00C04978">
      <w:pPr>
        <w:spacing w:after="0" w:line="240" w:lineRule="auto"/>
      </w:pPr>
      <w:r>
        <w:t>ETSI 303 645 is widely used in respect of solar PV, energy storage, etc.</w:t>
      </w:r>
    </w:p>
    <w:p w14:paraId="4B5737CD" w14:textId="77777777" w:rsidR="00C04978" w:rsidRDefault="00C04978" w:rsidP="00C04978">
      <w:pPr>
        <w:spacing w:after="0" w:line="240" w:lineRule="auto"/>
        <w:rPr>
          <w:b/>
          <w:bCs/>
        </w:rPr>
      </w:pPr>
    </w:p>
    <w:p w14:paraId="39E8968D" w14:textId="631F85A7" w:rsidR="002C281A" w:rsidRPr="00ED3B53" w:rsidRDefault="002C281A" w:rsidP="00C04978">
      <w:pPr>
        <w:spacing w:after="0" w:line="240" w:lineRule="auto"/>
        <w:rPr>
          <w:b/>
          <w:bCs/>
        </w:rPr>
      </w:pPr>
      <w:r w:rsidRPr="00ED3B53">
        <w:rPr>
          <w:b/>
          <w:bCs/>
        </w:rPr>
        <w:t>54.Do you agree with the overall model of technical governance? Can you suggest any existing governance that would be well suited to take on this function?</w:t>
      </w:r>
    </w:p>
    <w:p w14:paraId="0564E8DB" w14:textId="77777777" w:rsidR="00662C93" w:rsidRDefault="00662C93" w:rsidP="002C281A"/>
    <w:p w14:paraId="2AE47564" w14:textId="4750E4C3" w:rsidR="002C281A" w:rsidRDefault="00DB4CF8" w:rsidP="002C281A">
      <w:r>
        <w:t>We are supportive of the proposed technical governance approach</w:t>
      </w:r>
      <w:r w:rsidR="002C281A">
        <w:t>. It is important to make sure that affected parties can participate on an equal basis with the authorities.</w:t>
      </w:r>
    </w:p>
    <w:p w14:paraId="0BEE7F24" w14:textId="0194C492" w:rsidR="00604520" w:rsidRPr="00ED3B53" w:rsidRDefault="00604520" w:rsidP="00662C93">
      <w:pPr>
        <w:spacing w:after="0" w:line="240" w:lineRule="auto"/>
        <w:rPr>
          <w:b/>
          <w:bCs/>
        </w:rPr>
      </w:pPr>
      <w:r w:rsidRPr="00ED3B53">
        <w:rPr>
          <w:b/>
          <w:bCs/>
        </w:rPr>
        <w:t xml:space="preserve">55.Does this list capture all the necessary functions to deliver security governance? </w:t>
      </w:r>
      <w:r>
        <w:rPr>
          <w:b/>
          <w:bCs/>
        </w:rPr>
        <w:t xml:space="preserve"> </w:t>
      </w:r>
      <w:r w:rsidRPr="00ED3B53">
        <w:rPr>
          <w:b/>
          <w:bCs/>
        </w:rPr>
        <w:t>Are other functions needed?</w:t>
      </w:r>
    </w:p>
    <w:p w14:paraId="5D7D0A74" w14:textId="77777777" w:rsidR="00662C93" w:rsidRDefault="00662C93" w:rsidP="00662C93">
      <w:pPr>
        <w:spacing w:after="0" w:line="240" w:lineRule="auto"/>
      </w:pPr>
    </w:p>
    <w:p w14:paraId="50E48D40" w14:textId="6E6CC2E0" w:rsidR="00604520" w:rsidRDefault="00604520" w:rsidP="00662C93">
      <w:pPr>
        <w:spacing w:after="0" w:line="240" w:lineRule="auto"/>
      </w:pPr>
      <w:r>
        <w:t xml:space="preserve">We believe the list </w:t>
      </w:r>
      <w:r w:rsidR="006C2E98">
        <w:t xml:space="preserve">captures most of the necessary functions. </w:t>
      </w:r>
    </w:p>
    <w:p w14:paraId="50B57705" w14:textId="77777777" w:rsidR="00662C93" w:rsidRDefault="00662C93" w:rsidP="00662C93">
      <w:pPr>
        <w:spacing w:after="0" w:line="240" w:lineRule="auto"/>
      </w:pPr>
    </w:p>
    <w:p w14:paraId="579042F8" w14:textId="4D5B9299" w:rsidR="00604520" w:rsidRDefault="000748DD" w:rsidP="00604520">
      <w:r>
        <w:t>We note that i</w:t>
      </w:r>
      <w:r w:rsidR="00604520">
        <w:t xml:space="preserve">t could be useful to have a type test register wherein devices compliance certificates are registered and </w:t>
      </w:r>
      <w:r w:rsidR="006428AE">
        <w:t>assessed</w:t>
      </w:r>
      <w:r w:rsidR="00604520">
        <w:t xml:space="preserve">.  Energy storage systems, solar PV inverters and other devices are registered in this way. Costs could be kept low by adding any new requirements to the remit of the ENA Type Test Register which already exists.  </w:t>
      </w:r>
      <w:r w:rsidR="00966E85">
        <w:t>This</w:t>
      </w:r>
      <w:r w:rsidR="00047F31">
        <w:t xml:space="preserve"> is </w:t>
      </w:r>
      <w:r w:rsidR="00966E85">
        <w:t xml:space="preserve">already the case for </w:t>
      </w:r>
      <w:r w:rsidR="00604520">
        <w:t>energy storage devices confirming compliance with ETSI 303 645.</w:t>
      </w:r>
    </w:p>
    <w:p w14:paraId="5BDF254B" w14:textId="77777777" w:rsidR="00B967F6" w:rsidRPr="00165D70" w:rsidRDefault="00B967F6" w:rsidP="00B967F6">
      <w:pPr>
        <w:rPr>
          <w:rFonts w:ascii="Open Sans" w:hAnsi="Open Sans" w:cs="Open Sans"/>
          <w:b/>
          <w:bCs/>
          <w:sz w:val="22"/>
          <w:szCs w:val="22"/>
        </w:rPr>
      </w:pPr>
      <w:r w:rsidRPr="00165D70">
        <w:rPr>
          <w:rFonts w:ascii="Open Sans" w:hAnsi="Open Sans" w:cs="Open Sans"/>
          <w:b/>
          <w:bCs/>
          <w:sz w:val="22"/>
          <w:szCs w:val="22"/>
        </w:rPr>
        <w:t>56. Do you agree with the overall model of security governance? Can you suggest any existing governance that would be well suited to take on this function?</w:t>
      </w:r>
    </w:p>
    <w:p w14:paraId="1AA6A250" w14:textId="6CCF7CD4" w:rsidR="00B967F6" w:rsidRPr="00165D70" w:rsidRDefault="00B967F6" w:rsidP="00B967F6">
      <w:pPr>
        <w:rPr>
          <w:rFonts w:ascii="Open Sans" w:hAnsi="Open Sans" w:cs="Open Sans"/>
          <w:sz w:val="22"/>
          <w:szCs w:val="22"/>
        </w:rPr>
      </w:pPr>
      <w:r w:rsidRPr="00165D70">
        <w:rPr>
          <w:rFonts w:ascii="Open Sans" w:hAnsi="Open Sans" w:cs="Open Sans"/>
          <w:sz w:val="22"/>
          <w:szCs w:val="22"/>
        </w:rPr>
        <w:lastRenderedPageBreak/>
        <w:t xml:space="preserve">Yes, </w:t>
      </w:r>
      <w:r w:rsidR="00CA3E94">
        <w:rPr>
          <w:rFonts w:ascii="Open Sans" w:hAnsi="Open Sans" w:cs="Open Sans"/>
          <w:sz w:val="22"/>
          <w:szCs w:val="22"/>
        </w:rPr>
        <w:t>we support that, at least initially,</w:t>
      </w:r>
      <w:r w:rsidR="00F733DB">
        <w:rPr>
          <w:rFonts w:ascii="Open Sans" w:hAnsi="Open Sans" w:cs="Open Sans"/>
          <w:sz w:val="22"/>
          <w:szCs w:val="22"/>
        </w:rPr>
        <w:t xml:space="preserve"> </w:t>
      </w:r>
      <w:r w:rsidRPr="00165D70">
        <w:rPr>
          <w:rFonts w:ascii="Open Sans" w:hAnsi="Open Sans" w:cs="Open Sans"/>
          <w:sz w:val="22"/>
          <w:szCs w:val="22"/>
        </w:rPr>
        <w:t xml:space="preserve">Government </w:t>
      </w:r>
      <w:proofErr w:type="gramStart"/>
      <w:r w:rsidRPr="00165D70">
        <w:rPr>
          <w:rFonts w:ascii="Open Sans" w:hAnsi="Open Sans" w:cs="Open Sans"/>
          <w:sz w:val="22"/>
          <w:szCs w:val="22"/>
        </w:rPr>
        <w:t>are</w:t>
      </w:r>
      <w:proofErr w:type="gramEnd"/>
      <w:r w:rsidRPr="00165D70">
        <w:rPr>
          <w:rFonts w:ascii="Open Sans" w:hAnsi="Open Sans" w:cs="Open Sans"/>
          <w:sz w:val="22"/>
          <w:szCs w:val="22"/>
        </w:rPr>
        <w:t xml:space="preserve"> the </w:t>
      </w:r>
      <w:r w:rsidR="00CA3E94">
        <w:rPr>
          <w:rFonts w:ascii="Open Sans" w:hAnsi="Open Sans" w:cs="Open Sans"/>
          <w:sz w:val="22"/>
          <w:szCs w:val="22"/>
        </w:rPr>
        <w:t>chair</w:t>
      </w:r>
      <w:r w:rsidRPr="00165D70">
        <w:rPr>
          <w:rFonts w:ascii="Open Sans" w:hAnsi="Open Sans" w:cs="Open Sans"/>
          <w:sz w:val="22"/>
          <w:szCs w:val="22"/>
        </w:rPr>
        <w:t xml:space="preserve"> of the Security Governance Group and play an enduring role as the policy and risk owner. </w:t>
      </w:r>
      <w:r w:rsidR="00F733DB">
        <w:rPr>
          <w:rFonts w:ascii="Open Sans" w:hAnsi="Open Sans" w:cs="Open Sans"/>
          <w:sz w:val="22"/>
          <w:szCs w:val="22"/>
        </w:rPr>
        <w:t xml:space="preserve">This will also help to ensure that the </w:t>
      </w:r>
      <w:r w:rsidR="007A6762">
        <w:rPr>
          <w:rFonts w:ascii="Open Sans" w:hAnsi="Open Sans" w:cs="Open Sans"/>
          <w:sz w:val="22"/>
          <w:szCs w:val="22"/>
        </w:rPr>
        <w:t xml:space="preserve">Governance Group is aligned to </w:t>
      </w:r>
      <w:r w:rsidRPr="00165D70">
        <w:rPr>
          <w:rFonts w:ascii="Open Sans" w:hAnsi="Open Sans" w:cs="Open Sans"/>
          <w:sz w:val="22"/>
          <w:szCs w:val="22"/>
        </w:rPr>
        <w:t>departmental policy objective</w:t>
      </w:r>
      <w:r w:rsidR="007A6762">
        <w:rPr>
          <w:rFonts w:ascii="Open Sans" w:hAnsi="Open Sans" w:cs="Open Sans"/>
          <w:sz w:val="22"/>
          <w:szCs w:val="22"/>
        </w:rPr>
        <w:t>s</w:t>
      </w:r>
      <w:r w:rsidRPr="00165D70">
        <w:rPr>
          <w:rFonts w:ascii="Open Sans" w:hAnsi="Open Sans" w:cs="Open Sans"/>
          <w:sz w:val="22"/>
          <w:szCs w:val="22"/>
        </w:rPr>
        <w:t xml:space="preserve">. </w:t>
      </w:r>
      <w:r w:rsidR="007A6762">
        <w:rPr>
          <w:rFonts w:ascii="Open Sans" w:hAnsi="Open Sans" w:cs="Open Sans"/>
          <w:sz w:val="22"/>
          <w:szCs w:val="22"/>
        </w:rPr>
        <w:t xml:space="preserve">However, overtime it may be appropriate to consider whether the chair role should be taken on by an independent </w:t>
      </w:r>
      <w:proofErr w:type="gramStart"/>
      <w:r w:rsidR="007A6762">
        <w:rPr>
          <w:rFonts w:ascii="Open Sans" w:hAnsi="Open Sans" w:cs="Open Sans"/>
          <w:sz w:val="22"/>
          <w:szCs w:val="22"/>
        </w:rPr>
        <w:t xml:space="preserve">body </w:t>
      </w:r>
      <w:r w:rsidRPr="00165D70">
        <w:rPr>
          <w:rFonts w:ascii="Open Sans" w:hAnsi="Open Sans" w:cs="Open Sans"/>
          <w:sz w:val="22"/>
          <w:szCs w:val="22"/>
        </w:rPr>
        <w:t xml:space="preserve"> </w:t>
      </w:r>
      <w:r w:rsidR="007A6762">
        <w:rPr>
          <w:rFonts w:ascii="Open Sans" w:hAnsi="Open Sans" w:cs="Open Sans"/>
          <w:sz w:val="22"/>
          <w:szCs w:val="22"/>
        </w:rPr>
        <w:t>such</w:t>
      </w:r>
      <w:proofErr w:type="gramEnd"/>
      <w:r w:rsidR="007A6762">
        <w:rPr>
          <w:rFonts w:ascii="Open Sans" w:hAnsi="Open Sans" w:cs="Open Sans"/>
          <w:sz w:val="22"/>
          <w:szCs w:val="22"/>
        </w:rPr>
        <w:t xml:space="preserve"> as </w:t>
      </w:r>
      <w:r w:rsidRPr="00165D70">
        <w:rPr>
          <w:rFonts w:ascii="Open Sans" w:hAnsi="Open Sans" w:cs="Open Sans"/>
          <w:sz w:val="22"/>
          <w:szCs w:val="22"/>
        </w:rPr>
        <w:t>Ofgem or NESO</w:t>
      </w:r>
      <w:r w:rsidR="00452301">
        <w:rPr>
          <w:rFonts w:ascii="Open Sans" w:hAnsi="Open Sans" w:cs="Open Sans"/>
          <w:sz w:val="22"/>
          <w:szCs w:val="22"/>
        </w:rPr>
        <w:t>,</w:t>
      </w:r>
      <w:r w:rsidRPr="00165D70">
        <w:rPr>
          <w:rFonts w:ascii="Open Sans" w:hAnsi="Open Sans" w:cs="Open Sans"/>
          <w:sz w:val="22"/>
          <w:szCs w:val="22"/>
        </w:rPr>
        <w:t xml:space="preserve"> who should also be permanent members of the group, so that there is long term stability and certainty.</w:t>
      </w:r>
    </w:p>
    <w:p w14:paraId="05AD9867" w14:textId="2EF84BA8" w:rsidR="00B967F6" w:rsidRPr="00165D70" w:rsidRDefault="00B967F6" w:rsidP="00B967F6">
      <w:pPr>
        <w:rPr>
          <w:rFonts w:ascii="Open Sans" w:hAnsi="Open Sans" w:cs="Open Sans"/>
          <w:sz w:val="22"/>
          <w:szCs w:val="22"/>
        </w:rPr>
      </w:pPr>
      <w:r w:rsidRPr="00165D70">
        <w:rPr>
          <w:rFonts w:ascii="Open Sans" w:hAnsi="Open Sans" w:cs="Open Sans"/>
          <w:sz w:val="22"/>
          <w:szCs w:val="22"/>
        </w:rPr>
        <w:t xml:space="preserve">Having the NESO as permanent members </w:t>
      </w:r>
      <w:r w:rsidR="00452301">
        <w:rPr>
          <w:rFonts w:ascii="Open Sans" w:hAnsi="Open Sans" w:cs="Open Sans"/>
          <w:sz w:val="22"/>
          <w:szCs w:val="22"/>
        </w:rPr>
        <w:t xml:space="preserve">will also ensure </w:t>
      </w:r>
      <w:proofErr w:type="spellStart"/>
      <w:r w:rsidR="00452301">
        <w:rPr>
          <w:rFonts w:ascii="Open Sans" w:hAnsi="Open Sans" w:cs="Open Sans"/>
          <w:sz w:val="22"/>
          <w:szCs w:val="22"/>
        </w:rPr>
        <w:t>alignmen</w:t>
      </w:r>
      <w:proofErr w:type="spellEnd"/>
      <w:r w:rsidR="00452301">
        <w:rPr>
          <w:rFonts w:ascii="Open Sans" w:hAnsi="Open Sans" w:cs="Open Sans"/>
          <w:sz w:val="22"/>
          <w:szCs w:val="22"/>
        </w:rPr>
        <w:t xml:space="preserve"> with the developm</w:t>
      </w:r>
      <w:r w:rsidR="008167C4">
        <w:rPr>
          <w:rFonts w:ascii="Open Sans" w:hAnsi="Open Sans" w:cs="Open Sans"/>
          <w:sz w:val="22"/>
          <w:szCs w:val="22"/>
        </w:rPr>
        <w:t>en</w:t>
      </w:r>
      <w:r w:rsidR="00452301">
        <w:rPr>
          <w:rFonts w:ascii="Open Sans" w:hAnsi="Open Sans" w:cs="Open Sans"/>
          <w:sz w:val="22"/>
          <w:szCs w:val="22"/>
        </w:rPr>
        <w:t xml:space="preserve">t of the </w:t>
      </w:r>
      <w:r w:rsidRPr="00165D70">
        <w:rPr>
          <w:rFonts w:ascii="Open Sans" w:hAnsi="Open Sans" w:cs="Open Sans"/>
          <w:sz w:val="22"/>
          <w:szCs w:val="22"/>
        </w:rPr>
        <w:t xml:space="preserve">Strategic Spatial Energy Plan (SSEP) that fully </w:t>
      </w:r>
      <w:proofErr w:type="gramStart"/>
      <w:r w:rsidRPr="00165D70">
        <w:rPr>
          <w:rFonts w:ascii="Open Sans" w:hAnsi="Open Sans" w:cs="Open Sans"/>
          <w:sz w:val="22"/>
          <w:szCs w:val="22"/>
        </w:rPr>
        <w:t>takes into account</w:t>
      </w:r>
      <w:proofErr w:type="gramEnd"/>
      <w:r w:rsidRPr="00165D70">
        <w:rPr>
          <w:rFonts w:ascii="Open Sans" w:hAnsi="Open Sans" w:cs="Open Sans"/>
          <w:sz w:val="22"/>
          <w:szCs w:val="22"/>
        </w:rPr>
        <w:t xml:space="preserve"> the complete capabilities of the existing grid and the enhancements to the grid needed, based around decentralised energy systems, especially with the emergence of </w:t>
      </w:r>
      <w:r w:rsidR="008167C4">
        <w:rPr>
          <w:rFonts w:ascii="Open Sans" w:hAnsi="Open Sans" w:cs="Open Sans"/>
          <w:sz w:val="22"/>
          <w:szCs w:val="22"/>
        </w:rPr>
        <w:t>ESAs</w:t>
      </w:r>
      <w:r w:rsidRPr="00165D70">
        <w:rPr>
          <w:rFonts w:ascii="Open Sans" w:hAnsi="Open Sans" w:cs="Open Sans"/>
          <w:sz w:val="22"/>
          <w:szCs w:val="22"/>
        </w:rPr>
        <w:t>. Also, as mentioned NESO would be able to provide a holistic view of the domestic-scale Demand Side Response and how its risks fit into the larger electricity system.</w:t>
      </w:r>
    </w:p>
    <w:p w14:paraId="6FBC69E0" w14:textId="2FE55AFD" w:rsidR="00B967F6" w:rsidRPr="00165D70" w:rsidRDefault="00B967F6" w:rsidP="00B967F6">
      <w:pPr>
        <w:rPr>
          <w:rFonts w:ascii="Open Sans" w:hAnsi="Open Sans" w:cs="Open Sans"/>
          <w:sz w:val="22"/>
          <w:szCs w:val="22"/>
        </w:rPr>
      </w:pPr>
      <w:r w:rsidRPr="00165D70">
        <w:rPr>
          <w:rFonts w:ascii="Open Sans" w:hAnsi="Open Sans" w:cs="Open Sans"/>
          <w:sz w:val="22"/>
          <w:szCs w:val="22"/>
        </w:rPr>
        <w:t xml:space="preserve">It is also crucial that the industry expert stakeholders in the group includes large trade bodies, like the REA, that represent </w:t>
      </w:r>
      <w:proofErr w:type="gramStart"/>
      <w:r w:rsidR="00574C7D">
        <w:rPr>
          <w:rFonts w:ascii="Open Sans" w:hAnsi="Open Sans" w:cs="Open Sans"/>
          <w:sz w:val="22"/>
          <w:szCs w:val="22"/>
        </w:rPr>
        <w:t>the majority of</w:t>
      </w:r>
      <w:proofErr w:type="gramEnd"/>
      <w:r w:rsidR="00574C7D">
        <w:rPr>
          <w:rFonts w:ascii="Open Sans" w:hAnsi="Open Sans" w:cs="Open Sans"/>
          <w:sz w:val="22"/>
          <w:szCs w:val="22"/>
        </w:rPr>
        <w:t xml:space="preserve"> the </w:t>
      </w:r>
      <w:r w:rsidRPr="00165D70">
        <w:rPr>
          <w:rFonts w:ascii="Open Sans" w:hAnsi="Open Sans" w:cs="Open Sans"/>
          <w:sz w:val="22"/>
          <w:szCs w:val="22"/>
        </w:rPr>
        <w:t xml:space="preserve">sector and will </w:t>
      </w:r>
      <w:r w:rsidR="00574C7D">
        <w:rPr>
          <w:rFonts w:ascii="Open Sans" w:hAnsi="Open Sans" w:cs="Open Sans"/>
          <w:sz w:val="22"/>
          <w:szCs w:val="22"/>
        </w:rPr>
        <w:t xml:space="preserve">be able to coordinate </w:t>
      </w:r>
      <w:r w:rsidR="003A65EC">
        <w:rPr>
          <w:rFonts w:ascii="Open Sans" w:hAnsi="Open Sans" w:cs="Open Sans"/>
          <w:sz w:val="22"/>
          <w:szCs w:val="22"/>
        </w:rPr>
        <w:t xml:space="preserve">opinions from their members. </w:t>
      </w:r>
    </w:p>
    <w:p w14:paraId="10B0B5F6" w14:textId="77777777" w:rsidR="00B967F6" w:rsidRPr="00165D70" w:rsidRDefault="00B967F6" w:rsidP="00B967F6">
      <w:pPr>
        <w:rPr>
          <w:rFonts w:ascii="Open Sans" w:hAnsi="Open Sans" w:cs="Open Sans"/>
          <w:b/>
          <w:bCs/>
          <w:sz w:val="22"/>
          <w:szCs w:val="22"/>
        </w:rPr>
      </w:pPr>
      <w:r w:rsidRPr="00165D70">
        <w:rPr>
          <w:rFonts w:ascii="Open Sans" w:hAnsi="Open Sans" w:cs="Open Sans"/>
          <w:b/>
          <w:bCs/>
          <w:sz w:val="22"/>
          <w:szCs w:val="22"/>
        </w:rPr>
        <w:t>57. Do you agree that electricity network licence holders are best placed to meet certain costs of setting up and maintaining technical and security frameworks during the Transition Phase? Please explain your answer.</w:t>
      </w:r>
    </w:p>
    <w:p w14:paraId="6641525E" w14:textId="707D693C" w:rsidR="00B967F6" w:rsidRPr="00165D70" w:rsidRDefault="00B967F6" w:rsidP="00B967F6">
      <w:pPr>
        <w:rPr>
          <w:rFonts w:ascii="Open Sans" w:hAnsi="Open Sans" w:cs="Open Sans"/>
          <w:sz w:val="22"/>
          <w:szCs w:val="22"/>
        </w:rPr>
      </w:pPr>
      <w:proofErr w:type="gramStart"/>
      <w:r w:rsidRPr="00165D70">
        <w:rPr>
          <w:rFonts w:ascii="Open Sans" w:hAnsi="Open Sans" w:cs="Open Sans"/>
          <w:sz w:val="22"/>
          <w:szCs w:val="22"/>
        </w:rPr>
        <w:t xml:space="preserve">Yes, </w:t>
      </w:r>
      <w:r w:rsidR="003A65EC">
        <w:rPr>
          <w:rFonts w:ascii="Open Sans" w:hAnsi="Open Sans" w:cs="Open Sans"/>
          <w:sz w:val="22"/>
          <w:szCs w:val="22"/>
        </w:rPr>
        <w:t xml:space="preserve"> we</w:t>
      </w:r>
      <w:proofErr w:type="gramEnd"/>
      <w:r w:rsidR="003A65EC">
        <w:rPr>
          <w:rFonts w:ascii="Open Sans" w:hAnsi="Open Sans" w:cs="Open Sans"/>
          <w:sz w:val="22"/>
          <w:szCs w:val="22"/>
        </w:rPr>
        <w:t xml:space="preserve"> believe that </w:t>
      </w:r>
      <w:r w:rsidRPr="00165D70">
        <w:rPr>
          <w:rFonts w:ascii="Open Sans" w:hAnsi="Open Sans" w:cs="Open Sans"/>
          <w:sz w:val="22"/>
          <w:szCs w:val="22"/>
        </w:rPr>
        <w:t xml:space="preserve">electricity network licence holders would </w:t>
      </w:r>
      <w:r w:rsidR="003D05AB">
        <w:rPr>
          <w:rFonts w:ascii="Open Sans" w:hAnsi="Open Sans" w:cs="Open Sans"/>
          <w:sz w:val="22"/>
          <w:szCs w:val="22"/>
        </w:rPr>
        <w:t xml:space="preserve">be best placed to </w:t>
      </w:r>
      <w:r w:rsidR="00C46139">
        <w:rPr>
          <w:rFonts w:ascii="Open Sans" w:hAnsi="Open Sans" w:cs="Open Sans"/>
          <w:sz w:val="22"/>
          <w:szCs w:val="22"/>
        </w:rPr>
        <w:t>mee</w:t>
      </w:r>
      <w:r w:rsidR="003C5022">
        <w:rPr>
          <w:rFonts w:ascii="Open Sans" w:hAnsi="Open Sans" w:cs="Open Sans"/>
          <w:sz w:val="22"/>
          <w:szCs w:val="22"/>
        </w:rPr>
        <w:t>t</w:t>
      </w:r>
      <w:r w:rsidR="00C46139">
        <w:rPr>
          <w:rFonts w:ascii="Open Sans" w:hAnsi="Open Sans" w:cs="Open Sans"/>
          <w:sz w:val="22"/>
          <w:szCs w:val="22"/>
        </w:rPr>
        <w:t xml:space="preserve"> certain costs of setting up and maintaining technical and security frameworks. It is recognised that they will</w:t>
      </w:r>
      <w:r w:rsidR="009E10DF">
        <w:rPr>
          <w:rFonts w:ascii="Open Sans" w:hAnsi="Open Sans" w:cs="Open Sans"/>
          <w:sz w:val="22"/>
          <w:szCs w:val="22"/>
        </w:rPr>
        <w:t xml:space="preserve"> benefit from ensuring </w:t>
      </w:r>
      <w:r w:rsidR="009E10DF" w:rsidRPr="00165D70">
        <w:rPr>
          <w:rFonts w:ascii="Open Sans" w:hAnsi="Open Sans" w:cs="Open Sans"/>
          <w:sz w:val="22"/>
          <w:szCs w:val="22"/>
        </w:rPr>
        <w:t>the</w:t>
      </w:r>
      <w:r w:rsidRPr="00165D70">
        <w:rPr>
          <w:rFonts w:ascii="Open Sans" w:hAnsi="Open Sans" w:cs="Open Sans"/>
          <w:sz w:val="22"/>
          <w:szCs w:val="22"/>
        </w:rPr>
        <w:t xml:space="preserve"> right technical and security frameworks are put in place so that the integrity of their networks </w:t>
      </w:r>
      <w:r w:rsidR="001A7D48" w:rsidRPr="00165D70">
        <w:rPr>
          <w:rFonts w:ascii="Open Sans" w:hAnsi="Open Sans" w:cs="Open Sans"/>
          <w:sz w:val="22"/>
          <w:szCs w:val="22"/>
        </w:rPr>
        <w:t>is</w:t>
      </w:r>
      <w:r w:rsidRPr="00165D70">
        <w:rPr>
          <w:rFonts w:ascii="Open Sans" w:hAnsi="Open Sans" w:cs="Open Sans"/>
          <w:sz w:val="22"/>
          <w:szCs w:val="22"/>
        </w:rPr>
        <w:t xml:space="preserve"> not compromised</w:t>
      </w:r>
      <w:r w:rsidR="009E10DF">
        <w:rPr>
          <w:rFonts w:ascii="Open Sans" w:hAnsi="Open Sans" w:cs="Open Sans"/>
          <w:sz w:val="22"/>
          <w:szCs w:val="22"/>
        </w:rPr>
        <w:t>, while also having the ability to pass on costs to wider market participants</w:t>
      </w:r>
      <w:r w:rsidRPr="00165D70">
        <w:rPr>
          <w:rFonts w:ascii="Open Sans" w:hAnsi="Open Sans" w:cs="Open Sans"/>
          <w:sz w:val="22"/>
          <w:szCs w:val="22"/>
        </w:rPr>
        <w:t xml:space="preserve">. Also, many electricity network licence holders have in their plans to incorporate a much wider scope of flexibility to assist with grid stability and negate the need to build additional grid infrastructure. </w:t>
      </w:r>
    </w:p>
    <w:p w14:paraId="7AD69A20" w14:textId="3C344365" w:rsidR="007B38A4" w:rsidRDefault="00B967F6" w:rsidP="00B967F6">
      <w:pPr>
        <w:rPr>
          <w:rFonts w:ascii="Open Sans" w:hAnsi="Open Sans" w:cs="Open Sans"/>
          <w:sz w:val="22"/>
          <w:szCs w:val="22"/>
        </w:rPr>
      </w:pPr>
      <w:r w:rsidRPr="00165D70">
        <w:rPr>
          <w:rFonts w:ascii="Open Sans" w:hAnsi="Open Sans" w:cs="Open Sans"/>
          <w:sz w:val="22"/>
          <w:szCs w:val="22"/>
        </w:rPr>
        <w:t>Therefore, having good technical and security frameworks in place to assist with further adoption of domestic level smart ESA</w:t>
      </w:r>
      <w:r w:rsidR="007B38A4">
        <w:rPr>
          <w:rFonts w:ascii="Open Sans" w:hAnsi="Open Sans" w:cs="Open Sans"/>
          <w:sz w:val="22"/>
          <w:szCs w:val="22"/>
        </w:rPr>
        <w:t xml:space="preserve"> will also in the medium to long run drive savings </w:t>
      </w:r>
      <w:r w:rsidR="00C64696">
        <w:rPr>
          <w:rFonts w:ascii="Open Sans" w:hAnsi="Open Sans" w:cs="Open Sans"/>
          <w:sz w:val="22"/>
          <w:szCs w:val="22"/>
        </w:rPr>
        <w:t xml:space="preserve">through </w:t>
      </w:r>
      <w:r w:rsidR="000E194D">
        <w:rPr>
          <w:rFonts w:ascii="Open Sans" w:hAnsi="Open Sans" w:cs="Open Sans"/>
          <w:sz w:val="22"/>
          <w:szCs w:val="22"/>
        </w:rPr>
        <w:t>maximises the use of existing infrastructure and reduce</w:t>
      </w:r>
      <w:r w:rsidR="00C64696">
        <w:rPr>
          <w:rFonts w:ascii="Open Sans" w:hAnsi="Open Sans" w:cs="Open Sans"/>
          <w:sz w:val="22"/>
          <w:szCs w:val="22"/>
        </w:rPr>
        <w:t xml:space="preserve"> the level of new grid infrastructure inevitably required. </w:t>
      </w:r>
    </w:p>
    <w:p w14:paraId="4250882D" w14:textId="30378961" w:rsidR="003D52D5" w:rsidRDefault="003D52D5" w:rsidP="00B967F6">
      <w:pPr>
        <w:rPr>
          <w:rFonts w:ascii="Open Sans" w:hAnsi="Open Sans" w:cs="Open Sans"/>
          <w:sz w:val="22"/>
          <w:szCs w:val="22"/>
        </w:rPr>
      </w:pPr>
      <w:r>
        <w:rPr>
          <w:rFonts w:ascii="Open Sans" w:hAnsi="Open Sans" w:cs="Open Sans"/>
          <w:sz w:val="22"/>
          <w:szCs w:val="22"/>
        </w:rPr>
        <w:t>G</w:t>
      </w:r>
      <w:r w:rsidR="0027719C">
        <w:rPr>
          <w:rFonts w:ascii="Open Sans" w:hAnsi="Open Sans" w:cs="Open Sans"/>
          <w:sz w:val="22"/>
          <w:szCs w:val="22"/>
        </w:rPr>
        <w:t>i</w:t>
      </w:r>
      <w:r>
        <w:rPr>
          <w:rFonts w:ascii="Open Sans" w:hAnsi="Open Sans" w:cs="Open Sans"/>
          <w:sz w:val="22"/>
          <w:szCs w:val="22"/>
        </w:rPr>
        <w:t xml:space="preserve">ven the above, we also note that ESA assets to </w:t>
      </w:r>
      <w:r w:rsidR="009142BA">
        <w:rPr>
          <w:rFonts w:ascii="Open Sans" w:hAnsi="Open Sans" w:cs="Open Sans"/>
          <w:sz w:val="22"/>
          <w:szCs w:val="22"/>
        </w:rPr>
        <w:t>date</w:t>
      </w:r>
      <w:r>
        <w:rPr>
          <w:rFonts w:ascii="Open Sans" w:hAnsi="Open Sans" w:cs="Open Sans"/>
          <w:sz w:val="22"/>
          <w:szCs w:val="22"/>
        </w:rPr>
        <w:t xml:space="preserve"> have been under rewarded for the services benefits they provide to the grid and wider infrastructure</w:t>
      </w:r>
      <w:r w:rsidR="00002E83">
        <w:rPr>
          <w:rFonts w:ascii="Open Sans" w:hAnsi="Open Sans" w:cs="Open Sans"/>
          <w:sz w:val="22"/>
          <w:szCs w:val="22"/>
        </w:rPr>
        <w:t xml:space="preserve">. Adding any additional cost therefore must also be met with market reward that makes the installation of regulated ESA assets </w:t>
      </w:r>
      <w:r w:rsidR="009142BA">
        <w:rPr>
          <w:rFonts w:ascii="Open Sans" w:hAnsi="Open Sans" w:cs="Open Sans"/>
          <w:sz w:val="22"/>
          <w:szCs w:val="22"/>
        </w:rPr>
        <w:t xml:space="preserve">worthwhile. </w:t>
      </w:r>
    </w:p>
    <w:p w14:paraId="592C38F6" w14:textId="77777777" w:rsidR="00270508" w:rsidRDefault="00270508" w:rsidP="00B967F6">
      <w:pPr>
        <w:rPr>
          <w:rFonts w:ascii="Open Sans" w:hAnsi="Open Sans" w:cs="Open Sans"/>
          <w:sz w:val="22"/>
          <w:szCs w:val="22"/>
        </w:rPr>
      </w:pPr>
    </w:p>
    <w:p w14:paraId="563556E4" w14:textId="42F2F098" w:rsidR="00D32AAA" w:rsidRPr="00D32AAA" w:rsidRDefault="00270508" w:rsidP="00024C45">
      <w:pPr>
        <w:jc w:val="right"/>
      </w:pPr>
      <w:r w:rsidRPr="00270508">
        <w:rPr>
          <w:rFonts w:ascii="Open Sans" w:hAnsi="Open Sans" w:cs="Open Sans"/>
          <w:b/>
          <w:bCs/>
          <w:sz w:val="22"/>
          <w:szCs w:val="22"/>
        </w:rPr>
        <w:t>June 2024</w:t>
      </w:r>
    </w:p>
    <w:sectPr w:rsidR="00D32AAA" w:rsidRPr="00D32AAA" w:rsidSect="00D32AAA">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15BD8" w14:textId="77777777" w:rsidR="00254815" w:rsidRDefault="00254815" w:rsidP="00A5487F">
      <w:pPr>
        <w:spacing w:after="0" w:line="240" w:lineRule="auto"/>
      </w:pPr>
      <w:r>
        <w:separator/>
      </w:r>
    </w:p>
  </w:endnote>
  <w:endnote w:type="continuationSeparator" w:id="0">
    <w:p w14:paraId="39032696" w14:textId="77777777" w:rsidR="00254815" w:rsidRDefault="00254815" w:rsidP="00A5487F">
      <w:pPr>
        <w:spacing w:after="0" w:line="240" w:lineRule="auto"/>
      </w:pPr>
      <w:r>
        <w:continuationSeparator/>
      </w:r>
    </w:p>
  </w:endnote>
  <w:endnote w:type="continuationNotice" w:id="1">
    <w:p w14:paraId="233647DA" w14:textId="77777777" w:rsidR="00254815" w:rsidRDefault="00254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319579"/>
      <w:docPartObj>
        <w:docPartGallery w:val="Page Numbers (Bottom of Page)"/>
        <w:docPartUnique/>
      </w:docPartObj>
    </w:sdtPr>
    <w:sdtEndPr>
      <w:rPr>
        <w:rFonts w:ascii="Open Sans" w:hAnsi="Open Sans" w:cs="Open Sans"/>
        <w:b/>
        <w:bCs/>
        <w:sz w:val="22"/>
        <w:szCs w:val="22"/>
      </w:rPr>
    </w:sdtEndPr>
    <w:sdtContent>
      <w:p w14:paraId="2B69B70F" w14:textId="55A28C5E" w:rsidR="00D32AAA" w:rsidRPr="00C125CA" w:rsidRDefault="00D32AAA">
        <w:pPr>
          <w:pStyle w:val="Footer"/>
          <w:jc w:val="right"/>
          <w:rPr>
            <w:rFonts w:ascii="Open Sans" w:hAnsi="Open Sans" w:cs="Open Sans"/>
            <w:b/>
            <w:bCs/>
            <w:sz w:val="22"/>
            <w:szCs w:val="22"/>
          </w:rPr>
        </w:pPr>
        <w:r w:rsidRPr="00C125CA">
          <w:rPr>
            <w:rFonts w:ascii="Open Sans" w:hAnsi="Open Sans" w:cs="Open Sans"/>
            <w:b/>
            <w:bCs/>
            <w:sz w:val="22"/>
            <w:szCs w:val="22"/>
          </w:rPr>
          <w:fldChar w:fldCharType="begin"/>
        </w:r>
        <w:r w:rsidRPr="00C125CA">
          <w:rPr>
            <w:rFonts w:ascii="Open Sans" w:hAnsi="Open Sans" w:cs="Open Sans"/>
            <w:b/>
            <w:bCs/>
            <w:sz w:val="22"/>
            <w:szCs w:val="22"/>
          </w:rPr>
          <w:instrText>PAGE   \* MERGEFORMAT</w:instrText>
        </w:r>
        <w:r w:rsidRPr="00C125CA">
          <w:rPr>
            <w:rFonts w:ascii="Open Sans" w:hAnsi="Open Sans" w:cs="Open Sans"/>
            <w:b/>
            <w:bCs/>
            <w:sz w:val="22"/>
            <w:szCs w:val="22"/>
          </w:rPr>
          <w:fldChar w:fldCharType="separate"/>
        </w:r>
        <w:r w:rsidRPr="00C125CA">
          <w:rPr>
            <w:rFonts w:ascii="Open Sans" w:hAnsi="Open Sans" w:cs="Open Sans"/>
            <w:b/>
            <w:bCs/>
            <w:sz w:val="22"/>
            <w:szCs w:val="22"/>
          </w:rPr>
          <w:t>2</w:t>
        </w:r>
        <w:r w:rsidRPr="00C125CA">
          <w:rPr>
            <w:rFonts w:ascii="Open Sans" w:hAnsi="Open Sans" w:cs="Open Sans"/>
            <w:b/>
            <w:bCs/>
            <w:sz w:val="22"/>
            <w:szCs w:val="22"/>
          </w:rPr>
          <w:fldChar w:fldCharType="end"/>
        </w:r>
      </w:p>
    </w:sdtContent>
  </w:sdt>
  <w:p w14:paraId="417423EE" w14:textId="77777777" w:rsidR="00D32AAA" w:rsidRDefault="00D32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B196" w14:textId="77777777" w:rsidR="00C125CA" w:rsidRPr="00C125CA" w:rsidRDefault="00C125CA" w:rsidP="00C125CA">
    <w:pPr>
      <w:tabs>
        <w:tab w:val="center" w:pos="3402"/>
        <w:tab w:val="right" w:pos="9072"/>
      </w:tabs>
      <w:spacing w:after="0" w:line="240" w:lineRule="auto"/>
      <w:jc w:val="both"/>
      <w:rPr>
        <w:rFonts w:ascii="avant garde" w:eastAsia="Times New Roman" w:hAnsi="avant garde" w:cs="Arial"/>
        <w:color w:val="999999"/>
        <w:kern w:val="0"/>
        <w:sz w:val="16"/>
        <w14:ligatures w14:val="none"/>
      </w:rPr>
    </w:pPr>
    <w:r w:rsidRPr="00C125CA">
      <w:rPr>
        <w:rFonts w:ascii="avant garde" w:eastAsia="Times New Roman" w:hAnsi="avant garde" w:cs="Arial"/>
        <w:color w:val="999999"/>
        <w:kern w:val="0"/>
        <w:sz w:val="16"/>
        <w14:ligatures w14:val="none"/>
      </w:rPr>
      <w:t>York House,</w:t>
    </w:r>
    <w:r w:rsidRPr="00C125CA">
      <w:rPr>
        <w:rFonts w:ascii="avant garde" w:eastAsia="Times New Roman" w:hAnsi="avant garde" w:cs="Arial"/>
        <w:color w:val="999999"/>
        <w:kern w:val="0"/>
        <w:sz w:val="16"/>
        <w14:ligatures w14:val="none"/>
      </w:rPr>
      <w:tab/>
      <w:t xml:space="preserve">                 Tel: 020 7925 3570</w:t>
    </w:r>
    <w:r w:rsidRPr="00C125CA">
      <w:rPr>
        <w:rFonts w:ascii="avant garde" w:eastAsia="Times New Roman" w:hAnsi="avant garde" w:cs="Arial"/>
        <w:color w:val="999999"/>
        <w:kern w:val="0"/>
        <w:sz w:val="16"/>
        <w14:ligatures w14:val="none"/>
      </w:rPr>
      <w:tab/>
    </w:r>
    <w:hyperlink r:id="rId1" w:history="1">
      <w:r w:rsidRPr="00C125CA">
        <w:rPr>
          <w:rFonts w:ascii="avant garde" w:eastAsia="Times New Roman" w:hAnsi="avant garde" w:cs="Times New Roman"/>
          <w:color w:val="0000FF"/>
          <w:kern w:val="0"/>
          <w:sz w:val="16"/>
          <w:u w:val="single"/>
          <w14:ligatures w14:val="none"/>
        </w:rPr>
        <w:t>http://www.r-e-a.net/</w:t>
      </w:r>
    </w:hyperlink>
  </w:p>
  <w:p w14:paraId="39E9AC6C" w14:textId="77777777" w:rsidR="00C125CA" w:rsidRPr="00C125CA" w:rsidRDefault="00C125CA" w:rsidP="00C125CA">
    <w:pPr>
      <w:spacing w:after="0" w:line="240" w:lineRule="auto"/>
      <w:jc w:val="both"/>
      <w:rPr>
        <w:rFonts w:ascii="avant garde" w:eastAsia="Times New Roman" w:hAnsi="avant garde" w:cs="Arial"/>
        <w:color w:val="999999"/>
        <w:kern w:val="0"/>
        <w:sz w:val="16"/>
        <w14:ligatures w14:val="none"/>
      </w:rPr>
    </w:pPr>
    <w:r w:rsidRPr="00C125CA">
      <w:rPr>
        <w:rFonts w:ascii="avant garde" w:eastAsia="Times New Roman" w:hAnsi="avant garde" w:cs="Arial"/>
        <w:color w:val="999999"/>
        <w:kern w:val="0"/>
        <w:sz w:val="16"/>
        <w14:ligatures w14:val="none"/>
      </w:rPr>
      <w:t>23 Kingsway</w:t>
    </w:r>
  </w:p>
  <w:p w14:paraId="54887869" w14:textId="77777777" w:rsidR="00C125CA" w:rsidRPr="00C125CA" w:rsidRDefault="00C125CA" w:rsidP="00C125CA">
    <w:pPr>
      <w:spacing w:after="0" w:line="240" w:lineRule="auto"/>
      <w:jc w:val="both"/>
      <w:rPr>
        <w:rFonts w:ascii="avant garde" w:eastAsia="Times New Roman" w:hAnsi="avant garde" w:cs="Arial"/>
        <w:color w:val="999999"/>
        <w:kern w:val="0"/>
        <w:sz w:val="16"/>
        <w14:ligatures w14:val="none"/>
      </w:rPr>
    </w:pPr>
    <w:r w:rsidRPr="00C125CA">
      <w:rPr>
        <w:rFonts w:ascii="avant garde" w:eastAsia="Times New Roman" w:hAnsi="avant garde" w:cs="Arial"/>
        <w:color w:val="999999"/>
        <w:kern w:val="0"/>
        <w:sz w:val="16"/>
        <w14:ligatures w14:val="none"/>
      </w:rPr>
      <w:t xml:space="preserve">London, WC2B 6UJ  </w:t>
    </w:r>
  </w:p>
  <w:p w14:paraId="427193F2" w14:textId="77777777" w:rsidR="00C125CA" w:rsidRDefault="00C1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9BC89" w14:textId="77777777" w:rsidR="00254815" w:rsidRDefault="00254815" w:rsidP="00A5487F">
      <w:pPr>
        <w:spacing w:after="0" w:line="240" w:lineRule="auto"/>
      </w:pPr>
      <w:r>
        <w:separator/>
      </w:r>
    </w:p>
  </w:footnote>
  <w:footnote w:type="continuationSeparator" w:id="0">
    <w:p w14:paraId="152C5B20" w14:textId="77777777" w:rsidR="00254815" w:rsidRDefault="00254815" w:rsidP="00A5487F">
      <w:pPr>
        <w:spacing w:after="0" w:line="240" w:lineRule="auto"/>
      </w:pPr>
      <w:r>
        <w:continuationSeparator/>
      </w:r>
    </w:p>
  </w:footnote>
  <w:footnote w:type="continuationNotice" w:id="1">
    <w:p w14:paraId="4DD246E9" w14:textId="77777777" w:rsidR="00254815" w:rsidRDefault="00254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3653" w14:textId="63A14E8C" w:rsidR="00A5487F" w:rsidRPr="00543FCC" w:rsidRDefault="00863C6D" w:rsidP="00650DFC">
    <w:pPr>
      <w:pStyle w:val="Header"/>
      <w:jc w:val="center"/>
      <w:rPr>
        <w:rFonts w:ascii="Open Sans" w:hAnsi="Open Sans" w:cs="Open Sans"/>
        <w:b/>
        <w:bCs/>
        <w:color w:val="06926B"/>
        <w:sz w:val="20"/>
        <w:szCs w:val="20"/>
      </w:rPr>
    </w:pPr>
    <w:r w:rsidRPr="00543FCC">
      <w:rPr>
        <w:rFonts w:ascii="Open Sans" w:hAnsi="Open Sans" w:cs="Open Sans"/>
        <w:b/>
        <w:bCs/>
        <w:color w:val="06926B"/>
        <w:sz w:val="18"/>
        <w:szCs w:val="18"/>
      </w:rPr>
      <w:t>Smart Secure Electricity</w:t>
    </w:r>
    <w:r w:rsidRPr="00543FCC">
      <w:rPr>
        <w:b/>
        <w:bCs/>
        <w:color w:val="06926B"/>
        <w:sz w:val="18"/>
        <w:szCs w:val="18"/>
      </w:rPr>
      <w:t xml:space="preserve"> </w:t>
    </w:r>
    <w:r w:rsidRPr="00543FCC">
      <w:rPr>
        <w:rFonts w:ascii="Open Sans" w:hAnsi="Open Sans" w:cs="Open Sans"/>
        <w:b/>
        <w:bCs/>
        <w:color w:val="06926B"/>
        <w:sz w:val="18"/>
        <w:szCs w:val="18"/>
      </w:rPr>
      <w:t>Systems</w:t>
    </w:r>
    <w:r w:rsidRPr="00543FCC">
      <w:rPr>
        <w:b/>
        <w:bCs/>
        <w:color w:val="06926B"/>
        <w:sz w:val="18"/>
        <w:szCs w:val="18"/>
      </w:rPr>
      <w:t xml:space="preserve"> </w:t>
    </w:r>
    <w:r w:rsidR="004313B3" w:rsidRPr="00543FCC">
      <w:rPr>
        <w:rFonts w:ascii="Open Sans" w:hAnsi="Open Sans" w:cs="Open Sans"/>
        <w:b/>
        <w:bCs/>
        <w:color w:val="06926B"/>
        <w:sz w:val="18"/>
        <w:szCs w:val="18"/>
      </w:rPr>
      <w:t>Consultation – REA Response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534D" w14:textId="1F7F37AC" w:rsidR="00F656AD" w:rsidRDefault="00F656AD">
    <w:pPr>
      <w:pStyle w:val="Header"/>
    </w:pPr>
    <w:r w:rsidRPr="00A5487F">
      <w:rPr>
        <w:rFonts w:ascii="Calibri" w:eastAsia="Calibri" w:hAnsi="Calibri" w:cs="Arial"/>
        <w:noProof/>
        <w:kern w:val="0"/>
        <w:sz w:val="22"/>
        <w:szCs w:val="22"/>
        <w14:ligatures w14:val="none"/>
      </w:rPr>
      <w:drawing>
        <wp:anchor distT="0" distB="0" distL="114300" distR="114300" simplePos="0" relativeHeight="251658240" behindDoc="0" locked="0" layoutInCell="1" allowOverlap="1" wp14:anchorId="6E877D46" wp14:editId="1433F85F">
          <wp:simplePos x="0" y="0"/>
          <wp:positionH relativeFrom="column">
            <wp:posOffset>4946650</wp:posOffset>
          </wp:positionH>
          <wp:positionV relativeFrom="paragraph">
            <wp:posOffset>-341630</wp:posOffset>
          </wp:positionV>
          <wp:extent cx="1416685" cy="736600"/>
          <wp:effectExtent l="0" t="0" r="0" b="0"/>
          <wp:wrapSquare wrapText="bothSides"/>
          <wp:docPr id="1694203730" name="Picture 169420373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6685"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E5EDC"/>
    <w:multiLevelType w:val="hybridMultilevel"/>
    <w:tmpl w:val="EEC8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B3A86"/>
    <w:multiLevelType w:val="hybridMultilevel"/>
    <w:tmpl w:val="48DC73D6"/>
    <w:lvl w:ilvl="0" w:tplc="FCDABCFA">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980718571">
    <w:abstractNumId w:val="0"/>
  </w:num>
  <w:num w:numId="2" w16cid:durableId="100355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12"/>
    <w:rsid w:val="00002E83"/>
    <w:rsid w:val="00011563"/>
    <w:rsid w:val="0001377C"/>
    <w:rsid w:val="00024C45"/>
    <w:rsid w:val="00033A63"/>
    <w:rsid w:val="00037F84"/>
    <w:rsid w:val="00040A31"/>
    <w:rsid w:val="00046CB3"/>
    <w:rsid w:val="00047A7C"/>
    <w:rsid w:val="00047F31"/>
    <w:rsid w:val="000748DD"/>
    <w:rsid w:val="00085F6C"/>
    <w:rsid w:val="000974CD"/>
    <w:rsid w:val="00097D2B"/>
    <w:rsid w:val="000B6596"/>
    <w:rsid w:val="000D2D4C"/>
    <w:rsid w:val="000D6704"/>
    <w:rsid w:val="000E194D"/>
    <w:rsid w:val="000F0844"/>
    <w:rsid w:val="000F5C49"/>
    <w:rsid w:val="00116461"/>
    <w:rsid w:val="00117B55"/>
    <w:rsid w:val="001226BB"/>
    <w:rsid w:val="00130206"/>
    <w:rsid w:val="00130930"/>
    <w:rsid w:val="0014505D"/>
    <w:rsid w:val="00152FBF"/>
    <w:rsid w:val="00165D70"/>
    <w:rsid w:val="00172412"/>
    <w:rsid w:val="001968A7"/>
    <w:rsid w:val="001A06C8"/>
    <w:rsid w:val="001A3AD5"/>
    <w:rsid w:val="001A7A7D"/>
    <w:rsid w:val="001A7D48"/>
    <w:rsid w:val="001C6661"/>
    <w:rsid w:val="001E7346"/>
    <w:rsid w:val="001F4007"/>
    <w:rsid w:val="00232E42"/>
    <w:rsid w:val="00241051"/>
    <w:rsid w:val="00243F7F"/>
    <w:rsid w:val="00254815"/>
    <w:rsid w:val="0026644E"/>
    <w:rsid w:val="00270508"/>
    <w:rsid w:val="00270BD8"/>
    <w:rsid w:val="00271366"/>
    <w:rsid w:val="0027719C"/>
    <w:rsid w:val="002869C1"/>
    <w:rsid w:val="002871B6"/>
    <w:rsid w:val="0029389B"/>
    <w:rsid w:val="002A4F45"/>
    <w:rsid w:val="002B2053"/>
    <w:rsid w:val="002B4138"/>
    <w:rsid w:val="002B690B"/>
    <w:rsid w:val="002C281A"/>
    <w:rsid w:val="002C49BF"/>
    <w:rsid w:val="002D1A26"/>
    <w:rsid w:val="002D7C25"/>
    <w:rsid w:val="002F3152"/>
    <w:rsid w:val="00300F82"/>
    <w:rsid w:val="00322413"/>
    <w:rsid w:val="003312B3"/>
    <w:rsid w:val="00344F21"/>
    <w:rsid w:val="0035632C"/>
    <w:rsid w:val="00356B65"/>
    <w:rsid w:val="0036481B"/>
    <w:rsid w:val="0037173F"/>
    <w:rsid w:val="00373A9B"/>
    <w:rsid w:val="00381D1B"/>
    <w:rsid w:val="00383503"/>
    <w:rsid w:val="00392BD8"/>
    <w:rsid w:val="003943D0"/>
    <w:rsid w:val="00397A08"/>
    <w:rsid w:val="003A3A41"/>
    <w:rsid w:val="003A65EC"/>
    <w:rsid w:val="003B7579"/>
    <w:rsid w:val="003C5022"/>
    <w:rsid w:val="003D05AB"/>
    <w:rsid w:val="003D122C"/>
    <w:rsid w:val="003D1FDA"/>
    <w:rsid w:val="003D52D5"/>
    <w:rsid w:val="003F1758"/>
    <w:rsid w:val="003F6961"/>
    <w:rsid w:val="00413F6B"/>
    <w:rsid w:val="00415460"/>
    <w:rsid w:val="004313B3"/>
    <w:rsid w:val="00441A11"/>
    <w:rsid w:val="00442D9C"/>
    <w:rsid w:val="00452301"/>
    <w:rsid w:val="00452575"/>
    <w:rsid w:val="0046015B"/>
    <w:rsid w:val="00467082"/>
    <w:rsid w:val="004672F0"/>
    <w:rsid w:val="004734F8"/>
    <w:rsid w:val="00482043"/>
    <w:rsid w:val="00486CBE"/>
    <w:rsid w:val="004870AB"/>
    <w:rsid w:val="00493184"/>
    <w:rsid w:val="00494449"/>
    <w:rsid w:val="004A1E39"/>
    <w:rsid w:val="004A7C35"/>
    <w:rsid w:val="004C6807"/>
    <w:rsid w:val="004D257D"/>
    <w:rsid w:val="004E06A5"/>
    <w:rsid w:val="0051297B"/>
    <w:rsid w:val="005217B6"/>
    <w:rsid w:val="00526C6E"/>
    <w:rsid w:val="00530023"/>
    <w:rsid w:val="0054186B"/>
    <w:rsid w:val="00543FCC"/>
    <w:rsid w:val="00546223"/>
    <w:rsid w:val="00560C99"/>
    <w:rsid w:val="00574C7D"/>
    <w:rsid w:val="0058574B"/>
    <w:rsid w:val="005868B6"/>
    <w:rsid w:val="00592A32"/>
    <w:rsid w:val="00594BA5"/>
    <w:rsid w:val="005A039C"/>
    <w:rsid w:val="005B0B2E"/>
    <w:rsid w:val="005D6113"/>
    <w:rsid w:val="005F36D1"/>
    <w:rsid w:val="00601B2D"/>
    <w:rsid w:val="006020D5"/>
    <w:rsid w:val="00604520"/>
    <w:rsid w:val="00614ED7"/>
    <w:rsid w:val="00630225"/>
    <w:rsid w:val="006428AE"/>
    <w:rsid w:val="00650DFC"/>
    <w:rsid w:val="006551BC"/>
    <w:rsid w:val="00656A5E"/>
    <w:rsid w:val="00662C93"/>
    <w:rsid w:val="006911B7"/>
    <w:rsid w:val="006936B7"/>
    <w:rsid w:val="00693E47"/>
    <w:rsid w:val="006B703E"/>
    <w:rsid w:val="006C2E98"/>
    <w:rsid w:val="006E3C94"/>
    <w:rsid w:val="00705554"/>
    <w:rsid w:val="00705C82"/>
    <w:rsid w:val="00705D8B"/>
    <w:rsid w:val="007062AE"/>
    <w:rsid w:val="007062DF"/>
    <w:rsid w:val="00716D1D"/>
    <w:rsid w:val="0072139E"/>
    <w:rsid w:val="00734BF0"/>
    <w:rsid w:val="007414C5"/>
    <w:rsid w:val="00742027"/>
    <w:rsid w:val="00743532"/>
    <w:rsid w:val="0076164B"/>
    <w:rsid w:val="007664B2"/>
    <w:rsid w:val="00766682"/>
    <w:rsid w:val="00782F16"/>
    <w:rsid w:val="007A6762"/>
    <w:rsid w:val="007B256B"/>
    <w:rsid w:val="007B38A4"/>
    <w:rsid w:val="007B6346"/>
    <w:rsid w:val="007C3F5B"/>
    <w:rsid w:val="007D00F4"/>
    <w:rsid w:val="007D29D5"/>
    <w:rsid w:val="007D4ED8"/>
    <w:rsid w:val="00804F39"/>
    <w:rsid w:val="00807C35"/>
    <w:rsid w:val="00813E2E"/>
    <w:rsid w:val="00814E8D"/>
    <w:rsid w:val="008167C4"/>
    <w:rsid w:val="00821C50"/>
    <w:rsid w:val="00822AB9"/>
    <w:rsid w:val="0082399C"/>
    <w:rsid w:val="0082442E"/>
    <w:rsid w:val="008403BD"/>
    <w:rsid w:val="0084121E"/>
    <w:rsid w:val="00863C6D"/>
    <w:rsid w:val="00867843"/>
    <w:rsid w:val="00876CAD"/>
    <w:rsid w:val="00884B54"/>
    <w:rsid w:val="008871CE"/>
    <w:rsid w:val="00896304"/>
    <w:rsid w:val="008A0381"/>
    <w:rsid w:val="008C2380"/>
    <w:rsid w:val="008D080D"/>
    <w:rsid w:val="008E5908"/>
    <w:rsid w:val="008E74FE"/>
    <w:rsid w:val="00910959"/>
    <w:rsid w:val="00911384"/>
    <w:rsid w:val="009142BA"/>
    <w:rsid w:val="00916D60"/>
    <w:rsid w:val="00924D97"/>
    <w:rsid w:val="00925045"/>
    <w:rsid w:val="00930E8B"/>
    <w:rsid w:val="00934920"/>
    <w:rsid w:val="00934A07"/>
    <w:rsid w:val="00950B71"/>
    <w:rsid w:val="009522A2"/>
    <w:rsid w:val="00966E85"/>
    <w:rsid w:val="00975A8A"/>
    <w:rsid w:val="009843D9"/>
    <w:rsid w:val="0099091D"/>
    <w:rsid w:val="00995294"/>
    <w:rsid w:val="009977DB"/>
    <w:rsid w:val="009A0DAA"/>
    <w:rsid w:val="009B5F9A"/>
    <w:rsid w:val="009D3986"/>
    <w:rsid w:val="009E10DF"/>
    <w:rsid w:val="009E268E"/>
    <w:rsid w:val="009F4806"/>
    <w:rsid w:val="00A364ED"/>
    <w:rsid w:val="00A40867"/>
    <w:rsid w:val="00A411D0"/>
    <w:rsid w:val="00A522A2"/>
    <w:rsid w:val="00A5487F"/>
    <w:rsid w:val="00A612C5"/>
    <w:rsid w:val="00A62BE1"/>
    <w:rsid w:val="00A65379"/>
    <w:rsid w:val="00A744E9"/>
    <w:rsid w:val="00A8280F"/>
    <w:rsid w:val="00AA21AA"/>
    <w:rsid w:val="00AB001B"/>
    <w:rsid w:val="00AB33C0"/>
    <w:rsid w:val="00AC46AC"/>
    <w:rsid w:val="00AC539A"/>
    <w:rsid w:val="00AD5734"/>
    <w:rsid w:val="00AE0C8A"/>
    <w:rsid w:val="00AE6C5F"/>
    <w:rsid w:val="00B125D2"/>
    <w:rsid w:val="00B22693"/>
    <w:rsid w:val="00B34F58"/>
    <w:rsid w:val="00B4422A"/>
    <w:rsid w:val="00B46519"/>
    <w:rsid w:val="00B6691E"/>
    <w:rsid w:val="00B66B0D"/>
    <w:rsid w:val="00B81DE0"/>
    <w:rsid w:val="00B87E42"/>
    <w:rsid w:val="00B967F6"/>
    <w:rsid w:val="00BC3259"/>
    <w:rsid w:val="00BD01A3"/>
    <w:rsid w:val="00BD02B5"/>
    <w:rsid w:val="00BD2101"/>
    <w:rsid w:val="00BD6AA6"/>
    <w:rsid w:val="00C04978"/>
    <w:rsid w:val="00C125CA"/>
    <w:rsid w:val="00C12F3C"/>
    <w:rsid w:val="00C332B7"/>
    <w:rsid w:val="00C37849"/>
    <w:rsid w:val="00C46139"/>
    <w:rsid w:val="00C46947"/>
    <w:rsid w:val="00C533C5"/>
    <w:rsid w:val="00C55F9A"/>
    <w:rsid w:val="00C64696"/>
    <w:rsid w:val="00C76707"/>
    <w:rsid w:val="00C90936"/>
    <w:rsid w:val="00CA0E29"/>
    <w:rsid w:val="00CA1C7A"/>
    <w:rsid w:val="00CA32CF"/>
    <w:rsid w:val="00CA3E94"/>
    <w:rsid w:val="00CA6DEF"/>
    <w:rsid w:val="00CB5B72"/>
    <w:rsid w:val="00CC5882"/>
    <w:rsid w:val="00D0109D"/>
    <w:rsid w:val="00D0203F"/>
    <w:rsid w:val="00D17E60"/>
    <w:rsid w:val="00D23ADA"/>
    <w:rsid w:val="00D32AAA"/>
    <w:rsid w:val="00D33514"/>
    <w:rsid w:val="00D34307"/>
    <w:rsid w:val="00D4105C"/>
    <w:rsid w:val="00D4141A"/>
    <w:rsid w:val="00D54195"/>
    <w:rsid w:val="00D72510"/>
    <w:rsid w:val="00D76D0D"/>
    <w:rsid w:val="00D801EB"/>
    <w:rsid w:val="00DA57A9"/>
    <w:rsid w:val="00DB4CF8"/>
    <w:rsid w:val="00DD5529"/>
    <w:rsid w:val="00DD6483"/>
    <w:rsid w:val="00DF0D2E"/>
    <w:rsid w:val="00DF49B3"/>
    <w:rsid w:val="00E01D8F"/>
    <w:rsid w:val="00E01E69"/>
    <w:rsid w:val="00E13EDD"/>
    <w:rsid w:val="00E14AF3"/>
    <w:rsid w:val="00E36BE6"/>
    <w:rsid w:val="00E428F9"/>
    <w:rsid w:val="00E44B7E"/>
    <w:rsid w:val="00E47630"/>
    <w:rsid w:val="00E50335"/>
    <w:rsid w:val="00E53963"/>
    <w:rsid w:val="00E91578"/>
    <w:rsid w:val="00EA72CD"/>
    <w:rsid w:val="00EA7D22"/>
    <w:rsid w:val="00EC2287"/>
    <w:rsid w:val="00ED1F75"/>
    <w:rsid w:val="00ED6120"/>
    <w:rsid w:val="00ED7825"/>
    <w:rsid w:val="00EE6D1E"/>
    <w:rsid w:val="00EF376E"/>
    <w:rsid w:val="00F00DA9"/>
    <w:rsid w:val="00F033C6"/>
    <w:rsid w:val="00F113E6"/>
    <w:rsid w:val="00F1353D"/>
    <w:rsid w:val="00F2115A"/>
    <w:rsid w:val="00F24178"/>
    <w:rsid w:val="00F31E69"/>
    <w:rsid w:val="00F360DE"/>
    <w:rsid w:val="00F47E67"/>
    <w:rsid w:val="00F503CA"/>
    <w:rsid w:val="00F546A0"/>
    <w:rsid w:val="00F656AD"/>
    <w:rsid w:val="00F733DB"/>
    <w:rsid w:val="00F7630A"/>
    <w:rsid w:val="00F937B3"/>
    <w:rsid w:val="00FA27AB"/>
    <w:rsid w:val="00FB6F53"/>
    <w:rsid w:val="00FC226C"/>
    <w:rsid w:val="00FD4CF4"/>
    <w:rsid w:val="00FE5161"/>
    <w:rsid w:val="00FE65CD"/>
    <w:rsid w:val="00FF70FB"/>
    <w:rsid w:val="054C5E66"/>
    <w:rsid w:val="0D04471D"/>
    <w:rsid w:val="0D4AB2D2"/>
    <w:rsid w:val="0DB44211"/>
    <w:rsid w:val="0FD2E6DF"/>
    <w:rsid w:val="0FEFD466"/>
    <w:rsid w:val="116EB740"/>
    <w:rsid w:val="1185B48E"/>
    <w:rsid w:val="1287B334"/>
    <w:rsid w:val="159A1AF5"/>
    <w:rsid w:val="1905DC55"/>
    <w:rsid w:val="1C095C79"/>
    <w:rsid w:val="1C2E957A"/>
    <w:rsid w:val="207CDBB0"/>
    <w:rsid w:val="23A5E9BE"/>
    <w:rsid w:val="243CF263"/>
    <w:rsid w:val="28E5B472"/>
    <w:rsid w:val="2ADAA0C5"/>
    <w:rsid w:val="2BBB2B85"/>
    <w:rsid w:val="351BAFBE"/>
    <w:rsid w:val="3B8ED2BF"/>
    <w:rsid w:val="41F56923"/>
    <w:rsid w:val="42344A2D"/>
    <w:rsid w:val="442F7B1B"/>
    <w:rsid w:val="44EA7FCA"/>
    <w:rsid w:val="465B2EB8"/>
    <w:rsid w:val="4D7C10ED"/>
    <w:rsid w:val="50ED90AA"/>
    <w:rsid w:val="51E898B9"/>
    <w:rsid w:val="553736C9"/>
    <w:rsid w:val="58DC70CA"/>
    <w:rsid w:val="5B8F7AFF"/>
    <w:rsid w:val="5C7B4130"/>
    <w:rsid w:val="5F59F3B5"/>
    <w:rsid w:val="6162BFB9"/>
    <w:rsid w:val="62FE901A"/>
    <w:rsid w:val="65CF252F"/>
    <w:rsid w:val="6726CBD5"/>
    <w:rsid w:val="67D2013D"/>
    <w:rsid w:val="68855ACC"/>
    <w:rsid w:val="696DD19E"/>
    <w:rsid w:val="6982189C"/>
    <w:rsid w:val="69CA66E7"/>
    <w:rsid w:val="6C80395F"/>
    <w:rsid w:val="6CA57260"/>
    <w:rsid w:val="709399DB"/>
    <w:rsid w:val="72EF7AE3"/>
    <w:rsid w:val="738653A2"/>
    <w:rsid w:val="73E151A0"/>
    <w:rsid w:val="7AB7EA12"/>
    <w:rsid w:val="7C608A2F"/>
    <w:rsid w:val="7E3A1B10"/>
    <w:rsid w:val="7EDAED2F"/>
    <w:rsid w:val="7FFB2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72F8FAC2"/>
  <w15:chartTrackingRefBased/>
  <w15:docId w15:val="{3EF93657-272D-40A0-9C55-76D1BA2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412"/>
    <w:rPr>
      <w:rFonts w:eastAsiaTheme="majorEastAsia" w:cstheme="majorBidi"/>
      <w:color w:val="272727" w:themeColor="text1" w:themeTint="D8"/>
    </w:rPr>
  </w:style>
  <w:style w:type="paragraph" w:styleId="Title">
    <w:name w:val="Title"/>
    <w:basedOn w:val="Normal"/>
    <w:next w:val="Normal"/>
    <w:link w:val="TitleChar"/>
    <w:uiPriority w:val="10"/>
    <w:qFormat/>
    <w:rsid w:val="00172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412"/>
    <w:pPr>
      <w:spacing w:before="160"/>
      <w:jc w:val="center"/>
    </w:pPr>
    <w:rPr>
      <w:i/>
      <w:iCs/>
      <w:color w:val="404040" w:themeColor="text1" w:themeTint="BF"/>
    </w:rPr>
  </w:style>
  <w:style w:type="character" w:customStyle="1" w:styleId="QuoteChar">
    <w:name w:val="Quote Char"/>
    <w:basedOn w:val="DefaultParagraphFont"/>
    <w:link w:val="Quote"/>
    <w:uiPriority w:val="29"/>
    <w:rsid w:val="00172412"/>
    <w:rPr>
      <w:i/>
      <w:iCs/>
      <w:color w:val="404040" w:themeColor="text1" w:themeTint="BF"/>
    </w:rPr>
  </w:style>
  <w:style w:type="paragraph" w:styleId="ListParagraph">
    <w:name w:val="List Paragraph"/>
    <w:basedOn w:val="Normal"/>
    <w:uiPriority w:val="34"/>
    <w:qFormat/>
    <w:rsid w:val="00172412"/>
    <w:pPr>
      <w:ind w:left="720"/>
      <w:contextualSpacing/>
    </w:pPr>
  </w:style>
  <w:style w:type="character" w:styleId="IntenseEmphasis">
    <w:name w:val="Intense Emphasis"/>
    <w:basedOn w:val="DefaultParagraphFont"/>
    <w:uiPriority w:val="21"/>
    <w:qFormat/>
    <w:rsid w:val="00172412"/>
    <w:rPr>
      <w:i/>
      <w:iCs/>
      <w:color w:val="0F4761" w:themeColor="accent1" w:themeShade="BF"/>
    </w:rPr>
  </w:style>
  <w:style w:type="paragraph" w:styleId="IntenseQuote">
    <w:name w:val="Intense Quote"/>
    <w:basedOn w:val="Normal"/>
    <w:next w:val="Normal"/>
    <w:link w:val="IntenseQuoteChar"/>
    <w:uiPriority w:val="30"/>
    <w:qFormat/>
    <w:rsid w:val="00172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412"/>
    <w:rPr>
      <w:i/>
      <w:iCs/>
      <w:color w:val="0F4761" w:themeColor="accent1" w:themeShade="BF"/>
    </w:rPr>
  </w:style>
  <w:style w:type="character" w:styleId="IntenseReference">
    <w:name w:val="Intense Reference"/>
    <w:basedOn w:val="DefaultParagraphFont"/>
    <w:uiPriority w:val="32"/>
    <w:qFormat/>
    <w:rsid w:val="00172412"/>
    <w:rPr>
      <w:b/>
      <w:bCs/>
      <w:smallCaps/>
      <w:color w:val="0F4761" w:themeColor="accent1" w:themeShade="BF"/>
      <w:spacing w:val="5"/>
    </w:rPr>
  </w:style>
  <w:style w:type="paragraph" w:styleId="Header">
    <w:name w:val="header"/>
    <w:basedOn w:val="Normal"/>
    <w:link w:val="HeaderChar"/>
    <w:uiPriority w:val="99"/>
    <w:unhideWhenUsed/>
    <w:rsid w:val="00A54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87F"/>
  </w:style>
  <w:style w:type="paragraph" w:styleId="Footer">
    <w:name w:val="footer"/>
    <w:basedOn w:val="Normal"/>
    <w:link w:val="FooterChar"/>
    <w:uiPriority w:val="99"/>
    <w:unhideWhenUsed/>
    <w:rsid w:val="00A54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b0dc23e9d06370a3a0e44039c99094ad">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A04064DF-AB04-4D10-943C-1CE800155706}">
  <ds:schemaRefs>
    <ds:schemaRef ds:uri="http://schemas.openxmlformats.org/officeDocument/2006/bibliography"/>
  </ds:schemaRefs>
</ds:datastoreItem>
</file>

<file path=customXml/itemProps2.xml><?xml version="1.0" encoding="utf-8"?>
<ds:datastoreItem xmlns:ds="http://schemas.openxmlformats.org/officeDocument/2006/customXml" ds:itemID="{9772121C-9882-44A1-8E6C-5C7B4B3E3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11F18-3CF9-47C2-9CFB-D6800B8A0BDD}">
  <ds:schemaRefs>
    <ds:schemaRef ds:uri="http://schemas.microsoft.com/sharepoint/v3/contenttype/forms"/>
  </ds:schemaRefs>
</ds:datastoreItem>
</file>

<file path=customXml/itemProps4.xml><?xml version="1.0" encoding="utf-8"?>
<ds:datastoreItem xmlns:ds="http://schemas.openxmlformats.org/officeDocument/2006/customXml" ds:itemID="{AC6E0D03-3594-42A8-9C74-4CD409B0F003}">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3218</Words>
  <Characters>18347</Characters>
  <Application>Microsoft Office Word</Application>
  <DocSecurity>0</DocSecurity>
  <Lines>152</Lines>
  <Paragraphs>43</Paragraphs>
  <ScaleCrop>false</ScaleCrop>
  <Company/>
  <LinksUpToDate>false</LinksUpToDate>
  <CharactersWithSpaces>21522</CharactersWithSpaces>
  <SharedDoc>false</SharedDoc>
  <HLinks>
    <vt:vector size="6" baseType="variant">
      <vt:variant>
        <vt:i4>4653083</vt:i4>
      </vt:variant>
      <vt:variant>
        <vt:i4>3</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Mark Sommerfeld</cp:lastModifiedBy>
  <cp:revision>296</cp:revision>
  <dcterms:created xsi:type="dcterms:W3CDTF">2024-06-05T01:34:00Z</dcterms:created>
  <dcterms:modified xsi:type="dcterms:W3CDTF">2024-06-19T12:20:00Z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