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7E40" w:rsidP="6D0470E7" w:rsidRDefault="04009756" w14:paraId="3030D776" w14:textId="23AF0990" w14:noSpellErr="1">
      <w:pPr>
        <w:spacing w:after="0" w:line="259" w:lineRule="auto"/>
        <w:rPr>
          <w:rFonts w:ascii="Aptos" w:hAnsi="Aptos" w:eastAsia="Aptos" w:cs="Aptos"/>
          <w:sz w:val="32"/>
          <w:szCs w:val="32"/>
        </w:rPr>
      </w:pPr>
      <w:bookmarkStart w:name="_Int_iCR5B1yW" w:id="1225339420"/>
      <w:r w:rsidRPr="4DA3D6EE" w:rsidR="04009756">
        <w:rPr>
          <w:rFonts w:ascii="Aptos" w:hAnsi="Aptos" w:eastAsia="Aptos" w:cs="Aptos"/>
          <w:b w:val="1"/>
          <w:bCs w:val="1"/>
          <w:sz w:val="32"/>
          <w:szCs w:val="32"/>
        </w:rPr>
        <w:t xml:space="preserve">Feedback form </w:t>
      </w:r>
      <w:bookmarkEnd w:id="1225339420"/>
    </w:p>
    <w:p w:rsidR="003A7E40" w:rsidP="5F9D19C5" w:rsidRDefault="47F67329" w14:paraId="6F602861" w14:textId="671D83F6">
      <w:pPr>
        <w:spacing w:after="0" w:line="259" w:lineRule="auto"/>
        <w:rPr>
          <w:rFonts w:ascii="Aptos" w:hAnsi="Aptos" w:eastAsia="Aptos" w:cs="Aptos"/>
          <w:b/>
          <w:bCs/>
          <w:lang w:val="en-US"/>
        </w:rPr>
      </w:pPr>
      <w:r w:rsidRPr="5F9D19C5">
        <w:rPr>
          <w:rFonts w:ascii="Aptos" w:hAnsi="Aptos" w:eastAsia="Aptos" w:cs="Aptos"/>
          <w:b/>
          <w:bCs/>
        </w:rPr>
        <w:t xml:space="preserve">Please complete and return to </w:t>
      </w:r>
      <w:hyperlink r:id="rId9">
        <w:r w:rsidRPr="5F9D19C5">
          <w:rPr>
            <w:rStyle w:val="Hyperlink"/>
            <w:rFonts w:ascii="Aptos" w:hAnsi="Aptos" w:eastAsia="Aptos" w:cs="Aptos"/>
            <w:color w:val="467886"/>
          </w:rPr>
          <w:t>Regulatory.cycle@environment-agency.gov.uk</w:t>
        </w:r>
      </w:hyperlink>
      <w:r w:rsidRPr="5F9D19C5" w:rsidR="4B599661">
        <w:rPr>
          <w:rFonts w:ascii="Aptos" w:hAnsi="Aptos" w:eastAsia="Aptos" w:cs="Aptos"/>
          <w:color w:val="467886"/>
        </w:rPr>
        <w:t xml:space="preserve"> </w:t>
      </w:r>
      <w:r w:rsidRPr="5F9D19C5" w:rsidR="6D0A5E1C">
        <w:rPr>
          <w:rFonts w:ascii="Aptos" w:hAnsi="Aptos" w:eastAsia="Aptos" w:cs="Aptos"/>
          <w:b/>
          <w:bCs/>
        </w:rPr>
        <w:t xml:space="preserve">by </w:t>
      </w:r>
      <w:r w:rsidRPr="5F9D19C5" w:rsidR="02B4FD0B">
        <w:rPr>
          <w:rFonts w:ascii="Aptos" w:hAnsi="Aptos" w:eastAsia="Aptos" w:cs="Aptos"/>
          <w:b/>
          <w:bCs/>
        </w:rPr>
        <w:t>9am Wednesday 14 August</w:t>
      </w:r>
      <w:r w:rsidRPr="5F9D19C5" w:rsidR="6D0A5E1C">
        <w:rPr>
          <w:rFonts w:ascii="Aptos" w:hAnsi="Aptos" w:eastAsia="Aptos" w:cs="Aptos"/>
          <w:b/>
          <w:bCs/>
        </w:rPr>
        <w:t xml:space="preserve"> 2024</w:t>
      </w:r>
    </w:p>
    <w:p w:rsidR="003A7E40" w:rsidP="6D0470E7" w:rsidRDefault="003A7E40" w14:paraId="5242B236" w14:textId="060FC850">
      <w:pPr>
        <w:spacing w:after="0" w:line="259" w:lineRule="auto"/>
        <w:rPr>
          <w:rFonts w:ascii="Aptos" w:hAnsi="Aptos" w:eastAsia="Aptos" w:cs="Aptos"/>
          <w:b/>
          <w:bCs/>
          <w:lang w:val="en-U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360"/>
      </w:tblGrid>
      <w:tr w:rsidR="46396E15" w:rsidTr="4DA3D6EE" w14:paraId="008DACDF" w14:textId="77777777">
        <w:trPr>
          <w:trHeight w:val="285"/>
        </w:trPr>
        <w:tc>
          <w:tcPr>
            <w:tcW w:w="9360" w:type="dxa"/>
            <w:tcMar>
              <w:left w:w="105" w:type="dxa"/>
              <w:right w:w="105" w:type="dxa"/>
            </w:tcMar>
          </w:tcPr>
          <w:p w:rsidR="46396E15" w:rsidP="6D0470E7" w:rsidRDefault="46396E15" w14:paraId="5C2C8B00" w14:textId="1EE16818">
            <w:pPr>
              <w:shd w:val="clear" w:color="auto" w:fill="FFFFFF"/>
              <w:spacing w:line="278" w:lineRule="auto"/>
              <w:rPr>
                <w:sz w:val="22"/>
                <w:szCs w:val="22"/>
              </w:rPr>
            </w:pPr>
            <w:r w:rsidRPr="6D0470E7">
              <w:rPr>
                <w:b/>
                <w:bCs/>
                <w:sz w:val="22"/>
                <w:szCs w:val="22"/>
              </w:rPr>
              <w:t>QUESTION 1.</w:t>
            </w:r>
          </w:p>
          <w:p w:rsidR="46396E15" w:rsidP="6D0470E7" w:rsidRDefault="46396E15" w14:paraId="0EAC2789" w14:textId="7F5B61B6">
            <w:pPr>
              <w:shd w:val="clear" w:color="auto" w:fill="FFFFFF"/>
              <w:spacing w:line="278" w:lineRule="auto"/>
              <w:rPr>
                <w:sz w:val="22"/>
                <w:szCs w:val="22"/>
              </w:rPr>
            </w:pPr>
            <w:r w:rsidRPr="6D0470E7">
              <w:rPr>
                <w:b/>
                <w:bCs/>
                <w:sz w:val="22"/>
                <w:szCs w:val="22"/>
              </w:rPr>
              <w:t>Do you agree with the proposals for ‘Stage 1 - Pre-regulatory appeal discussion’?</w:t>
            </w:r>
          </w:p>
          <w:p w:rsidR="46396E15" w:rsidP="6D0470E7" w:rsidRDefault="46396E15" w14:paraId="05D0665B" w14:textId="19D62A13">
            <w:pPr>
              <w:shd w:val="clear" w:color="auto" w:fill="FFFFFF"/>
              <w:spacing w:line="278" w:lineRule="auto"/>
              <w:rPr>
                <w:sz w:val="22"/>
                <w:szCs w:val="22"/>
              </w:rPr>
            </w:pPr>
            <w:r w:rsidRPr="6D0470E7">
              <w:rPr>
                <w:b/>
                <w:bCs/>
                <w:sz w:val="22"/>
                <w:szCs w:val="22"/>
              </w:rPr>
              <w:t>Please provide any comments relating to this response.</w:t>
            </w:r>
          </w:p>
        </w:tc>
      </w:tr>
      <w:tr w:rsidR="46396E15" w:rsidTr="4DA3D6EE" w14:paraId="23400485" w14:textId="77777777">
        <w:trPr>
          <w:trHeight w:val="2145"/>
        </w:trPr>
        <w:tc>
          <w:tcPr>
            <w:tcW w:w="9360" w:type="dxa"/>
            <w:tcMar>
              <w:left w:w="105" w:type="dxa"/>
              <w:right w:w="105" w:type="dxa"/>
            </w:tcMar>
          </w:tcPr>
          <w:p w:rsidR="00593767" w:rsidP="017223E8" w:rsidRDefault="00593767" w14:paraId="53176BED" w14:textId="00175046">
            <w:pPr>
              <w:spacing w:line="278" w:lineRule="auto"/>
            </w:pPr>
          </w:p>
          <w:p w:rsidR="0077258D" w:rsidP="017223E8" w:rsidRDefault="0077258D" w14:paraId="141B0F73" w14:textId="7ED37E6D">
            <w:pPr>
              <w:spacing w:line="278" w:lineRule="auto"/>
            </w:pPr>
            <w:r w:rsidR="0077258D">
              <w:rPr/>
              <w:t xml:space="preserve">REA supports the addition of the Stage 1 Pre-regulatory Appeal Discussion. We agree that this step opens an opportunity to resolve any misunderstandings without using </w:t>
            </w:r>
            <w:r w:rsidR="00BB0295">
              <w:rPr/>
              <w:t xml:space="preserve">further </w:t>
            </w:r>
            <w:r w:rsidR="0077258D">
              <w:rPr/>
              <w:t xml:space="preserve">resources via a full Regulatory Appeal. </w:t>
            </w:r>
          </w:p>
          <w:p w:rsidR="0077258D" w:rsidP="017223E8" w:rsidRDefault="0077258D" w14:paraId="5C2F38DC" w14:textId="77777777">
            <w:pPr>
              <w:spacing w:line="278" w:lineRule="auto"/>
            </w:pPr>
          </w:p>
          <w:p w:rsidR="0077258D" w:rsidP="017223E8" w:rsidRDefault="0077258D" w14:paraId="3FC19A78" w14:textId="269871C6">
            <w:pPr>
              <w:spacing w:line="278" w:lineRule="auto"/>
            </w:pPr>
            <w:r w:rsidR="0077258D">
              <w:rPr/>
              <w:t xml:space="preserve">However, we suggest that regulated customers are given 21 calendar days from the date of the regulatory decision to raise concerns with the original decision maker. The 14-day rule could prevent individuals from filing a complaint, especially if </w:t>
            </w:r>
            <w:r w:rsidR="00BB0295">
              <w:rPr/>
              <w:t>the</w:t>
            </w:r>
            <w:r w:rsidR="00BB0295">
              <w:rPr/>
              <w:t>y</w:t>
            </w:r>
            <w:r w:rsidR="00BB0295">
              <w:rPr/>
              <w:t xml:space="preserve"> </w:t>
            </w:r>
            <w:r w:rsidR="0077258D">
              <w:rPr/>
              <w:t xml:space="preserve">are </w:t>
            </w:r>
            <w:r w:rsidR="00BB0295">
              <w:rPr/>
              <w:t xml:space="preserve">on </w:t>
            </w:r>
            <w:r w:rsidR="0077258D">
              <w:rPr/>
              <w:t>holiday when they receive the notice of a decision.</w:t>
            </w:r>
            <w:r w:rsidR="00492F03">
              <w:rPr/>
              <w:t xml:space="preserve"> In addition</w:t>
            </w:r>
            <w:r w:rsidR="006A7D94">
              <w:rPr/>
              <w:t>,</w:t>
            </w:r>
            <w:r w:rsidR="00492F03">
              <w:rPr/>
              <w:t xml:space="preserve"> </w:t>
            </w:r>
            <w:r w:rsidR="00A53B43">
              <w:rPr/>
              <w:t xml:space="preserve">notifications of regulatory </w:t>
            </w:r>
            <w:r w:rsidR="00492F03">
              <w:rPr/>
              <w:t xml:space="preserve">decisions can be </w:t>
            </w:r>
            <w:r w:rsidR="006A7D94">
              <w:rPr/>
              <w:t xml:space="preserve">received sometime after the inspection has been carried out </w:t>
            </w:r>
            <w:r w:rsidR="00B3600C">
              <w:rPr/>
              <w:t xml:space="preserve">and </w:t>
            </w:r>
            <w:bookmarkStart w:name="_Int_nNJxNaBo" w:id="591989989"/>
            <w:r w:rsidR="00B3600C">
              <w:rPr/>
              <w:t>additional</w:t>
            </w:r>
            <w:bookmarkEnd w:id="591989989"/>
            <w:r w:rsidR="00B3600C">
              <w:rPr/>
              <w:t xml:space="preserve"> time may be needed for</w:t>
            </w:r>
            <w:r w:rsidR="00552845">
              <w:rPr/>
              <w:t xml:space="preserve"> internal</w:t>
            </w:r>
            <w:r w:rsidR="00B3600C">
              <w:rPr/>
              <w:t xml:space="preserve"> in</w:t>
            </w:r>
            <w:r w:rsidR="00B3600C">
              <w:rPr/>
              <w:t xml:space="preserve">vestigations before deciding </w:t>
            </w:r>
            <w:r w:rsidR="00B02022">
              <w:rPr/>
              <w:t xml:space="preserve">to </w:t>
            </w:r>
            <w:bookmarkStart w:name="_Int_4KeQgn8L" w:id="1152763985"/>
            <w:r w:rsidR="00B02022">
              <w:rPr/>
              <w:t>proceed</w:t>
            </w:r>
            <w:bookmarkEnd w:id="1152763985"/>
            <w:r w:rsidR="00B02022">
              <w:rPr/>
              <w:t xml:space="preserve"> with the appeal. </w:t>
            </w:r>
          </w:p>
          <w:p w:rsidR="0077258D" w:rsidP="017223E8" w:rsidRDefault="0077258D" w14:paraId="6E466C1D" w14:textId="77777777">
            <w:pPr>
              <w:spacing w:line="278" w:lineRule="auto"/>
            </w:pPr>
          </w:p>
          <w:p w:rsidR="0077258D" w:rsidP="017223E8" w:rsidRDefault="0077258D" w14:paraId="76DC9620" w14:textId="2D4899D3" w14:noSpellErr="1">
            <w:pPr>
              <w:spacing w:line="278" w:lineRule="auto"/>
            </w:pPr>
            <w:r w:rsidR="0077258D">
              <w:rPr/>
              <w:t xml:space="preserve">There also may be cases where the pre-regulatory appeal discussion is not </w:t>
            </w:r>
            <w:bookmarkStart w:name="_Int_efsV2fy6" w:id="702509421"/>
            <w:r w:rsidR="0077258D">
              <w:rPr/>
              <w:t>appropriate for</w:t>
            </w:r>
            <w:bookmarkEnd w:id="702509421"/>
            <w:r w:rsidR="0077258D">
              <w:rPr/>
              <w:t xml:space="preserve"> the circumstances, wasting resources for both parties. We recommend including an option for companies to skip Stage 1 if they feel the pre-regulatory discussion is not needed. The reason for skipping Stage 1 could be included in documentation and evidence provided to the regulator via Stage 2.</w:t>
            </w:r>
          </w:p>
          <w:p w:rsidR="0077258D" w:rsidP="017223E8" w:rsidRDefault="0077258D" w14:paraId="7984E60D" w14:textId="1A7A1F56">
            <w:pPr>
              <w:spacing w:line="278" w:lineRule="auto"/>
            </w:pPr>
          </w:p>
        </w:tc>
      </w:tr>
      <w:tr w:rsidR="46396E15" w:rsidTr="4DA3D6EE" w14:paraId="73AF2DA0" w14:textId="77777777">
        <w:trPr>
          <w:trHeight w:val="285"/>
        </w:trPr>
        <w:tc>
          <w:tcPr>
            <w:tcW w:w="9360" w:type="dxa"/>
            <w:tcMar>
              <w:left w:w="105" w:type="dxa"/>
              <w:right w:w="105" w:type="dxa"/>
            </w:tcMar>
          </w:tcPr>
          <w:p w:rsidR="46396E15" w:rsidP="6D0470E7" w:rsidRDefault="46396E15" w14:paraId="71E14440" w14:textId="27613B00">
            <w:pPr>
              <w:shd w:val="clear" w:color="auto" w:fill="FFFFFF"/>
              <w:spacing w:line="278" w:lineRule="auto"/>
              <w:rPr>
                <w:sz w:val="22"/>
                <w:szCs w:val="22"/>
              </w:rPr>
            </w:pPr>
            <w:r w:rsidRPr="6D0470E7">
              <w:rPr>
                <w:b/>
                <w:bCs/>
                <w:sz w:val="22"/>
                <w:szCs w:val="22"/>
              </w:rPr>
              <w:t>QUESTION 2.</w:t>
            </w:r>
          </w:p>
          <w:p w:rsidR="46396E15" w:rsidP="6D0470E7" w:rsidRDefault="46396E15" w14:paraId="644EF69F" w14:textId="1B1FF4DD">
            <w:pPr>
              <w:shd w:val="clear" w:color="auto" w:fill="FFFFFF"/>
              <w:spacing w:line="278" w:lineRule="auto"/>
              <w:rPr>
                <w:sz w:val="22"/>
                <w:szCs w:val="22"/>
              </w:rPr>
            </w:pPr>
            <w:r w:rsidRPr="6D0470E7">
              <w:rPr>
                <w:b/>
                <w:bCs/>
                <w:sz w:val="22"/>
                <w:szCs w:val="22"/>
              </w:rPr>
              <w:t>Do you agree with the proposals for ‘Stage 2 – Regulatory Appeal’?</w:t>
            </w:r>
          </w:p>
          <w:p w:rsidR="46396E15" w:rsidP="6D0470E7" w:rsidRDefault="46396E15" w14:paraId="1EA226AF" w14:textId="5E9CC568">
            <w:pPr>
              <w:shd w:val="clear" w:color="auto" w:fill="FFFFFF"/>
              <w:spacing w:line="278" w:lineRule="auto"/>
              <w:rPr>
                <w:sz w:val="22"/>
                <w:szCs w:val="22"/>
              </w:rPr>
            </w:pPr>
            <w:r w:rsidRPr="6D0470E7">
              <w:rPr>
                <w:b/>
                <w:bCs/>
                <w:sz w:val="22"/>
                <w:szCs w:val="22"/>
              </w:rPr>
              <w:t>Please provide any comments relating to this response.</w:t>
            </w:r>
          </w:p>
        </w:tc>
      </w:tr>
      <w:tr w:rsidR="46396E15" w:rsidTr="4DA3D6EE" w14:paraId="363622CE" w14:textId="77777777">
        <w:trPr>
          <w:trHeight w:val="1031"/>
        </w:trPr>
        <w:tc>
          <w:tcPr>
            <w:tcW w:w="9360" w:type="dxa"/>
            <w:tcMar>
              <w:left w:w="105" w:type="dxa"/>
              <w:right w:w="105" w:type="dxa"/>
            </w:tcMar>
          </w:tcPr>
          <w:p w:rsidR="0077258D" w:rsidP="6C4036EF" w:rsidRDefault="0077258D" w14:paraId="5DE7BC2A" w14:textId="77777777">
            <w:pPr>
              <w:spacing w:line="278" w:lineRule="auto"/>
            </w:pPr>
          </w:p>
          <w:p w:rsidR="0077258D" w:rsidP="6C4036EF" w:rsidRDefault="0077258D" w14:paraId="1BA88A2E" w14:textId="18AF35AE">
            <w:pPr>
              <w:spacing w:line="278" w:lineRule="auto"/>
            </w:pPr>
            <w:r>
              <w:t xml:space="preserve">We also support the proposed format of Stage 2, the Regulatory Appeal. </w:t>
            </w:r>
          </w:p>
          <w:p w:rsidR="0077258D" w:rsidP="6C4036EF" w:rsidRDefault="0077258D" w14:paraId="00FC54FC" w14:textId="77777777">
            <w:pPr>
              <w:spacing w:line="278" w:lineRule="auto"/>
            </w:pPr>
          </w:p>
          <w:p w:rsidR="00CC4E03" w:rsidP="6C4036EF" w:rsidRDefault="0077258D" w14:paraId="3B279791" w14:textId="7F965E00">
            <w:pPr>
              <w:spacing w:line="278" w:lineRule="auto"/>
            </w:pPr>
            <w:r>
              <w:t xml:space="preserve">Given the start of the 21-day timeline for submitting a </w:t>
            </w:r>
            <w:r w:rsidR="003431F4">
              <w:t xml:space="preserve">Stage 2 regulatory appeal begins at the ‘Stage 1 decision,’ it is important to clarify to the regulated customer that Stage 1 has ended and invite them to escalate their appeal to Stage 2. The proposals say that the </w:t>
            </w:r>
            <w:r w:rsidR="003431F4">
              <w:lastRenderedPageBreak/>
              <w:t>regulators will use a template to explain their decision and the next stage. This template should include clear instructions on how to escalate an appeal to Stage 2 and a specific deadline for submitting the Stage 2 appeal. It should also include contact information for an impartial person who can answer questions for them as they prepare their Stage 2 appeal.</w:t>
            </w:r>
          </w:p>
          <w:p w:rsidR="003431F4" w:rsidP="6C4036EF" w:rsidRDefault="003431F4" w14:paraId="7FB5323B" w14:textId="77777777">
            <w:pPr>
              <w:spacing w:line="278" w:lineRule="auto"/>
            </w:pPr>
          </w:p>
          <w:p w:rsidR="00CC4E03" w:rsidP="00CC4E03" w:rsidRDefault="00CC4E03" w14:paraId="672C9742" w14:textId="56C3D6AF">
            <w:pPr>
              <w:spacing w:line="278" w:lineRule="auto"/>
            </w:pPr>
            <w:r>
              <w:t xml:space="preserve">While we agree that a 21-day deadline for submitting a regulatory appeal is good in theory and should remain the baseline procedure, some regulatory appeals are incredibly complex and require substantial data and evidence collection. Therefore, we believe the EA should build in a procedure for extensions depending on the complexity of the case. To avoid partial decisions, the EA should develop a process for requesting an extension so that all regulated customers can request extra time for evidence gathering when needed. While timeliness is important, it is also imperative that the regulatory appeals process is fair and thorough. </w:t>
            </w:r>
          </w:p>
          <w:p w:rsidR="00CC4E03" w:rsidP="6C4036EF" w:rsidRDefault="00CC4E03" w14:paraId="755319F2" w14:textId="72C1A944">
            <w:pPr>
              <w:spacing w:line="278" w:lineRule="auto"/>
            </w:pPr>
          </w:p>
        </w:tc>
      </w:tr>
      <w:tr w:rsidR="46396E15" w:rsidTr="4DA3D6EE" w14:paraId="798A1578" w14:textId="77777777">
        <w:trPr>
          <w:trHeight w:val="285"/>
        </w:trPr>
        <w:tc>
          <w:tcPr>
            <w:tcW w:w="9360" w:type="dxa"/>
            <w:tcMar>
              <w:left w:w="105" w:type="dxa"/>
              <w:right w:w="105" w:type="dxa"/>
            </w:tcMar>
          </w:tcPr>
          <w:p w:rsidR="46396E15" w:rsidP="6D0470E7" w:rsidRDefault="46396E15" w14:paraId="578A6CBF" w14:textId="195F16B4">
            <w:pPr>
              <w:spacing w:line="278" w:lineRule="auto"/>
              <w:rPr>
                <w:sz w:val="22"/>
                <w:szCs w:val="22"/>
              </w:rPr>
            </w:pPr>
            <w:r w:rsidRPr="6D0470E7">
              <w:rPr>
                <w:b/>
                <w:bCs/>
                <w:sz w:val="22"/>
                <w:szCs w:val="22"/>
              </w:rPr>
              <w:lastRenderedPageBreak/>
              <w:t>QUESTION 3</w:t>
            </w:r>
          </w:p>
          <w:p w:rsidR="46396E15" w:rsidP="6D0470E7" w:rsidRDefault="46396E15" w14:paraId="0AAA1AC9" w14:textId="0E6F8A9C">
            <w:pPr>
              <w:spacing w:line="278" w:lineRule="auto"/>
              <w:rPr>
                <w:sz w:val="22"/>
                <w:szCs w:val="22"/>
              </w:rPr>
            </w:pPr>
            <w:r w:rsidRPr="6D0470E7">
              <w:rPr>
                <w:b/>
                <w:bCs/>
                <w:sz w:val="22"/>
                <w:szCs w:val="22"/>
              </w:rPr>
              <w:t>Do you consider that this process meets the requirements of the Regulators Code?</w:t>
            </w:r>
          </w:p>
          <w:p w:rsidR="46396E15" w:rsidP="6D0470E7" w:rsidRDefault="5554B86A" w14:paraId="20933BAD" w14:textId="12C5B4A7">
            <w:pPr>
              <w:shd w:val="clear" w:color="auto" w:fill="FFFFFF"/>
              <w:spacing w:line="278" w:lineRule="auto"/>
              <w:rPr>
                <w:sz w:val="22"/>
                <w:szCs w:val="22"/>
              </w:rPr>
            </w:pPr>
            <w:r w:rsidRPr="6D0470E7">
              <w:rPr>
                <w:b/>
                <w:bCs/>
                <w:sz w:val="22"/>
                <w:szCs w:val="22"/>
              </w:rPr>
              <w:t>Please provide any comments relating to this response.</w:t>
            </w:r>
          </w:p>
        </w:tc>
      </w:tr>
      <w:tr w:rsidR="46396E15" w:rsidTr="4DA3D6EE" w14:paraId="361854F3" w14:textId="77777777">
        <w:trPr>
          <w:trHeight w:val="67"/>
        </w:trPr>
        <w:tc>
          <w:tcPr>
            <w:tcW w:w="9360" w:type="dxa"/>
            <w:tcMar>
              <w:left w:w="105" w:type="dxa"/>
              <w:right w:w="105" w:type="dxa"/>
            </w:tcMar>
          </w:tcPr>
          <w:p w:rsidR="46396E15" w:rsidP="623DA8F3" w:rsidRDefault="46396E15" w14:paraId="76251791" w14:textId="77777777">
            <w:pPr>
              <w:spacing w:line="278" w:lineRule="auto"/>
            </w:pPr>
          </w:p>
          <w:p w:rsidR="00833664" w:rsidP="623DA8F3" w:rsidRDefault="00833664" w14:paraId="69FE4774" w14:textId="6290260D">
            <w:pPr>
              <w:spacing w:line="278" w:lineRule="auto"/>
            </w:pPr>
            <w:r>
              <w:t xml:space="preserve">We believe the proposed framework does meet the requirements of the Regulators Code, and that our suggestions would improve its compliance with the Code. </w:t>
            </w:r>
          </w:p>
          <w:p w:rsidR="00833664" w:rsidP="623DA8F3" w:rsidRDefault="00833664" w14:paraId="2B6CB69C" w14:textId="77777777">
            <w:pPr>
              <w:spacing w:line="278" w:lineRule="auto"/>
            </w:pPr>
          </w:p>
          <w:p w:rsidR="00833664" w:rsidP="623DA8F3" w:rsidRDefault="003431F4" w14:paraId="7A346710" w14:textId="54DA6302">
            <w:pPr>
              <w:spacing w:line="278" w:lineRule="auto"/>
            </w:pPr>
            <w:r>
              <w:t>Section 2 of the Regulators Code states that</w:t>
            </w:r>
            <w:r w:rsidR="00833664">
              <w:t xml:space="preserve"> “</w:t>
            </w:r>
            <w:r w:rsidRPr="00833664" w:rsidR="00833664">
              <w:t xml:space="preserve">Regulators should provide an impartial and clearly explained route to appeal against a regulatory </w:t>
            </w:r>
            <w:r w:rsidRPr="00833664">
              <w:t>decisio</w:t>
            </w:r>
            <w:r>
              <w:t>n” and</w:t>
            </w:r>
            <w:r w:rsidR="00833664">
              <w:t xml:space="preserve"> “</w:t>
            </w:r>
            <w:r w:rsidRPr="00833664" w:rsidR="00833664">
              <w:t>Regulators should provide a timely explanation in writing of any right to representation or right to appeal. This explanation should be in plain language and include practical information on the process involved</w:t>
            </w:r>
            <w:r w:rsidR="00833664">
              <w:t>.”</w:t>
            </w:r>
            <w:r>
              <w:t xml:space="preserve"> This supports our suggestions in Question 2.</w:t>
            </w:r>
          </w:p>
          <w:p w:rsidR="00833664" w:rsidP="623DA8F3" w:rsidRDefault="00833664" w14:paraId="4276A15A" w14:textId="77777777">
            <w:pPr>
              <w:spacing w:line="278" w:lineRule="auto"/>
            </w:pPr>
          </w:p>
          <w:p w:rsidR="00833664" w:rsidP="623DA8F3" w:rsidRDefault="00833664" w14:paraId="3EFF45E0" w14:textId="695BECB9">
            <w:pPr>
              <w:spacing w:line="278" w:lineRule="auto"/>
            </w:pPr>
            <w:r>
              <w:t>Section 2 of the Regulator’s Code also states that “</w:t>
            </w:r>
            <w:r w:rsidRPr="00833664">
              <w:t>Regulators should have a range of mechanisms to enable and regularly invite, receive and take on board customer feedback, including, for example, through customer satisfaction surveys of those they regulate</w:t>
            </w:r>
            <w:r>
              <w:t xml:space="preserve">.” This supports our suggestion in </w:t>
            </w:r>
            <w:r w:rsidR="003431F4">
              <w:t>Question</w:t>
            </w:r>
            <w:r>
              <w:t xml:space="preserve"> 4. </w:t>
            </w:r>
          </w:p>
          <w:p w:rsidR="00833664" w:rsidP="623DA8F3" w:rsidRDefault="00833664" w14:paraId="1623BD2E" w14:textId="78F933DF">
            <w:pPr>
              <w:spacing w:line="278" w:lineRule="auto"/>
            </w:pPr>
          </w:p>
        </w:tc>
      </w:tr>
      <w:tr w:rsidR="5A46A288" w:rsidTr="4DA3D6EE" w14:paraId="395D9A50" w14:textId="77777777">
        <w:trPr>
          <w:trHeight w:val="285"/>
        </w:trPr>
        <w:tc>
          <w:tcPr>
            <w:tcW w:w="9360" w:type="dxa"/>
            <w:tcMar>
              <w:left w:w="105" w:type="dxa"/>
              <w:right w:w="105" w:type="dxa"/>
            </w:tcMar>
          </w:tcPr>
          <w:p w:rsidR="5A46A288" w:rsidP="45470EA1" w:rsidRDefault="5A46A288" w14:paraId="660BFAFC" w14:textId="2B374B01">
            <w:pPr>
              <w:spacing w:line="278" w:lineRule="auto"/>
              <w:rPr>
                <w:sz w:val="22"/>
                <w:szCs w:val="22"/>
              </w:rPr>
            </w:pPr>
            <w:r w:rsidRPr="45470EA1">
              <w:rPr>
                <w:b/>
                <w:bCs/>
                <w:sz w:val="22"/>
                <w:szCs w:val="22"/>
              </w:rPr>
              <w:t xml:space="preserve">QUESTION </w:t>
            </w:r>
            <w:r w:rsidRPr="45470EA1" w:rsidR="40C8D3EC">
              <w:rPr>
                <w:b/>
                <w:bCs/>
                <w:sz w:val="22"/>
                <w:szCs w:val="22"/>
              </w:rPr>
              <w:t>4</w:t>
            </w:r>
          </w:p>
          <w:p w:rsidR="7A55DCD7" w:rsidP="7407B5B9" w:rsidRDefault="7A55DCD7" w14:paraId="2B879530" w14:textId="708D3D16">
            <w:pPr>
              <w:spacing w:line="278" w:lineRule="auto"/>
              <w:rPr>
                <w:b/>
                <w:bCs/>
                <w:sz w:val="22"/>
                <w:szCs w:val="22"/>
              </w:rPr>
            </w:pPr>
            <w:r w:rsidRPr="7407B5B9">
              <w:rPr>
                <w:b/>
                <w:bCs/>
                <w:sz w:val="22"/>
                <w:szCs w:val="22"/>
              </w:rPr>
              <w:t>Do you have any other comments to make regarding the regulatory appeal process?</w:t>
            </w:r>
          </w:p>
          <w:p w:rsidR="5A46A288" w:rsidP="5A46A288" w:rsidRDefault="5A46A288" w14:paraId="70F1E495" w14:textId="12C5B4A7">
            <w:pPr>
              <w:shd w:val="clear" w:color="auto" w:fill="FFFFFF"/>
              <w:spacing w:line="278" w:lineRule="auto"/>
              <w:rPr>
                <w:sz w:val="22"/>
                <w:szCs w:val="22"/>
              </w:rPr>
            </w:pPr>
            <w:r w:rsidRPr="5A46A288">
              <w:rPr>
                <w:b/>
                <w:bCs/>
                <w:sz w:val="22"/>
                <w:szCs w:val="22"/>
              </w:rPr>
              <w:lastRenderedPageBreak/>
              <w:t>Please provide any comments relating to this response.</w:t>
            </w:r>
          </w:p>
        </w:tc>
      </w:tr>
      <w:tr w:rsidR="5A46A288" w:rsidTr="4DA3D6EE" w14:paraId="7CE090D7" w14:textId="77777777">
        <w:trPr>
          <w:trHeight w:val="67"/>
        </w:trPr>
        <w:tc>
          <w:tcPr>
            <w:tcW w:w="9360" w:type="dxa"/>
            <w:tcMar>
              <w:left w:w="105" w:type="dxa"/>
              <w:right w:w="105" w:type="dxa"/>
            </w:tcMar>
          </w:tcPr>
          <w:p w:rsidR="5A46A288" w:rsidP="5A46A288" w:rsidRDefault="00833664" w14:paraId="0E7BB902" w14:textId="0F658097">
            <w:pPr>
              <w:spacing w:line="278" w:lineRule="auto"/>
            </w:pPr>
            <w:r w:rsidR="00833664">
              <w:rPr/>
              <w:t>It would be useful to build in an opportunity for feedback from the regulated customer at the end of Stage 1 and the end of Stage 2. The proposals state that “</w:t>
            </w:r>
            <w:r w:rsidR="00833664">
              <w:rPr/>
              <w:t xml:space="preserve">We will undertake a periodic review of all appeals </w:t>
            </w:r>
            <w:bookmarkStart w:name="_Int_PJ08Sj1c" w:id="250646718"/>
            <w:r w:rsidR="00833664">
              <w:rPr/>
              <w:t>submitted</w:t>
            </w:r>
            <w:bookmarkEnd w:id="250646718"/>
            <w:r w:rsidR="00833664">
              <w:rPr/>
              <w:t xml:space="preserve"> and the outcomes. This will allow us to </w:t>
            </w:r>
            <w:r w:rsidR="00833664">
              <w:rPr/>
              <w:t>identify</w:t>
            </w:r>
            <w:r w:rsidR="00833664">
              <w:rPr/>
              <w:t xml:space="preserve"> and share any lessons learnt, update any guidance and training.</w:t>
            </w:r>
            <w:r w:rsidR="00833664">
              <w:rPr/>
              <w:t xml:space="preserve">” These reviews would be more robust and useful if the regulator collects feedback directly from regulated customers who are </w:t>
            </w:r>
            <w:bookmarkStart w:name="_Int_fOj9Uz7n" w:id="200066117"/>
            <w:r w:rsidR="00833664">
              <w:rPr/>
              <w:t>participating</w:t>
            </w:r>
            <w:bookmarkEnd w:id="200066117"/>
            <w:r w:rsidR="00833664">
              <w:rPr/>
              <w:t xml:space="preserve"> in the Regulatory Appeals process. This feedback could be collected via a satisfaction survey issued to the regulated customer at the end of each stage</w:t>
            </w:r>
            <w:r w:rsidR="006B0279">
              <w:rPr/>
              <w:t xml:space="preserve"> and focus on the process, rather than the outcome</w:t>
            </w:r>
            <w:r w:rsidR="00833664">
              <w:rPr/>
              <w:t>.</w:t>
            </w:r>
            <w:r w:rsidR="003C3D80">
              <w:rPr/>
              <w:t xml:space="preserve"> This suggestion is supported by Section 2 of the Regulators Code which requires regulators to regularly invite, receive and take on board customer feedback</w:t>
            </w:r>
            <w:r w:rsidR="136ABB00">
              <w:rPr/>
              <w:t xml:space="preserve">. </w:t>
            </w:r>
          </w:p>
        </w:tc>
      </w:tr>
    </w:tbl>
    <w:p w:rsidR="00741336" w:rsidP="1A6492D0" w:rsidRDefault="00741336" w14:paraId="2276A9B6" w14:textId="77777777">
      <w:pPr>
        <w:spacing w:after="0" w:line="259" w:lineRule="auto"/>
        <w:rPr>
          <w:sz w:val="22"/>
          <w:szCs w:val="22"/>
        </w:rPr>
      </w:pPr>
    </w:p>
    <w:p w:rsidR="20D8916B" w:rsidP="1A6492D0" w:rsidRDefault="20D8916B" w14:paraId="7B22BAB1" w14:textId="70DFA772">
      <w:pPr>
        <w:spacing w:after="0" w:line="259" w:lineRule="auto"/>
        <w:rPr>
          <w:sz w:val="22"/>
          <w:szCs w:val="22"/>
        </w:rPr>
      </w:pPr>
      <w:r w:rsidRPr="6D0470E7">
        <w:rPr>
          <w:sz w:val="22"/>
          <w:szCs w:val="22"/>
        </w:rPr>
        <w:t>Response provided by</w:t>
      </w:r>
      <w:r w:rsidR="00CC4E03">
        <w:rPr>
          <w:sz w:val="22"/>
          <w:szCs w:val="22"/>
        </w:rPr>
        <w:t>:</w:t>
      </w:r>
    </w:p>
    <w:p w:rsidR="00CC4E03" w:rsidP="1A6492D0" w:rsidRDefault="00CC4E03" w14:paraId="4277262F" w14:textId="77777777">
      <w:pPr>
        <w:spacing w:after="0" w:line="259" w:lineRule="auto"/>
        <w:rPr>
          <w:sz w:val="22"/>
          <w:szCs w:val="22"/>
          <w:lang w:val="en-US"/>
        </w:rPr>
      </w:pPr>
    </w:p>
    <w:p w:rsidR="20D8916B" w:rsidP="1A6492D0" w:rsidRDefault="20D8916B" w14:paraId="7B8825F4" w14:textId="7573243D">
      <w:pPr>
        <w:spacing w:after="0" w:line="259" w:lineRule="auto"/>
        <w:rPr>
          <w:sz w:val="22"/>
          <w:szCs w:val="22"/>
          <w:lang w:val="en-US"/>
        </w:rPr>
      </w:pPr>
      <w:r w:rsidRPr="6D0470E7">
        <w:rPr>
          <w:sz w:val="22"/>
          <w:szCs w:val="22"/>
        </w:rPr>
        <w:t>Name</w:t>
      </w:r>
      <w:r w:rsidR="00CC4E03">
        <w:rPr>
          <w:sz w:val="22"/>
          <w:szCs w:val="22"/>
        </w:rPr>
        <w:t>: Claire Shipp</w:t>
      </w:r>
    </w:p>
    <w:p w:rsidR="20D8916B" w:rsidP="1A6492D0" w:rsidRDefault="43CEB3E8" w14:paraId="7EF1711C" w14:textId="3DE39E8F">
      <w:pPr>
        <w:spacing w:after="0" w:line="259" w:lineRule="auto"/>
        <w:rPr>
          <w:sz w:val="22"/>
          <w:szCs w:val="22"/>
          <w:lang w:val="en-US"/>
        </w:rPr>
      </w:pPr>
      <w:r w:rsidRPr="6D0470E7">
        <w:rPr>
          <w:sz w:val="22"/>
          <w:szCs w:val="22"/>
        </w:rPr>
        <w:t>Organisation</w:t>
      </w:r>
      <w:r w:rsidR="00CC4E03">
        <w:rPr>
          <w:sz w:val="22"/>
          <w:szCs w:val="22"/>
        </w:rPr>
        <w:t>: The Association for Renewable Energy and Clean Technology</w:t>
      </w:r>
    </w:p>
    <w:p w:rsidRPr="00741336" w:rsidR="00072AC2" w:rsidP="07E68DAF" w:rsidRDefault="20D8916B" w14:paraId="35A8DBEF" w14:textId="039055AB">
      <w:pPr>
        <w:spacing w:after="0" w:line="259" w:lineRule="auto"/>
        <w:rPr>
          <w:sz w:val="22"/>
          <w:szCs w:val="22"/>
          <w:lang w:val="en-US"/>
        </w:rPr>
      </w:pPr>
      <w:r w:rsidRPr="6D0470E7">
        <w:rPr>
          <w:sz w:val="22"/>
          <w:szCs w:val="22"/>
        </w:rPr>
        <w:t>Email address</w:t>
      </w:r>
      <w:r w:rsidR="00CC4E03">
        <w:rPr>
          <w:sz w:val="22"/>
          <w:szCs w:val="22"/>
        </w:rPr>
        <w:t>: cshipp@r-e-a.net</w:t>
      </w:r>
    </w:p>
    <w:sectPr w:rsidRPr="00741336" w:rsidR="00072AC2">
      <w:headerReference w:type="default" r:id="rId10"/>
      <w:footerReference w:type="default" r:id="rId11"/>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74CA" w:rsidRDefault="00BC74CA" w14:paraId="2A255D39" w14:textId="77777777">
      <w:pPr>
        <w:spacing w:after="0" w:line="240" w:lineRule="auto"/>
      </w:pPr>
      <w:r>
        <w:separator/>
      </w:r>
    </w:p>
  </w:endnote>
  <w:endnote w:type="continuationSeparator" w:id="0">
    <w:p w:rsidR="00BC74CA" w:rsidRDefault="00BC74CA" w14:paraId="2E7648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6396E15" w:rsidTr="6D0470E7" w14:paraId="135A763E" w14:textId="77777777">
      <w:trPr>
        <w:trHeight w:val="300"/>
      </w:trPr>
      <w:tc>
        <w:tcPr>
          <w:tcW w:w="3120" w:type="dxa"/>
        </w:tcPr>
        <w:p w:rsidR="46396E15" w:rsidP="46396E15" w:rsidRDefault="46396E15" w14:paraId="3BF7CC02" w14:textId="427FBCD6">
          <w:pPr>
            <w:pStyle w:val="Header"/>
            <w:ind w:left="-115"/>
          </w:pPr>
        </w:p>
      </w:tc>
      <w:tc>
        <w:tcPr>
          <w:tcW w:w="3120" w:type="dxa"/>
        </w:tcPr>
        <w:p w:rsidR="46396E15" w:rsidP="46396E15" w:rsidRDefault="46396E15" w14:paraId="49B9E175" w14:textId="6A5EBB25">
          <w:pPr>
            <w:pStyle w:val="Header"/>
            <w:jc w:val="center"/>
          </w:pPr>
        </w:p>
      </w:tc>
      <w:tc>
        <w:tcPr>
          <w:tcW w:w="3120" w:type="dxa"/>
        </w:tcPr>
        <w:p w:rsidR="46396E15" w:rsidP="46396E15" w:rsidRDefault="46396E15" w14:paraId="1C9DEF28" w14:textId="47FA7B7D">
          <w:pPr>
            <w:pStyle w:val="Header"/>
            <w:ind w:right="-115"/>
            <w:jc w:val="right"/>
          </w:pPr>
        </w:p>
      </w:tc>
    </w:tr>
  </w:tbl>
  <w:p w:rsidR="46396E15" w:rsidP="46396E15" w:rsidRDefault="46396E15" w14:paraId="2BE45785" w14:textId="52269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74CA" w:rsidRDefault="00BC74CA" w14:paraId="2FB1B942" w14:textId="77777777">
      <w:pPr>
        <w:spacing w:after="0" w:line="240" w:lineRule="auto"/>
      </w:pPr>
      <w:r>
        <w:separator/>
      </w:r>
    </w:p>
  </w:footnote>
  <w:footnote w:type="continuationSeparator" w:id="0">
    <w:p w:rsidR="00BC74CA" w:rsidRDefault="00BC74CA" w14:paraId="015CD0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6396E15" w:rsidTr="6D0470E7" w14:paraId="497DFE18" w14:textId="77777777">
      <w:trPr>
        <w:trHeight w:val="300"/>
      </w:trPr>
      <w:tc>
        <w:tcPr>
          <w:tcW w:w="3120" w:type="dxa"/>
        </w:tcPr>
        <w:p w:rsidR="46396E15" w:rsidP="46396E15" w:rsidRDefault="46396E15" w14:paraId="3DE021EE" w14:textId="1F2779D8">
          <w:pPr>
            <w:pStyle w:val="Header"/>
            <w:ind w:left="-115"/>
          </w:pPr>
        </w:p>
      </w:tc>
      <w:tc>
        <w:tcPr>
          <w:tcW w:w="3120" w:type="dxa"/>
        </w:tcPr>
        <w:p w:rsidR="6ED0DA86" w:rsidP="6D0470E7" w:rsidRDefault="6D0470E7" w14:paraId="75D6B6DA" w14:textId="3EFB5F1A">
          <w:pPr>
            <w:pStyle w:val="Header"/>
            <w:rPr>
              <w:rFonts w:ascii="Segoe UI" w:hAnsi="Segoe UI" w:eastAsia="Segoe UI" w:cs="Segoe UI"/>
              <w:sz w:val="32"/>
              <w:szCs w:val="32"/>
            </w:rPr>
          </w:pPr>
          <w:r w:rsidRPr="6D0470E7">
            <w:rPr>
              <w:rFonts w:ascii="Segoe UI" w:hAnsi="Segoe UI" w:eastAsia="Segoe UI" w:cs="Segoe UI"/>
              <w:sz w:val="32"/>
              <w:szCs w:val="32"/>
            </w:rPr>
            <w:t>BRIEFING PACK</w:t>
          </w:r>
        </w:p>
      </w:tc>
      <w:tc>
        <w:tcPr>
          <w:tcW w:w="3120" w:type="dxa"/>
        </w:tcPr>
        <w:p w:rsidR="6ED0DA86" w:rsidP="6D0470E7" w:rsidRDefault="6D0470E7" w14:paraId="3ED897B6" w14:textId="66CB16CF">
          <w:pPr>
            <w:tabs>
              <w:tab w:val="center" w:pos="4680"/>
              <w:tab w:val="right" w:pos="9360"/>
            </w:tabs>
            <w:spacing w:after="0" w:line="240" w:lineRule="auto"/>
            <w:ind w:right="-115"/>
            <w:jc w:val="right"/>
            <w:rPr>
              <w:rFonts w:ascii="Segoe UI" w:hAnsi="Segoe UI" w:eastAsia="Segoe UI" w:cs="Segoe UI"/>
            </w:rPr>
          </w:pPr>
          <w:r>
            <w:rPr>
              <w:noProof/>
            </w:rPr>
            <w:drawing>
              <wp:inline distT="0" distB="0" distL="0" distR="0" wp14:anchorId="3E5B5DE7" wp14:editId="289A81C6">
                <wp:extent cx="1600200" cy="942975"/>
                <wp:effectExtent l="0" t="0" r="0" b="0"/>
                <wp:docPr id="2099775710" name="Picture 209977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00200" cy="942975"/>
                        </a:xfrm>
                        <a:prstGeom prst="rect">
                          <a:avLst/>
                        </a:prstGeom>
                      </pic:spPr>
                    </pic:pic>
                  </a:graphicData>
                </a:graphic>
              </wp:inline>
            </w:drawing>
          </w:r>
        </w:p>
      </w:tc>
    </w:tr>
  </w:tbl>
  <w:p w:rsidR="46396E15" w:rsidP="46396E15" w:rsidRDefault="46396E15" w14:paraId="125D4312" w14:textId="25DBC563">
    <w:pPr>
      <w:pStyle w:val="Header"/>
    </w:pPr>
  </w:p>
</w:hdr>
</file>

<file path=word/intelligence2.xml><?xml version="1.0" encoding="utf-8"?>
<int2:intelligence xmlns:oel="http://schemas.microsoft.com/office/2019/extlst" xmlns:int2="http://schemas.microsoft.com/office/intelligence/2020/intelligence">
  <int2:observations>
    <int2:bookmark int2:bookmarkName="_Int_PJ08Sj1c" int2:invalidationBookmarkName="" int2:hashCode="/aQ3g76OCz+SBq" int2:id="jDG5Xs1r">
      <int2:state int2:type="AugLoop_Text_Critique" int2:value="Rejected"/>
    </int2:bookmark>
    <int2:bookmark int2:bookmarkName="_Int_fOj9Uz7n" int2:invalidationBookmarkName="" int2:hashCode="Bk51IYKXdIkhh6" int2:id="F0XFMd2k">
      <int2:state int2:type="AugLoop_Text_Critique" int2:value="Rejected"/>
    </int2:bookmark>
    <int2:bookmark int2:bookmarkName="_Int_4KeQgn8L" int2:invalidationBookmarkName="" int2:hashCode="NXR9E9zZHo6HkM" int2:id="AOqgh0SC">
      <int2:state int2:type="AugLoop_Text_Critique" int2:value="Rejected"/>
    </int2:bookmark>
    <int2:bookmark int2:bookmarkName="_Int_efsV2fy6" int2:invalidationBookmarkName="" int2:hashCode="rzTcz0LvTB59eT" int2:id="RtlzEvCx">
      <int2:state int2:type="AugLoop_Text_Critique" int2:value="Rejected"/>
    </int2:bookmark>
    <int2:bookmark int2:bookmarkName="_Int_nNJxNaBo" int2:invalidationBookmarkName="" int2:hashCode="IEEkdmk2qlIoq+" int2:id="RPx2gpb6">
      <int2:state int2:type="AugLoop_Text_Critique" int2:value="Rejected"/>
    </int2:bookmark>
    <int2:bookmark int2:bookmarkName="_Int_iCR5B1yW" int2:invalidationBookmarkName="" int2:hashCode="P69xpk0LexjHXX" int2:id="bW6vOZzJ">
      <int2:state int2:type="WordDesignerSuggestedImageAnnotation" int2:value="Reviewed"/>
    </int2:bookmark>
  </int2:observations>
  <int2:intelligenceSettings>
    <int2:extLst>
      <oel:ext uri="74B372B9-2EFF-4315-9A3F-32BA87CA82B1">
        <int2:goals int2:version="1" int2:formality="1"/>
      </oel:ext>
    </int2:extLst>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4009756"/>
    <w:rsid w:val="00072AC2"/>
    <w:rsid w:val="0017444B"/>
    <w:rsid w:val="003431F4"/>
    <w:rsid w:val="003A7E40"/>
    <w:rsid w:val="003C3D80"/>
    <w:rsid w:val="003F303F"/>
    <w:rsid w:val="00492F03"/>
    <w:rsid w:val="00552845"/>
    <w:rsid w:val="00593767"/>
    <w:rsid w:val="00635537"/>
    <w:rsid w:val="006A7D94"/>
    <w:rsid w:val="006B0279"/>
    <w:rsid w:val="00741336"/>
    <w:rsid w:val="0077258D"/>
    <w:rsid w:val="00833664"/>
    <w:rsid w:val="00843242"/>
    <w:rsid w:val="00A53B43"/>
    <w:rsid w:val="00B02022"/>
    <w:rsid w:val="00B3600C"/>
    <w:rsid w:val="00BB0295"/>
    <w:rsid w:val="00BC74CA"/>
    <w:rsid w:val="00CC4E03"/>
    <w:rsid w:val="00EC23FF"/>
    <w:rsid w:val="017223E8"/>
    <w:rsid w:val="0220E025"/>
    <w:rsid w:val="02B4FD0B"/>
    <w:rsid w:val="04009756"/>
    <w:rsid w:val="07E68DAF"/>
    <w:rsid w:val="136ABB00"/>
    <w:rsid w:val="15DDD7F8"/>
    <w:rsid w:val="1A6492D0"/>
    <w:rsid w:val="20D8916B"/>
    <w:rsid w:val="2186BB5E"/>
    <w:rsid w:val="287C6CC6"/>
    <w:rsid w:val="2DD3065F"/>
    <w:rsid w:val="305A9D83"/>
    <w:rsid w:val="33628D3B"/>
    <w:rsid w:val="38EE8B86"/>
    <w:rsid w:val="40C8D3EC"/>
    <w:rsid w:val="43CEB3E8"/>
    <w:rsid w:val="45470EA1"/>
    <w:rsid w:val="46396E15"/>
    <w:rsid w:val="47F67329"/>
    <w:rsid w:val="4B599661"/>
    <w:rsid w:val="4DA3D6EE"/>
    <w:rsid w:val="50924B42"/>
    <w:rsid w:val="5554B86A"/>
    <w:rsid w:val="55B6CE60"/>
    <w:rsid w:val="5A46A288"/>
    <w:rsid w:val="5F9D19C5"/>
    <w:rsid w:val="5FAAB2FE"/>
    <w:rsid w:val="623DA8F3"/>
    <w:rsid w:val="62EF0F57"/>
    <w:rsid w:val="6C4036EF"/>
    <w:rsid w:val="6D0470E7"/>
    <w:rsid w:val="6D0A5E1C"/>
    <w:rsid w:val="6DF0566F"/>
    <w:rsid w:val="6ED0DA86"/>
    <w:rsid w:val="7407B5B9"/>
    <w:rsid w:val="74645F98"/>
    <w:rsid w:val="7661A2EC"/>
    <w:rsid w:val="7802A26B"/>
    <w:rsid w:val="7860F2A3"/>
    <w:rsid w:val="7A55DCD7"/>
    <w:rsid w:val="7B29F4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8B1"/>
  <w15:docId w15:val="{69718E3E-A0C0-49C5-B666-E4112B37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6D0470E7"/>
  </w:style>
  <w:style w:type="paragraph" w:styleId="Heading1">
    <w:name w:val="heading 1"/>
    <w:basedOn w:val="Normal"/>
    <w:next w:val="Normal"/>
    <w:uiPriority w:val="9"/>
    <w:qFormat/>
    <w:rsid w:val="6D0470E7"/>
    <w:pPr>
      <w:keepNext/>
      <w:keepLines/>
      <w:spacing w:before="240" w:after="0"/>
      <w:outlineLvl w:val="0"/>
    </w:pPr>
    <w:rPr>
      <w:rFonts w:asciiTheme="majorHAnsi" w:hAnsiTheme="majorHAnsi" w:eastAsiaTheme="majorEastAsia" w:cstheme="majorBidi"/>
      <w:sz w:val="32"/>
      <w:szCs w:val="32"/>
    </w:rPr>
  </w:style>
  <w:style w:type="paragraph" w:styleId="Heading2">
    <w:name w:val="heading 2"/>
    <w:basedOn w:val="Normal"/>
    <w:next w:val="Normal"/>
    <w:uiPriority w:val="9"/>
    <w:semiHidden/>
    <w:unhideWhenUsed/>
    <w:qFormat/>
    <w:rsid w:val="6D0470E7"/>
    <w:pPr>
      <w:keepNext/>
      <w:keepLines/>
      <w:spacing w:before="40" w:after="0"/>
      <w:outlineLvl w:val="1"/>
    </w:pPr>
    <w:rPr>
      <w:rFonts w:asciiTheme="majorHAnsi" w:hAnsiTheme="majorHAnsi" w:eastAsiaTheme="majorEastAsia" w:cstheme="majorBidi"/>
      <w:sz w:val="26"/>
      <w:szCs w:val="26"/>
    </w:rPr>
  </w:style>
  <w:style w:type="paragraph" w:styleId="Heading3">
    <w:name w:val="heading 3"/>
    <w:basedOn w:val="Normal"/>
    <w:next w:val="Normal"/>
    <w:uiPriority w:val="9"/>
    <w:semiHidden/>
    <w:unhideWhenUsed/>
    <w:qFormat/>
    <w:rsid w:val="6D0470E7"/>
    <w:pPr>
      <w:keepNext/>
      <w:keepLines/>
      <w:spacing w:before="40" w:after="0"/>
      <w:outlineLvl w:val="2"/>
    </w:pPr>
    <w:rPr>
      <w:rFonts w:asciiTheme="majorHAnsi" w:hAnsiTheme="majorHAnsi" w:eastAsiaTheme="majorEastAsia" w:cstheme="majorBidi"/>
    </w:rPr>
  </w:style>
  <w:style w:type="paragraph" w:styleId="Heading4">
    <w:name w:val="heading 4"/>
    <w:basedOn w:val="Normal"/>
    <w:next w:val="Normal"/>
    <w:uiPriority w:val="9"/>
    <w:semiHidden/>
    <w:unhideWhenUsed/>
    <w:qFormat/>
    <w:rsid w:val="6D0470E7"/>
    <w:pPr>
      <w:keepNext/>
      <w:keepLines/>
      <w:spacing w:before="40" w:after="0"/>
      <w:outlineLvl w:val="3"/>
    </w:pPr>
    <w:rPr>
      <w:rFonts w:asciiTheme="majorHAnsi" w:hAnsiTheme="majorHAnsi" w:eastAsiaTheme="majorEastAsia" w:cstheme="majorBidi"/>
      <w:i/>
      <w:iCs/>
    </w:rPr>
  </w:style>
  <w:style w:type="paragraph" w:styleId="Heading5">
    <w:name w:val="heading 5"/>
    <w:basedOn w:val="Normal"/>
    <w:next w:val="Normal"/>
    <w:uiPriority w:val="9"/>
    <w:semiHidden/>
    <w:unhideWhenUsed/>
    <w:qFormat/>
    <w:rsid w:val="6D0470E7"/>
    <w:pPr>
      <w:keepNext/>
      <w:keepLines/>
      <w:spacing w:before="40" w:after="0"/>
      <w:outlineLvl w:val="4"/>
    </w:pPr>
    <w:rPr>
      <w:rFonts w:asciiTheme="majorHAnsi" w:hAnsiTheme="majorHAnsi" w:eastAsiaTheme="majorEastAsia" w:cstheme="majorBidi"/>
    </w:rPr>
  </w:style>
  <w:style w:type="paragraph" w:styleId="Heading6">
    <w:name w:val="heading 6"/>
    <w:basedOn w:val="Normal"/>
    <w:next w:val="Normal"/>
    <w:uiPriority w:val="9"/>
    <w:semiHidden/>
    <w:unhideWhenUsed/>
    <w:qFormat/>
    <w:rsid w:val="6D0470E7"/>
    <w:pPr>
      <w:keepNext/>
      <w:keepLines/>
      <w:spacing w:before="40" w:after="0"/>
      <w:outlineLvl w:val="5"/>
    </w:pPr>
    <w:rPr>
      <w:rFonts w:asciiTheme="majorHAnsi" w:hAnsiTheme="majorHAnsi" w:eastAsiaTheme="majorEastAsia" w:cstheme="majorBidi"/>
    </w:rPr>
  </w:style>
  <w:style w:type="paragraph" w:styleId="Heading7">
    <w:name w:val="heading 7"/>
    <w:basedOn w:val="Normal"/>
    <w:next w:val="Normal"/>
    <w:uiPriority w:val="9"/>
    <w:unhideWhenUsed/>
    <w:qFormat/>
    <w:rsid w:val="6D0470E7"/>
    <w:pPr>
      <w:keepNext/>
      <w:keepLines/>
      <w:spacing w:before="40" w:after="0"/>
      <w:outlineLvl w:val="6"/>
    </w:pPr>
    <w:rPr>
      <w:rFonts w:asciiTheme="majorHAnsi" w:hAnsiTheme="majorHAnsi" w:eastAsiaTheme="majorEastAsia" w:cstheme="majorBidi"/>
      <w:i/>
      <w:iCs/>
    </w:rPr>
  </w:style>
  <w:style w:type="paragraph" w:styleId="Heading8">
    <w:name w:val="heading 8"/>
    <w:basedOn w:val="Normal"/>
    <w:next w:val="Normal"/>
    <w:uiPriority w:val="9"/>
    <w:unhideWhenUsed/>
    <w:qFormat/>
    <w:rsid w:val="6D0470E7"/>
    <w:pPr>
      <w:keepNext/>
      <w:keepLines/>
      <w:spacing w:before="40" w:after="0"/>
      <w:outlineLvl w:val="7"/>
    </w:pPr>
    <w:rPr>
      <w:rFonts w:asciiTheme="majorHAnsi" w:hAnsiTheme="majorHAnsi" w:eastAsiaTheme="majorEastAsia" w:cstheme="majorBidi"/>
      <w:sz w:val="21"/>
      <w:szCs w:val="21"/>
    </w:rPr>
  </w:style>
  <w:style w:type="paragraph" w:styleId="Heading9">
    <w:name w:val="heading 9"/>
    <w:basedOn w:val="Normal"/>
    <w:next w:val="Normal"/>
    <w:uiPriority w:val="9"/>
    <w:unhideWhenUsed/>
    <w:qFormat/>
    <w:rsid w:val="6D0470E7"/>
    <w:pPr>
      <w:keepNext/>
      <w:keepLines/>
      <w:spacing w:before="40" w:after="0"/>
      <w:outlineLvl w:val="8"/>
    </w:pPr>
    <w:rPr>
      <w:rFonts w:asciiTheme="majorHAnsi" w:hAnsiTheme="majorHAnsi" w:eastAsiaTheme="majorEastAsia" w:cstheme="majorBidi"/>
      <w: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rsid w:val="6D0470E7"/>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rsid w:val="6D0470E7"/>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Title">
    <w:name w:val="Title"/>
    <w:basedOn w:val="Normal"/>
    <w:next w:val="Normal"/>
    <w:uiPriority w:val="10"/>
    <w:qFormat/>
    <w:rsid w:val="6D0470E7"/>
    <w:pPr>
      <w:spacing w:after="0" w:line="240" w:lineRule="auto"/>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6D0470E7"/>
  </w:style>
  <w:style w:type="paragraph" w:styleId="Quote">
    <w:name w:val="Quote"/>
    <w:basedOn w:val="Normal"/>
    <w:next w:val="Normal"/>
    <w:uiPriority w:val="29"/>
    <w:qFormat/>
    <w:rsid w:val="6D0470E7"/>
    <w:pPr>
      <w:spacing w:before="200"/>
      <w:ind w:left="864" w:right="864"/>
      <w:jc w:val="center"/>
    </w:pPr>
    <w:rPr>
      <w:i/>
      <w:iCs/>
    </w:rPr>
  </w:style>
  <w:style w:type="paragraph" w:styleId="IntenseQuote">
    <w:name w:val="Intense Quote"/>
    <w:basedOn w:val="Normal"/>
    <w:next w:val="Normal"/>
    <w:uiPriority w:val="30"/>
    <w:qFormat/>
    <w:rsid w:val="6D0470E7"/>
    <w:pPr>
      <w:spacing w:before="360" w:after="360"/>
      <w:ind w:left="864" w:right="864"/>
      <w:jc w:val="center"/>
    </w:pPr>
    <w:rPr>
      <w:i/>
      <w:iCs/>
    </w:rPr>
  </w:style>
  <w:style w:type="paragraph" w:styleId="ListParagraph">
    <w:name w:val="List Paragraph"/>
    <w:basedOn w:val="Normal"/>
    <w:uiPriority w:val="34"/>
    <w:qFormat/>
    <w:rsid w:val="6D0470E7"/>
    <w:pPr>
      <w:ind w:left="720"/>
      <w:contextualSpacing/>
    </w:pPr>
  </w:style>
  <w:style w:type="paragraph" w:styleId="TOC1">
    <w:name w:val="toc 1"/>
    <w:basedOn w:val="Normal"/>
    <w:next w:val="Normal"/>
    <w:uiPriority w:val="39"/>
    <w:unhideWhenUsed/>
    <w:rsid w:val="6D0470E7"/>
    <w:pPr>
      <w:spacing w:after="100"/>
    </w:pPr>
  </w:style>
  <w:style w:type="paragraph" w:styleId="TOC2">
    <w:name w:val="toc 2"/>
    <w:basedOn w:val="Normal"/>
    <w:next w:val="Normal"/>
    <w:uiPriority w:val="39"/>
    <w:unhideWhenUsed/>
    <w:rsid w:val="6D0470E7"/>
    <w:pPr>
      <w:spacing w:after="100"/>
      <w:ind w:left="220"/>
    </w:pPr>
  </w:style>
  <w:style w:type="paragraph" w:styleId="TOC3">
    <w:name w:val="toc 3"/>
    <w:basedOn w:val="Normal"/>
    <w:next w:val="Normal"/>
    <w:uiPriority w:val="39"/>
    <w:unhideWhenUsed/>
    <w:rsid w:val="6D0470E7"/>
    <w:pPr>
      <w:spacing w:after="100"/>
      <w:ind w:left="440"/>
    </w:pPr>
  </w:style>
  <w:style w:type="paragraph" w:styleId="TOC4">
    <w:name w:val="toc 4"/>
    <w:basedOn w:val="Normal"/>
    <w:next w:val="Normal"/>
    <w:uiPriority w:val="39"/>
    <w:unhideWhenUsed/>
    <w:rsid w:val="6D0470E7"/>
    <w:pPr>
      <w:spacing w:after="100"/>
      <w:ind w:left="660"/>
    </w:pPr>
  </w:style>
  <w:style w:type="paragraph" w:styleId="TOC5">
    <w:name w:val="toc 5"/>
    <w:basedOn w:val="Normal"/>
    <w:next w:val="Normal"/>
    <w:uiPriority w:val="39"/>
    <w:unhideWhenUsed/>
    <w:rsid w:val="6D0470E7"/>
    <w:pPr>
      <w:spacing w:after="100"/>
      <w:ind w:left="880"/>
    </w:pPr>
  </w:style>
  <w:style w:type="paragraph" w:styleId="TOC6">
    <w:name w:val="toc 6"/>
    <w:basedOn w:val="Normal"/>
    <w:next w:val="Normal"/>
    <w:uiPriority w:val="39"/>
    <w:unhideWhenUsed/>
    <w:rsid w:val="6D0470E7"/>
    <w:pPr>
      <w:spacing w:after="100"/>
      <w:ind w:left="1100"/>
    </w:pPr>
  </w:style>
  <w:style w:type="paragraph" w:styleId="TOC7">
    <w:name w:val="toc 7"/>
    <w:basedOn w:val="Normal"/>
    <w:next w:val="Normal"/>
    <w:uiPriority w:val="39"/>
    <w:unhideWhenUsed/>
    <w:rsid w:val="6D0470E7"/>
    <w:pPr>
      <w:spacing w:after="100"/>
      <w:ind w:left="1320"/>
    </w:pPr>
  </w:style>
  <w:style w:type="paragraph" w:styleId="TOC8">
    <w:name w:val="toc 8"/>
    <w:basedOn w:val="Normal"/>
    <w:next w:val="Normal"/>
    <w:uiPriority w:val="39"/>
    <w:unhideWhenUsed/>
    <w:rsid w:val="6D0470E7"/>
    <w:pPr>
      <w:spacing w:after="100"/>
      <w:ind w:left="1540"/>
    </w:pPr>
  </w:style>
  <w:style w:type="paragraph" w:styleId="TOC9">
    <w:name w:val="toc 9"/>
    <w:basedOn w:val="Normal"/>
    <w:next w:val="Normal"/>
    <w:uiPriority w:val="39"/>
    <w:unhideWhenUsed/>
    <w:rsid w:val="6D0470E7"/>
    <w:pPr>
      <w:spacing w:after="100"/>
      <w:ind w:left="1760"/>
    </w:pPr>
  </w:style>
  <w:style w:type="paragraph" w:styleId="EndnoteText">
    <w:name w:val="endnote text"/>
    <w:basedOn w:val="Normal"/>
    <w:uiPriority w:val="99"/>
    <w:semiHidden/>
    <w:unhideWhenUsed/>
    <w:rsid w:val="6D0470E7"/>
    <w:pPr>
      <w:spacing w:after="0" w:line="240" w:lineRule="auto"/>
    </w:pPr>
    <w:rPr>
      <w:sz w:val="20"/>
      <w:szCs w:val="20"/>
    </w:rPr>
  </w:style>
  <w:style w:type="paragraph" w:styleId="FootnoteText">
    <w:name w:val="footnote text"/>
    <w:basedOn w:val="Normal"/>
    <w:uiPriority w:val="99"/>
    <w:semiHidden/>
    <w:unhideWhenUsed/>
    <w:rsid w:val="6D0470E7"/>
    <w:pPr>
      <w:spacing w:after="0" w:line="240" w:lineRule="auto"/>
    </w:pPr>
    <w:rPr>
      <w:sz w:val="20"/>
      <w:szCs w:val="20"/>
    </w:rPr>
  </w:style>
  <w:style w:type="paragraph" w:styleId="Revision">
    <w:name w:val="Revision"/>
    <w:hidden/>
    <w:uiPriority w:val="99"/>
    <w:semiHidden/>
    <w:rsid w:val="00BB0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Regulatory.cycle@environment-agency.gov.uk" TargetMode="External" Id="rId9" /><Relationship Type="http://schemas.openxmlformats.org/officeDocument/2006/relationships/theme" Target="theme/theme1.xml" Id="rId14" /><Relationship Type="http://schemas.microsoft.com/office/2020/10/relationships/intelligence" Target="intelligence2.xml" Id="R0ed35da19ec047b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bbe167-487c-408d-acef-8d2427bd1be5" xsi:nil="true"/>
    <lcf76f155ced4ddcb4097134ff3c332f xmlns="08b28fe2-aad7-446e-968d-b56429c2090b">
      <Terms xmlns="http://schemas.microsoft.com/office/infopath/2007/PartnerControls"/>
    </lcf76f155ced4ddcb4097134ff3c332f>
    <SharedWithUsers xmlns="3bbbe167-487c-408d-acef-8d2427bd1be5">
      <UserInfo>
        <DisplayName>Horrocks, Lee</DisplayName>
        <AccountId>116</AccountId>
        <AccountType/>
      </UserInfo>
      <UserInfo>
        <DisplayName>Wagstaff, Emma</DisplayName>
        <AccountId>902</AccountId>
        <AccountType/>
      </UserInfo>
      <UserInfo>
        <DisplayName>James, Martin</DisplayName>
        <AccountId>857</AccountId>
        <AccountType/>
      </UserInfo>
      <UserInfo>
        <DisplayName>Harding, Emma</DisplayName>
        <AccountId>120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419C3-81DA-4808-9046-4B3F7FCD9664}">
  <ds:schemaRefs>
    <ds:schemaRef ds:uri="http://schemas.microsoft.com/office/2006/metadata/properties"/>
    <ds:schemaRef ds:uri="http://schemas.microsoft.com/office/infopath/2007/PartnerControls"/>
    <ds:schemaRef ds:uri="662745e8-e224-48e8-a2e3-254862b8c2f5"/>
    <ds:schemaRef ds:uri="7fbaca95-d54a-4173-9d7c-6441321dae25"/>
    <ds:schemaRef ds:uri="34d693c2-6363-415e-a809-aeaba6cf40ec"/>
    <ds:schemaRef ds:uri="3bbbe167-487c-408d-acef-8d2427bd1be5"/>
    <ds:schemaRef ds:uri="08b28fe2-aad7-446e-968d-b56429c2090b"/>
  </ds:schemaRefs>
</ds:datastoreItem>
</file>

<file path=customXml/itemProps2.xml><?xml version="1.0" encoding="utf-8"?>
<ds:datastoreItem xmlns:ds="http://schemas.openxmlformats.org/officeDocument/2006/customXml" ds:itemID="{BFCDA2A7-0F71-4F04-8F4B-96FFCDF4F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2525F-DE5F-4741-88DC-AF14DB68B3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Shipp</dc:creator>
  <keywords/>
  <dc:description/>
  <lastModifiedBy>Claire Shipp</lastModifiedBy>
  <revision>12</revision>
  <dcterms:created xsi:type="dcterms:W3CDTF">2024-09-03T08:26:00.0000000Z</dcterms:created>
  <dcterms:modified xsi:type="dcterms:W3CDTF">2024-09-04T14:58:28.4424574Z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6;#Team|ff0485df-0575-416f-802f-e999165821b7</vt:lpwstr>
  </property>
  <property fmtid="{D5CDD505-2E9C-101B-9397-08002B2CF9AE}" pid="6" name="Distribution">
    <vt:lpwstr>5;#Internal Defra Group|0867f7b3-e76e-40ca-bb1f-5ba341a49230</vt:lpwstr>
  </property>
  <property fmtid="{D5CDD505-2E9C-101B-9397-08002B2CF9AE}" pid="7" name="OrganisationalUnit">
    <vt:lpwstr>3;#EA|d5f78ddb-b1b6-4328-9877-d7e3ed06fdac</vt:lpwstr>
  </property>
  <property fmtid="{D5CDD505-2E9C-101B-9397-08002B2CF9AE}" pid="8" name="HOCopyrightLevel">
    <vt:lpwstr>1;#Crown|69589897-2828-4761-976e-717fd8e631c9</vt:lpwstr>
  </property>
  <property fmtid="{D5CDD505-2E9C-101B-9397-08002B2CF9AE}" pid="9" name="MediaServiceImageTags">
    <vt:lpwstr/>
  </property>
</Properties>
</file>