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EF034" w14:textId="5AE886A7" w:rsidR="00C53E10" w:rsidRDefault="00BD1FA9" w:rsidP="00BD1FA9">
      <w:pPr>
        <w:pStyle w:val="Heading1"/>
      </w:pPr>
      <w:r>
        <w:t xml:space="preserve">REA draft response: </w:t>
      </w:r>
      <w:r w:rsidRPr="00BD1FA9">
        <w:t>Integrating greenhouse gas removals in the UK Emissions Trading Scheme</w:t>
      </w:r>
    </w:p>
    <w:p w14:paraId="6D9A0553" w14:textId="77777777" w:rsidR="00BD1FA9" w:rsidRDefault="00BD1FA9" w:rsidP="00BD1FA9"/>
    <w:p w14:paraId="13C0CA05" w14:textId="6612DB96" w:rsidR="00BD1FA9" w:rsidRDefault="00BD1FA9" w:rsidP="00BD1FA9">
      <w: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The REA has dedicated member forums focused on biomass power, biomass heat, green gas and hydrogen, renewable transport fuels, thermal storage, and energy from waste (including advanced conversion technologies). Members range in size from major multinationals to sole traders. There are around 500 corporate members of the REA, making it the largest renewable energy trade association in the UK. </w:t>
      </w:r>
    </w:p>
    <w:p w14:paraId="2B262294" w14:textId="77777777" w:rsidR="00BD1FA9" w:rsidRDefault="00BD1FA9" w:rsidP="00BD1FA9"/>
    <w:p w14:paraId="06C13846" w14:textId="38661BDE" w:rsidR="00BD1FA9" w:rsidRDefault="00BD1FA9" w:rsidP="00BD1FA9">
      <w:pPr>
        <w:pStyle w:val="ListParagraph"/>
        <w:numPr>
          <w:ilvl w:val="0"/>
          <w:numId w:val="38"/>
        </w:numPr>
        <w:rPr>
          <w:b/>
          <w:bCs/>
        </w:rPr>
      </w:pPr>
      <w:r w:rsidRPr="00BD1FA9">
        <w:rPr>
          <w:b/>
          <w:bCs/>
        </w:rPr>
        <w:t>Do you agree with the Authority's principles for policy design?</w:t>
      </w:r>
    </w:p>
    <w:p w14:paraId="1CF5E6A3" w14:textId="77777777" w:rsidR="00707522" w:rsidRDefault="00707522" w:rsidP="00FC62B5"/>
    <w:p w14:paraId="6642BDBA" w14:textId="2975882D" w:rsidR="00707522" w:rsidRDefault="00D73819" w:rsidP="00FC62B5">
      <w:r w:rsidRPr="00AD7204">
        <w:t xml:space="preserve">Yes, although we’d also like to see </w:t>
      </w:r>
      <w:r w:rsidR="00AD7204" w:rsidRPr="00AD7204">
        <w:t>three more principles added. These include:</w:t>
      </w:r>
    </w:p>
    <w:p w14:paraId="4FFEA917" w14:textId="74150A8D" w:rsidR="00FC62B5" w:rsidRDefault="00AD7204" w:rsidP="00FC62B5">
      <w:r w:rsidRPr="00AD7204">
        <w:t xml:space="preserve"> </w:t>
      </w:r>
    </w:p>
    <w:p w14:paraId="27A09738" w14:textId="072F6542" w:rsidR="00AD7204" w:rsidRDefault="001F4076" w:rsidP="00AD7204">
      <w:pPr>
        <w:pStyle w:val="ListParagraph"/>
        <w:numPr>
          <w:ilvl w:val="0"/>
          <w:numId w:val="40"/>
        </w:numPr>
      </w:pPr>
      <w:r w:rsidRPr="00EA6136">
        <w:rPr>
          <w:i/>
          <w:iCs/>
        </w:rPr>
        <w:t xml:space="preserve">Maintain existing assets which can in future deliver </w:t>
      </w:r>
      <w:r w:rsidR="00EA6136" w:rsidRPr="00EA6136">
        <w:rPr>
          <w:i/>
          <w:iCs/>
        </w:rPr>
        <w:t>carbon removals</w:t>
      </w:r>
      <w:r w:rsidR="00EA6136">
        <w:t xml:space="preserve"> </w:t>
      </w:r>
      <w:r w:rsidR="008F7645">
        <w:t>–</w:t>
      </w:r>
      <w:r w:rsidR="00EA6136">
        <w:t xml:space="preserve"> </w:t>
      </w:r>
      <w:r w:rsidR="008F7645">
        <w:t xml:space="preserve">the </w:t>
      </w:r>
      <w:r w:rsidR="008322CE">
        <w:t>government’s position is to begin integrating GGRs into the UK ETS from 2028</w:t>
      </w:r>
      <w:r w:rsidR="00D12511">
        <w:t xml:space="preserve">. While we support the principle of integration as soon as possible, timescales need to align with actual GGR projects, </w:t>
      </w:r>
      <w:r w:rsidR="008473EA">
        <w:t>like</w:t>
      </w:r>
      <w:r w:rsidR="00D12511">
        <w:t xml:space="preserve"> the delivery of BECCS at scale for example, currently expected to start coming online from 2030. </w:t>
      </w:r>
      <w:r w:rsidR="00866DB9">
        <w:t xml:space="preserve">Explicit </w:t>
      </w:r>
      <w:r w:rsidR="00727088">
        <w:t>reference</w:t>
      </w:r>
      <w:r w:rsidR="00866DB9">
        <w:t xml:space="preserve"> to </w:t>
      </w:r>
      <w:r w:rsidR="00727088">
        <w:t xml:space="preserve">maintaining </w:t>
      </w:r>
      <w:r w:rsidR="00866DB9">
        <w:t xml:space="preserve">generating assets that will deliver carbon removals in future will provide developers </w:t>
      </w:r>
      <w:r w:rsidR="00727088">
        <w:t xml:space="preserve">and operators </w:t>
      </w:r>
      <w:r w:rsidR="00866DB9">
        <w:t xml:space="preserve">with confidence to </w:t>
      </w:r>
      <w:r w:rsidR="00727088">
        <w:t xml:space="preserve">progress their projects, while </w:t>
      </w:r>
      <w:r w:rsidR="00A84DA2">
        <w:t xml:space="preserve">continuing to deliver low carbon power in the interim. </w:t>
      </w:r>
    </w:p>
    <w:p w14:paraId="70B07B6C" w14:textId="3360515B" w:rsidR="00A84DA2" w:rsidRPr="00EA4D61" w:rsidRDefault="000A1E93" w:rsidP="00AD7204">
      <w:pPr>
        <w:pStyle w:val="ListParagraph"/>
        <w:numPr>
          <w:ilvl w:val="0"/>
          <w:numId w:val="40"/>
        </w:numPr>
        <w:rPr>
          <w:i/>
          <w:iCs/>
        </w:rPr>
      </w:pPr>
      <w:r w:rsidRPr="00631068">
        <w:rPr>
          <w:i/>
          <w:iCs/>
        </w:rPr>
        <w:t xml:space="preserve">Ability to integrate </w:t>
      </w:r>
      <w:r w:rsidR="00631068" w:rsidRPr="00631068">
        <w:rPr>
          <w:i/>
          <w:iCs/>
        </w:rPr>
        <w:t xml:space="preserve">with Voluntary Carbon Market (VCM) </w:t>
      </w:r>
      <w:r w:rsidR="000A40F1">
        <w:rPr>
          <w:i/>
          <w:iCs/>
        </w:rPr>
        <w:t>–</w:t>
      </w:r>
      <w:r w:rsidR="00631068">
        <w:rPr>
          <w:i/>
          <w:iCs/>
        </w:rPr>
        <w:t xml:space="preserve"> </w:t>
      </w:r>
      <w:r w:rsidR="000A40F1">
        <w:t>an overarching principle should include careful integration with the VCM</w:t>
      </w:r>
      <w:r w:rsidR="00135AB7">
        <w:t xml:space="preserve">, which would improve competition, international trading, and </w:t>
      </w:r>
      <w:r w:rsidR="00EA4D61">
        <w:t xml:space="preserve">overall market development. </w:t>
      </w:r>
    </w:p>
    <w:p w14:paraId="42BFD872" w14:textId="712AA90E" w:rsidR="00EA4D61" w:rsidRPr="00631068" w:rsidRDefault="006D413E" w:rsidP="00AD7204">
      <w:pPr>
        <w:pStyle w:val="ListParagraph"/>
        <w:numPr>
          <w:ilvl w:val="0"/>
          <w:numId w:val="40"/>
        </w:numPr>
        <w:rPr>
          <w:i/>
          <w:iCs/>
        </w:rPr>
      </w:pPr>
      <w:r>
        <w:rPr>
          <w:i/>
          <w:iCs/>
        </w:rPr>
        <w:t xml:space="preserve">Neutrality on technology – </w:t>
      </w:r>
      <w:r>
        <w:t xml:space="preserve">while implied in several principles, government should be explicit about </w:t>
      </w:r>
      <w:r w:rsidR="00BC3CD8" w:rsidRPr="00BC3CD8">
        <w:t>encouraging the development, and purchase, of a full portfolio of GGR technologies</w:t>
      </w:r>
      <w:r w:rsidR="00E80B7B">
        <w:t xml:space="preserve"> </w:t>
      </w:r>
      <w:r w:rsidR="00E80B7B">
        <w:t>(engineered and nature-based)</w:t>
      </w:r>
      <w:r w:rsidR="00BC3CD8" w:rsidRPr="00BC3CD8">
        <w:t>, recognising that we will likely need them all to see both substantial carbon removals realised and the delivery of a range of solutions to avoid dependence on one technology and encourage price competitiveness to help reduce costs.</w:t>
      </w:r>
    </w:p>
    <w:p w14:paraId="594D9AA4" w14:textId="77777777" w:rsidR="00BD1FA9" w:rsidRPr="00AD7204" w:rsidRDefault="00BD1FA9" w:rsidP="00AD7204">
      <w:pPr>
        <w:rPr>
          <w:b/>
          <w:bCs/>
        </w:rPr>
      </w:pPr>
    </w:p>
    <w:p w14:paraId="20A09442" w14:textId="4B035D4F" w:rsidR="00BD1FA9" w:rsidRDefault="00BD1FA9" w:rsidP="000F6354">
      <w:pPr>
        <w:pStyle w:val="ListParagraph"/>
        <w:numPr>
          <w:ilvl w:val="0"/>
          <w:numId w:val="38"/>
        </w:numPr>
        <w:rPr>
          <w:b/>
          <w:bCs/>
        </w:rPr>
      </w:pPr>
      <w:r w:rsidRPr="00BD1FA9">
        <w:rPr>
          <w:b/>
          <w:bCs/>
        </w:rPr>
        <w:t>Do you agree the Authority should maintain the gross cap for initial integration of GGRs in</w:t>
      </w:r>
      <w:r>
        <w:rPr>
          <w:b/>
          <w:bCs/>
        </w:rPr>
        <w:t xml:space="preserve"> </w:t>
      </w:r>
      <w:r w:rsidRPr="00BD1FA9">
        <w:rPr>
          <w:b/>
          <w:bCs/>
        </w:rPr>
        <w:t>the UK ETS (Option 2)? Please explain your answer.</w:t>
      </w:r>
    </w:p>
    <w:p w14:paraId="6D6EEA84" w14:textId="77777777" w:rsidR="003E2DC5" w:rsidRDefault="003E2DC5" w:rsidP="003E2DC5">
      <w:pPr>
        <w:rPr>
          <w:b/>
          <w:bCs/>
        </w:rPr>
      </w:pPr>
    </w:p>
    <w:p w14:paraId="62D7B623" w14:textId="69EBF013" w:rsidR="00A6491A" w:rsidRDefault="003E2DC5" w:rsidP="003E2DC5">
      <w:r w:rsidRPr="00A6491A">
        <w:t>Yes, in the short-term, we agree that option 2 – maintaining the gross cap for GGRs – is most appropriate</w:t>
      </w:r>
      <w:r w:rsidR="00647971">
        <w:t xml:space="preserve"> as this will allow the market to develop</w:t>
      </w:r>
      <w:r w:rsidR="008C66C5">
        <w:t>. However, we</w:t>
      </w:r>
      <w:r w:rsidR="00396A80" w:rsidRPr="00A6491A">
        <w:t xml:space="preserve"> support a move to option 3</w:t>
      </w:r>
      <w:r w:rsidR="007355CD">
        <w:t xml:space="preserve"> – setting a new cap -</w:t>
      </w:r>
      <w:r w:rsidR="00396A80" w:rsidRPr="00A6491A">
        <w:t xml:space="preserve"> within a reasonable timescale</w:t>
      </w:r>
      <w:r w:rsidR="00EA281B" w:rsidRPr="00A6491A">
        <w:t xml:space="preserve"> </w:t>
      </w:r>
      <w:r w:rsidR="00FF481A">
        <w:t>to continue driving GGR demand</w:t>
      </w:r>
      <w:r w:rsidR="00B5103E">
        <w:t xml:space="preserve"> and reduce risk as supply becomes clearer. It will also be important to </w:t>
      </w:r>
      <w:r w:rsidR="00EA281B" w:rsidRPr="00A6491A">
        <w:t xml:space="preserve">differentiate between credits offering carbon reduction and carbon removal. </w:t>
      </w:r>
    </w:p>
    <w:p w14:paraId="4AFA497A" w14:textId="77777777" w:rsidR="00A6491A" w:rsidRDefault="00A6491A" w:rsidP="003E2DC5"/>
    <w:p w14:paraId="5B1280FC" w14:textId="2BE555C0" w:rsidR="003E2DC5" w:rsidRPr="00A6491A" w:rsidRDefault="007355CD" w:rsidP="003E2DC5">
      <w:r>
        <w:t>We agree with government that option 1 would not work, as this</w:t>
      </w:r>
      <w:r w:rsidR="00A6491A" w:rsidRPr="00A6491A">
        <w:t xml:space="preserve"> would </w:t>
      </w:r>
      <w:r>
        <w:t xml:space="preserve">merely </w:t>
      </w:r>
      <w:r w:rsidR="00A6491A" w:rsidRPr="00A6491A">
        <w:t xml:space="preserve">create more allowances, </w:t>
      </w:r>
      <w:r>
        <w:t xml:space="preserve">failing </w:t>
      </w:r>
      <w:r w:rsidR="00A6491A" w:rsidRPr="00A6491A">
        <w:t xml:space="preserve">to recognise </w:t>
      </w:r>
      <w:r w:rsidR="008C1A21">
        <w:t>and</w:t>
      </w:r>
      <w:r w:rsidR="00C97642">
        <w:t xml:space="preserve"> </w:t>
      </w:r>
      <w:r w:rsidR="00A6491A" w:rsidRPr="00A6491A">
        <w:t xml:space="preserve">undermining the value of GGRs. </w:t>
      </w:r>
    </w:p>
    <w:p w14:paraId="505D8C81" w14:textId="77777777" w:rsidR="00BD1FA9" w:rsidRPr="00BD1FA9" w:rsidRDefault="00BD1FA9" w:rsidP="00BD1FA9">
      <w:pPr>
        <w:rPr>
          <w:b/>
          <w:bCs/>
        </w:rPr>
      </w:pPr>
    </w:p>
    <w:p w14:paraId="0CEE7E7F" w14:textId="2E3CD13A" w:rsidR="00F538FE" w:rsidRDefault="00BD1FA9" w:rsidP="00F538FE">
      <w:pPr>
        <w:pStyle w:val="ListParagraph"/>
        <w:numPr>
          <w:ilvl w:val="0"/>
          <w:numId w:val="38"/>
        </w:numPr>
        <w:rPr>
          <w:b/>
          <w:bCs/>
        </w:rPr>
      </w:pPr>
      <w:r w:rsidRPr="00BD1FA9">
        <w:rPr>
          <w:b/>
          <w:bCs/>
        </w:rPr>
        <w:t>How can the UK ETS sustain demand for GGRs in the long-term, taking into account the</w:t>
      </w:r>
      <w:r>
        <w:rPr>
          <w:b/>
          <w:bCs/>
        </w:rPr>
        <w:t xml:space="preserve"> </w:t>
      </w:r>
      <w:r w:rsidRPr="00BD1FA9">
        <w:rPr>
          <w:b/>
          <w:bCs/>
        </w:rPr>
        <w:t>consideration of setting a new cap (Option 3)</w:t>
      </w:r>
      <w:r w:rsidR="00F538FE">
        <w:rPr>
          <w:b/>
          <w:bCs/>
        </w:rPr>
        <w:t>?</w:t>
      </w:r>
    </w:p>
    <w:p w14:paraId="4594EDF3" w14:textId="77777777" w:rsidR="00F538FE" w:rsidRDefault="00F538FE" w:rsidP="00F538FE">
      <w:pPr>
        <w:rPr>
          <w:b/>
          <w:bCs/>
        </w:rPr>
      </w:pPr>
    </w:p>
    <w:p w14:paraId="626F0521" w14:textId="4A1DF7D4" w:rsidR="00F538FE" w:rsidRDefault="00F538FE" w:rsidP="00F538FE">
      <w:r w:rsidRPr="00275299">
        <w:t xml:space="preserve">As set out in response to question 1, </w:t>
      </w:r>
      <w:r w:rsidR="003035B0" w:rsidRPr="00275299">
        <w:t>we believe careful integration with the VCM would help to create more competition</w:t>
      </w:r>
      <w:r w:rsidR="00AA6F4D" w:rsidRPr="00275299">
        <w:t xml:space="preserve"> and</w:t>
      </w:r>
      <w:r w:rsidR="003035B0" w:rsidRPr="00275299">
        <w:t xml:space="preserve"> encourage more international trading opportunitie</w:t>
      </w:r>
      <w:r w:rsidR="00AA6F4D" w:rsidRPr="00275299">
        <w:t>s. However, we recognise the</w:t>
      </w:r>
      <w:r w:rsidR="00474D5C" w:rsidRPr="00275299">
        <w:t>re will be a large number of non-obligated parties wishing to buy</w:t>
      </w:r>
      <w:r w:rsidR="00275299" w:rsidRPr="00275299">
        <w:t xml:space="preserve"> negative emissions or </w:t>
      </w:r>
      <w:r w:rsidR="00275299" w:rsidRPr="00275299">
        <w:lastRenderedPageBreak/>
        <w:t xml:space="preserve">carbon removals so integration must be done carefully, to ensure there is no double counting of GGRs. </w:t>
      </w:r>
      <w:r w:rsidR="0079226C">
        <w:t xml:space="preserve">Strong </w:t>
      </w:r>
      <w:r w:rsidR="00062CA2">
        <w:t>MRV protocols will help ensure appropriate integratio</w:t>
      </w:r>
      <w:r w:rsidR="00CB0EBC">
        <w:t xml:space="preserve">n and assurance around counting </w:t>
      </w:r>
      <w:r w:rsidR="00B91EEA">
        <w:t xml:space="preserve">of GGRs. </w:t>
      </w:r>
    </w:p>
    <w:p w14:paraId="5C3B0E23" w14:textId="77777777" w:rsidR="00062CA2" w:rsidRDefault="00062CA2" w:rsidP="00F538FE"/>
    <w:p w14:paraId="18F49330" w14:textId="1AD04721" w:rsidR="00C67D06" w:rsidRDefault="00BD1FA9" w:rsidP="00C67D06">
      <w:pPr>
        <w:pStyle w:val="ListParagraph"/>
        <w:numPr>
          <w:ilvl w:val="0"/>
          <w:numId w:val="38"/>
        </w:numPr>
        <w:rPr>
          <w:b/>
          <w:bCs/>
        </w:rPr>
      </w:pPr>
      <w:r w:rsidRPr="00BD1FA9">
        <w:rPr>
          <w:b/>
          <w:bCs/>
        </w:rPr>
        <w:t>Do you agree that GGR allowances in the UK ETS should be issued ex-post (i.e. after the removal has taken place and been verified)? Please explain your answer.</w:t>
      </w:r>
    </w:p>
    <w:p w14:paraId="5965BD7F" w14:textId="2572663E" w:rsidR="00C67D06" w:rsidRDefault="00C67D06" w:rsidP="00C67D06">
      <w:pPr>
        <w:rPr>
          <w:b/>
          <w:bCs/>
        </w:rPr>
      </w:pPr>
    </w:p>
    <w:p w14:paraId="2E39D284" w14:textId="4E7B52EA" w:rsidR="00C67D06" w:rsidRPr="005C3374" w:rsidRDefault="00C67D06" w:rsidP="00C67D06">
      <w:r w:rsidRPr="005C3374">
        <w:t xml:space="preserve">We agree with the government position that ex-post is preferrable, particularly initially as building confidence in the market and </w:t>
      </w:r>
      <w:r w:rsidR="005C3374" w:rsidRPr="005C3374">
        <w:t xml:space="preserve">providing transparency to consumers is critical if we are to integrate GGRs successfully and build a mature market.  </w:t>
      </w:r>
    </w:p>
    <w:p w14:paraId="06A79EC2" w14:textId="77777777" w:rsidR="00BD1FA9" w:rsidRPr="00BD1FA9" w:rsidRDefault="00BD1FA9" w:rsidP="00BD1FA9">
      <w:pPr>
        <w:rPr>
          <w:b/>
          <w:bCs/>
        </w:rPr>
      </w:pPr>
    </w:p>
    <w:p w14:paraId="325BF12B" w14:textId="16C8F4F9" w:rsidR="00BD1FA9" w:rsidRPr="00BD1FA9" w:rsidRDefault="00BD1FA9" w:rsidP="00C618D0">
      <w:pPr>
        <w:pStyle w:val="ListParagraph"/>
        <w:numPr>
          <w:ilvl w:val="0"/>
          <w:numId w:val="38"/>
        </w:numPr>
        <w:rPr>
          <w:b/>
          <w:bCs/>
        </w:rPr>
      </w:pPr>
      <w:r w:rsidRPr="00BD1FA9">
        <w:rPr>
          <w:b/>
          <w:bCs/>
        </w:rPr>
        <w:t>Does the Authority need to consider any additional measures for the UK ETS to ensure GGR operators are able to arrange offtake agreements? If yes, please provide specific details of which measures should be considered.</w:t>
      </w:r>
    </w:p>
    <w:p w14:paraId="7D8FC741" w14:textId="77777777" w:rsidR="00BD1FA9" w:rsidRDefault="00BD1FA9" w:rsidP="00BD1FA9">
      <w:pPr>
        <w:rPr>
          <w:b/>
          <w:bCs/>
        </w:rPr>
      </w:pPr>
    </w:p>
    <w:p w14:paraId="738E9965" w14:textId="21961EF7" w:rsidR="00D034B2" w:rsidRPr="0028698C" w:rsidRDefault="008C1EE7" w:rsidP="00BD1FA9">
      <w:r w:rsidRPr="0028698C">
        <w:t>The Authority should provide detailed guidance to obligated parties about the difference</w:t>
      </w:r>
      <w:r w:rsidR="00CF4438" w:rsidRPr="0028698C">
        <w:t>s</w:t>
      </w:r>
      <w:r w:rsidRPr="0028698C">
        <w:t xml:space="preserve"> between GGRs and </w:t>
      </w:r>
      <w:r w:rsidR="0028698C" w:rsidRPr="0028698C">
        <w:t>UK A</w:t>
      </w:r>
      <w:r w:rsidRPr="0028698C">
        <w:t>llowances</w:t>
      </w:r>
      <w:r w:rsidR="0028698C" w:rsidRPr="0028698C">
        <w:t xml:space="preserve"> (UKA)</w:t>
      </w:r>
      <w:r w:rsidR="00CF4438" w:rsidRPr="0028698C">
        <w:t xml:space="preserve"> and how to use both. </w:t>
      </w:r>
      <w:r w:rsidR="0028698C">
        <w:t xml:space="preserve">In addition, early modelling on </w:t>
      </w:r>
      <w:r w:rsidR="00AE50FC">
        <w:t>market price should be undertaken as soon as practicable, as this will impact both developers and obligated parties.</w:t>
      </w:r>
    </w:p>
    <w:p w14:paraId="47733F90" w14:textId="77777777" w:rsidR="00D034B2" w:rsidRPr="00BD1FA9" w:rsidRDefault="00D034B2" w:rsidP="00BD1FA9">
      <w:pPr>
        <w:rPr>
          <w:b/>
          <w:bCs/>
        </w:rPr>
      </w:pPr>
    </w:p>
    <w:p w14:paraId="065AE7AE" w14:textId="61A9601E" w:rsidR="00BD1FA9" w:rsidRDefault="00BD1FA9" w:rsidP="00970D7F">
      <w:pPr>
        <w:pStyle w:val="ListParagraph"/>
        <w:numPr>
          <w:ilvl w:val="0"/>
          <w:numId w:val="38"/>
        </w:numPr>
        <w:rPr>
          <w:b/>
          <w:bCs/>
        </w:rPr>
      </w:pPr>
      <w:r w:rsidRPr="00BD1FA9">
        <w:rPr>
          <w:b/>
          <w:bCs/>
        </w:rPr>
        <w:t>Does the Authority need to consider any specific measures for smaller scale GGR operators, including smaller scale landowners if woodland is included in the scheme? If yes,</w:t>
      </w:r>
      <w:r>
        <w:rPr>
          <w:b/>
          <w:bCs/>
        </w:rPr>
        <w:t xml:space="preserve"> </w:t>
      </w:r>
      <w:r w:rsidRPr="00BD1FA9">
        <w:rPr>
          <w:b/>
          <w:bCs/>
        </w:rPr>
        <w:t>please provide specific details of which measures should be considered.</w:t>
      </w:r>
    </w:p>
    <w:p w14:paraId="09F518CD" w14:textId="77777777" w:rsidR="00A04265" w:rsidRDefault="00A04265" w:rsidP="00A04265">
      <w:pPr>
        <w:rPr>
          <w:b/>
          <w:bCs/>
        </w:rPr>
      </w:pPr>
    </w:p>
    <w:p w14:paraId="6B1C5AF2" w14:textId="7CE3D4F7" w:rsidR="00A04265" w:rsidRPr="007A6E52" w:rsidRDefault="00A04265" w:rsidP="00A04265">
      <w:r w:rsidRPr="007A6E52">
        <w:t>Yes, the Authority should provide a clear route to market for smaller scale operators</w:t>
      </w:r>
      <w:r w:rsidR="007A6E52" w:rsidRPr="007A6E52">
        <w:t xml:space="preserve"> to sell GGRs to obligated parties via </w:t>
      </w:r>
      <w:r w:rsidR="00382BC4" w:rsidRPr="007A6E52">
        <w:t>auction-based</w:t>
      </w:r>
      <w:r w:rsidR="007A6E52" w:rsidRPr="007A6E52">
        <w:t xml:space="preserve"> mechanisms, while recognising that these smaller operators are unlikely to have taken part in auctions previously and maybe not have trading desks. </w:t>
      </w:r>
    </w:p>
    <w:p w14:paraId="25CB839C" w14:textId="77777777" w:rsidR="00BD1FA9" w:rsidRPr="00BD1FA9" w:rsidRDefault="00BD1FA9" w:rsidP="00BD1FA9">
      <w:pPr>
        <w:rPr>
          <w:b/>
          <w:bCs/>
        </w:rPr>
      </w:pPr>
    </w:p>
    <w:p w14:paraId="2E6B8903" w14:textId="634E554E" w:rsidR="00BD1FA9" w:rsidRDefault="00BD1FA9" w:rsidP="0032556E">
      <w:pPr>
        <w:pStyle w:val="ListParagraph"/>
        <w:numPr>
          <w:ilvl w:val="0"/>
          <w:numId w:val="38"/>
        </w:numPr>
        <w:rPr>
          <w:b/>
          <w:bCs/>
        </w:rPr>
      </w:pPr>
      <w:r w:rsidRPr="00BD1FA9">
        <w:rPr>
          <w:b/>
          <w:bCs/>
        </w:rPr>
        <w:t>Who should receive the GGR allowance? Please consider whether this would also apply for</w:t>
      </w:r>
      <w:r>
        <w:rPr>
          <w:b/>
          <w:bCs/>
        </w:rPr>
        <w:t xml:space="preserve"> </w:t>
      </w:r>
      <w:r w:rsidRPr="00BD1FA9">
        <w:rPr>
          <w:b/>
          <w:bCs/>
        </w:rPr>
        <w:t>GGRs that involve multiple actors in the value chain and provide examples.</w:t>
      </w:r>
    </w:p>
    <w:p w14:paraId="6F50C7E6" w14:textId="77777777" w:rsidR="00BD6A58" w:rsidRDefault="00BD6A58" w:rsidP="005F5F7B">
      <w:pPr>
        <w:rPr>
          <w:b/>
          <w:bCs/>
        </w:rPr>
      </w:pPr>
    </w:p>
    <w:p w14:paraId="045131FA" w14:textId="7A693792" w:rsidR="005F5F7B" w:rsidRPr="00BD6A58" w:rsidRDefault="005F5F7B" w:rsidP="005F5F7B">
      <w:r w:rsidRPr="00BD6A58">
        <w:t>For removals</w:t>
      </w:r>
      <w:r w:rsidR="00BD6A58" w:rsidRPr="00BD6A58">
        <w:t xml:space="preserve"> like BECCS and Biochar</w:t>
      </w:r>
      <w:r w:rsidRPr="00BD6A58">
        <w:t>,</w:t>
      </w:r>
      <w:r w:rsidR="007A7AD1">
        <w:t xml:space="preserve"> we believe it would be most appropriate for</w:t>
      </w:r>
      <w:r w:rsidRPr="00BD6A58">
        <w:t xml:space="preserve"> the operator </w:t>
      </w:r>
      <w:r w:rsidR="007A7AD1">
        <w:t>to</w:t>
      </w:r>
      <w:r w:rsidRPr="00BD6A58">
        <w:t xml:space="preserve"> receive the allowance. </w:t>
      </w:r>
      <w:r w:rsidR="00BD6A58" w:rsidRPr="00BD6A58">
        <w:t xml:space="preserve">For land-based capture – for example, enhanced rock weathering – the landowner or farmer using the products should receive the allowance. </w:t>
      </w:r>
    </w:p>
    <w:p w14:paraId="29DAC0ED" w14:textId="77777777" w:rsidR="00BD1FA9" w:rsidRPr="00BD1FA9" w:rsidRDefault="00BD1FA9" w:rsidP="00BD1FA9">
      <w:pPr>
        <w:rPr>
          <w:b/>
          <w:bCs/>
        </w:rPr>
      </w:pPr>
    </w:p>
    <w:p w14:paraId="6E7413CD" w14:textId="6A250918" w:rsidR="00BD1FA9" w:rsidRDefault="00BD1FA9" w:rsidP="00BD1FA9">
      <w:pPr>
        <w:pStyle w:val="ListParagraph"/>
        <w:numPr>
          <w:ilvl w:val="0"/>
          <w:numId w:val="38"/>
        </w:numPr>
        <w:rPr>
          <w:b/>
          <w:bCs/>
        </w:rPr>
      </w:pPr>
      <w:r w:rsidRPr="00BD1FA9">
        <w:rPr>
          <w:b/>
          <w:bCs/>
        </w:rPr>
        <w:t>Should allowances from GGRs be differentiated from UKAs and, if so, how?</w:t>
      </w:r>
    </w:p>
    <w:p w14:paraId="069C6BBF" w14:textId="4E38A14C" w:rsidR="00FF2068" w:rsidRDefault="00FF2068" w:rsidP="00FF2068">
      <w:pPr>
        <w:rPr>
          <w:b/>
          <w:bCs/>
        </w:rPr>
      </w:pPr>
    </w:p>
    <w:p w14:paraId="7305909B" w14:textId="34202E38" w:rsidR="00C649B3" w:rsidRDefault="00B6302D" w:rsidP="00FF2068">
      <w:r w:rsidRPr="00B6302D">
        <w:t xml:space="preserve">A market for both allowances and GGR credits will help to establish the interaction between both essential activities and help enable the deployment of commercial scale greenhouse gas removal technologies, both </w:t>
      </w:r>
      <w:r w:rsidR="00C649B3" w:rsidRPr="00B6302D">
        <w:t>engineered,</w:t>
      </w:r>
      <w:r w:rsidRPr="00B6302D">
        <w:t xml:space="preserve"> and nature based. </w:t>
      </w:r>
    </w:p>
    <w:p w14:paraId="30A24BC9" w14:textId="77777777" w:rsidR="00C649B3" w:rsidRDefault="00C649B3" w:rsidP="00FF2068"/>
    <w:p w14:paraId="64871CDC" w14:textId="40CE219E" w:rsidR="00B965DA" w:rsidRPr="008B1883" w:rsidRDefault="002E437E" w:rsidP="00FF2068">
      <w:r>
        <w:t>As such, t</w:t>
      </w:r>
      <w:r w:rsidR="00B965DA" w:rsidRPr="008B1883">
        <w:t xml:space="preserve">he REA believes the second option – generic GGR allowance – could be used initially, to </w:t>
      </w:r>
      <w:r w:rsidR="00C40950" w:rsidRPr="008B1883">
        <w:t xml:space="preserve">help get the market going and build confidence </w:t>
      </w:r>
      <w:r w:rsidR="00AE492F" w:rsidRPr="008B1883">
        <w:t xml:space="preserve">amongst obligated parties. However, once the market is established, </w:t>
      </w:r>
      <w:r w:rsidR="00F925F7" w:rsidRPr="008B1883">
        <w:t xml:space="preserve">and after careful integration with the VCM, then different </w:t>
      </w:r>
      <w:r w:rsidR="008B1883" w:rsidRPr="008B1883">
        <w:t>values</w:t>
      </w:r>
      <w:r w:rsidR="00F925F7" w:rsidRPr="008B1883">
        <w:t xml:space="preserve"> for different GGRs</w:t>
      </w:r>
      <w:r w:rsidR="008B1883" w:rsidRPr="008B1883">
        <w:t xml:space="preserve">, like technology-specific GGR allowances, should be introduced. This would provide more transparency to obligated parties and other consumers and would rightly recognise the difference in permanence that different technologies can provide. </w:t>
      </w:r>
    </w:p>
    <w:p w14:paraId="27C593B3" w14:textId="77777777" w:rsidR="00BD1FA9" w:rsidRPr="00BD1FA9" w:rsidRDefault="00BD1FA9" w:rsidP="00BD1FA9">
      <w:pPr>
        <w:rPr>
          <w:b/>
          <w:bCs/>
        </w:rPr>
      </w:pPr>
    </w:p>
    <w:p w14:paraId="6E143A43" w14:textId="2C42D7DB" w:rsidR="00BD1FA9" w:rsidRPr="00BD1FA9" w:rsidRDefault="00BD1FA9" w:rsidP="00FC2E5E">
      <w:pPr>
        <w:pStyle w:val="ListParagraph"/>
        <w:numPr>
          <w:ilvl w:val="0"/>
          <w:numId w:val="38"/>
        </w:numPr>
        <w:rPr>
          <w:b/>
          <w:bCs/>
        </w:rPr>
      </w:pPr>
      <w:r w:rsidRPr="00BD1FA9">
        <w:rPr>
          <w:b/>
          <w:bCs/>
        </w:rPr>
        <w:t>Do you think that differentiated GGR allowances would attract a higher price than existing emissions allowances and why? To what extent does this depend on the degree of differentiation (e.g. a generic GGR allowance versus a technology specific GGR allowance)?</w:t>
      </w:r>
    </w:p>
    <w:p w14:paraId="6C3C5693" w14:textId="77777777" w:rsidR="003D7DC1" w:rsidRDefault="003D7DC1" w:rsidP="00BD1FA9">
      <w:pPr>
        <w:rPr>
          <w:b/>
          <w:bCs/>
        </w:rPr>
      </w:pPr>
    </w:p>
    <w:p w14:paraId="0197E28D" w14:textId="6EB2C040" w:rsidR="00BD1FA9" w:rsidRPr="003D7DC1" w:rsidRDefault="00D16F33" w:rsidP="00BD1FA9">
      <w:r w:rsidRPr="003D7DC1">
        <w:lastRenderedPageBreak/>
        <w:t>Yes</w:t>
      </w:r>
      <w:r w:rsidR="00E40362" w:rsidRPr="003D7DC1">
        <w:t xml:space="preserve">. </w:t>
      </w:r>
      <w:r w:rsidR="003D7DC1" w:rsidRPr="003D7DC1">
        <w:t xml:space="preserve">As set out in response to question 8, </w:t>
      </w:r>
      <w:r w:rsidR="006D5E42">
        <w:t xml:space="preserve">it is important to differentiate between removal, </w:t>
      </w:r>
      <w:r w:rsidR="0048702C">
        <w:t>reduction</w:t>
      </w:r>
      <w:r w:rsidR="006D5E42">
        <w:t>, and permanence</w:t>
      </w:r>
      <w:r w:rsidR="0055010A">
        <w:t>, which</w:t>
      </w:r>
      <w:r w:rsidR="00055C85">
        <w:t xml:space="preserve"> in time</w:t>
      </w:r>
      <w:r w:rsidR="0055010A">
        <w:t xml:space="preserve"> could be achieved by banding the </w:t>
      </w:r>
      <w:r w:rsidR="00055C85">
        <w:t>GGR allowances. However, to g</w:t>
      </w:r>
      <w:r w:rsidR="002B439E">
        <w:t xml:space="preserve">et the market going, it may be best to use generic allowances, with a view to introducing banding for types of GGR allowance once the market is suitably established. </w:t>
      </w:r>
    </w:p>
    <w:p w14:paraId="7F1A0596" w14:textId="77777777" w:rsidR="00D16F33" w:rsidRPr="00BD1FA9" w:rsidRDefault="00D16F33" w:rsidP="00BD1FA9">
      <w:pPr>
        <w:rPr>
          <w:b/>
          <w:bCs/>
        </w:rPr>
      </w:pPr>
    </w:p>
    <w:p w14:paraId="7D4E993E" w14:textId="648B0C10" w:rsidR="00BD1FA9" w:rsidRDefault="00BD1FA9" w:rsidP="00B77431">
      <w:pPr>
        <w:pStyle w:val="ListParagraph"/>
        <w:numPr>
          <w:ilvl w:val="0"/>
          <w:numId w:val="38"/>
        </w:numPr>
        <w:rPr>
          <w:b/>
          <w:bCs/>
        </w:rPr>
      </w:pPr>
      <w:r w:rsidRPr="00BD1FA9">
        <w:rPr>
          <w:b/>
          <w:bCs/>
        </w:rPr>
        <w:t>Will differentiated GGR allowances encourage non-compliance or non-trading entities to</w:t>
      </w:r>
      <w:r>
        <w:rPr>
          <w:b/>
          <w:bCs/>
        </w:rPr>
        <w:t xml:space="preserve"> </w:t>
      </w:r>
      <w:r w:rsidRPr="00BD1FA9">
        <w:rPr>
          <w:b/>
          <w:bCs/>
        </w:rPr>
        <w:t>purchase these allowances?</w:t>
      </w:r>
    </w:p>
    <w:p w14:paraId="2AA67026" w14:textId="77777777" w:rsidR="008413B6" w:rsidRPr="00BD1FA9" w:rsidRDefault="008413B6" w:rsidP="008413B6">
      <w:pPr>
        <w:pStyle w:val="ListParagraph"/>
        <w:rPr>
          <w:b/>
          <w:bCs/>
        </w:rPr>
      </w:pPr>
    </w:p>
    <w:p w14:paraId="221EBB04" w14:textId="55CC2613" w:rsidR="000B76EB" w:rsidRPr="000B76EB" w:rsidRDefault="000B76EB" w:rsidP="00BD1FA9">
      <w:r w:rsidRPr="000B76EB">
        <w:t xml:space="preserve">It is important that generators are able to trade credits and GGR allowances in both the UK ETS and a carefully integrated VCM, provided there are checks and balances in place to ensure no double counting can take place. </w:t>
      </w:r>
      <w:r w:rsidR="008D110D">
        <w:t xml:space="preserve">We recognise that integration with the VCM could </w:t>
      </w:r>
      <w:r w:rsidR="00B80CAB">
        <w:t>result in more non-trading entities trading in a non-compliant way, but if integration is handled carefully, with the right checks and balances put in place, non-compliance can be avoided</w:t>
      </w:r>
      <w:r w:rsidR="00DC705D">
        <w:t xml:space="preserve">. </w:t>
      </w:r>
    </w:p>
    <w:p w14:paraId="7748FF42" w14:textId="77777777" w:rsidR="000B76EB" w:rsidRPr="00BD1FA9" w:rsidRDefault="000B76EB" w:rsidP="00BD1FA9">
      <w:pPr>
        <w:rPr>
          <w:b/>
          <w:bCs/>
        </w:rPr>
      </w:pPr>
    </w:p>
    <w:p w14:paraId="5019E936" w14:textId="70C55072" w:rsidR="00BD1FA9" w:rsidRDefault="00BD1FA9" w:rsidP="00B9067E">
      <w:pPr>
        <w:pStyle w:val="ListParagraph"/>
        <w:numPr>
          <w:ilvl w:val="0"/>
          <w:numId w:val="38"/>
        </w:numPr>
        <w:rPr>
          <w:b/>
          <w:bCs/>
        </w:rPr>
      </w:pPr>
      <w:r w:rsidRPr="00BD1FA9">
        <w:rPr>
          <w:b/>
          <w:bCs/>
        </w:rPr>
        <w:t>What should the Authority’s role be in facilitating a route to market for allowances from GGRs?</w:t>
      </w:r>
    </w:p>
    <w:p w14:paraId="19EE0531" w14:textId="77777777" w:rsidR="00C90428" w:rsidRDefault="00C90428" w:rsidP="00C90428">
      <w:pPr>
        <w:pStyle w:val="ListParagraph"/>
        <w:rPr>
          <w:b/>
          <w:bCs/>
        </w:rPr>
      </w:pPr>
    </w:p>
    <w:p w14:paraId="6AAEA2A6" w14:textId="53A2D1C0" w:rsidR="00976BCF" w:rsidRPr="00B26E5D" w:rsidRDefault="00C90428" w:rsidP="00976BCF">
      <w:r w:rsidRPr="00B26E5D">
        <w:t>S</w:t>
      </w:r>
      <w:r w:rsidR="00976BCF" w:rsidRPr="00B26E5D">
        <w:t xml:space="preserve">eparate auctions </w:t>
      </w:r>
      <w:r w:rsidR="00B72416" w:rsidRPr="00B26E5D">
        <w:t>for GGRs would help drive price discovery,</w:t>
      </w:r>
      <w:r w:rsidRPr="00B26E5D">
        <w:t xml:space="preserve"> which is particularly important as the market is getting established. However, we also think th</w:t>
      </w:r>
      <w:r w:rsidR="00B26E5D" w:rsidRPr="00B26E5D">
        <w:t xml:space="preserve">at operators who meet the UK ETS requirements should be able to sell allowances to buyers on the secondary market. We don’t view these options as mutually exclusive. </w:t>
      </w:r>
      <w:r w:rsidR="001C0353">
        <w:t xml:space="preserve"> </w:t>
      </w:r>
    </w:p>
    <w:p w14:paraId="4BDE1B6E" w14:textId="77777777" w:rsidR="00BD1FA9" w:rsidRPr="00BD1FA9" w:rsidRDefault="00BD1FA9" w:rsidP="00BD1FA9">
      <w:pPr>
        <w:rPr>
          <w:b/>
          <w:bCs/>
        </w:rPr>
      </w:pPr>
    </w:p>
    <w:p w14:paraId="6D68F98B" w14:textId="33CCFE90" w:rsidR="00BD1FA9" w:rsidRPr="008E6FB1" w:rsidRDefault="00BD1FA9" w:rsidP="00EE785E">
      <w:pPr>
        <w:pStyle w:val="ListParagraph"/>
        <w:numPr>
          <w:ilvl w:val="0"/>
          <w:numId w:val="38"/>
        </w:numPr>
        <w:rPr>
          <w:b/>
          <w:bCs/>
          <w:highlight w:val="yellow"/>
        </w:rPr>
      </w:pPr>
      <w:r w:rsidRPr="008E6FB1">
        <w:rPr>
          <w:b/>
          <w:bCs/>
          <w:highlight w:val="yellow"/>
        </w:rPr>
        <w:t>Do you agree that allowances should only be awarded to UK-based GGRs? We welcome views from all stakeholders including sector-specific considerations. Please explain your answer.</w:t>
      </w:r>
    </w:p>
    <w:p w14:paraId="78D8F3B1" w14:textId="77777777" w:rsidR="00601606" w:rsidRPr="008E6FB1" w:rsidRDefault="00601606" w:rsidP="00601606"/>
    <w:p w14:paraId="15CFFE95" w14:textId="11CB1A29" w:rsidR="00601606" w:rsidRDefault="00601606" w:rsidP="00601606">
      <w:r w:rsidRPr="008E6FB1">
        <w:rPr>
          <w:highlight w:val="yellow"/>
        </w:rPr>
        <w:t>Alignment with EU ETS</w:t>
      </w:r>
      <w:r w:rsidR="00385298" w:rsidRPr="008E6FB1">
        <w:rPr>
          <w:highlight w:val="yellow"/>
        </w:rPr>
        <w:t xml:space="preserve"> (GGR allowances recognised within both markets)? Need to recognise that obligated party might be an </w:t>
      </w:r>
      <w:r w:rsidR="008E6FB1" w:rsidRPr="008E6FB1">
        <w:rPr>
          <w:highlight w:val="yellow"/>
        </w:rPr>
        <w:t>international</w:t>
      </w:r>
      <w:r w:rsidR="00385298" w:rsidRPr="008E6FB1">
        <w:rPr>
          <w:highlight w:val="yellow"/>
        </w:rPr>
        <w:t xml:space="preserve"> organisation with a UK entity</w:t>
      </w:r>
      <w:r w:rsidR="008E6FB1" w:rsidRPr="008E6FB1">
        <w:rPr>
          <w:highlight w:val="yellow"/>
        </w:rPr>
        <w:t xml:space="preserve"> – developer can be UK based? NEED MORE MEMBER INPUT.</w:t>
      </w:r>
      <w:r w:rsidR="008E6FB1">
        <w:t xml:space="preserve"> </w:t>
      </w:r>
    </w:p>
    <w:p w14:paraId="7FF769A4" w14:textId="77777777" w:rsidR="00E0143E" w:rsidRDefault="00E0143E" w:rsidP="00E0143E">
      <w:r>
        <w:t xml:space="preserve">It is noted that the UK will likely be one of the first carbon markets to incorporate GGRs. While progress has been made under Article 6 of Paris Agreement to define rules for international cooperation towards national targets and carbon trading mechanisms, it is unlikely that carbon removals will be included in these arrangements in the near term. As such it may be appropriate to make eligibility limited to domestic projects only, with capture and storage of CO2 taking place in the UK. </w:t>
      </w:r>
    </w:p>
    <w:p w14:paraId="519CA8E5" w14:textId="77777777" w:rsidR="00E0143E" w:rsidRDefault="00E0143E" w:rsidP="00E0143E"/>
    <w:p w14:paraId="65E711F4" w14:textId="02083DD3" w:rsidR="00E0143E" w:rsidRPr="008E6FB1" w:rsidRDefault="00E0143E" w:rsidP="00E0143E">
      <w:r>
        <w:t>However, given that the UK and EU continue to explore options for connecting the UK ETS and EU ETS, GGRs should also be part of these discussions and explored at the earliest opportunity so that trade of GGRs across these two markets are achieved as soon as possible. This will also help with addressing price and carbon leakage concerns.</w:t>
      </w:r>
    </w:p>
    <w:p w14:paraId="63C8877F" w14:textId="77777777" w:rsidR="00BD1FA9" w:rsidRPr="00BD1FA9" w:rsidRDefault="00BD1FA9" w:rsidP="00BD1FA9">
      <w:pPr>
        <w:rPr>
          <w:b/>
          <w:bCs/>
        </w:rPr>
      </w:pPr>
    </w:p>
    <w:p w14:paraId="29C2AE6E" w14:textId="1F105E87" w:rsidR="00BD1FA9" w:rsidRDefault="00BD1FA9" w:rsidP="00AF1B5F">
      <w:pPr>
        <w:pStyle w:val="ListParagraph"/>
        <w:numPr>
          <w:ilvl w:val="0"/>
          <w:numId w:val="38"/>
        </w:numPr>
        <w:rPr>
          <w:b/>
          <w:bCs/>
        </w:rPr>
      </w:pPr>
      <w:r w:rsidRPr="00BD1FA9">
        <w:rPr>
          <w:b/>
          <w:bCs/>
        </w:rPr>
        <w:t>Do you agree with the proposed permanence framework of both a minimum storage period, a liability measure and a fungibility measure? Please explain your answer.</w:t>
      </w:r>
    </w:p>
    <w:p w14:paraId="1F136A0A" w14:textId="77777777" w:rsidR="00A421EB" w:rsidRDefault="00A421EB" w:rsidP="00A421EB">
      <w:pPr>
        <w:ind w:left="360"/>
        <w:rPr>
          <w:b/>
          <w:bCs/>
        </w:rPr>
      </w:pPr>
    </w:p>
    <w:p w14:paraId="2CB00067" w14:textId="12079570" w:rsidR="00A421EB" w:rsidRPr="00852180" w:rsidRDefault="00A421EB" w:rsidP="00A421EB">
      <w:pPr>
        <w:ind w:left="360"/>
      </w:pPr>
      <w:r w:rsidRPr="00852180">
        <w:t xml:space="preserve">Yes, </w:t>
      </w:r>
      <w:r w:rsidR="00D40940" w:rsidRPr="00852180">
        <w:t xml:space="preserve">the framework </w:t>
      </w:r>
      <w:r w:rsidR="00852180" w:rsidRPr="00852180">
        <w:t>on liability and fungibility measures is</w:t>
      </w:r>
      <w:r w:rsidR="00615F90">
        <w:t xml:space="preserve"> required</w:t>
      </w:r>
      <w:r w:rsidR="00852180" w:rsidRPr="00852180">
        <w:t xml:space="preserve">, </w:t>
      </w:r>
      <w:r w:rsidRPr="00852180">
        <w:t xml:space="preserve">although further information is needed on the minimum storage period. </w:t>
      </w:r>
    </w:p>
    <w:p w14:paraId="03191BD3" w14:textId="77777777" w:rsidR="00BD1FA9" w:rsidRPr="00BD1FA9" w:rsidRDefault="00BD1FA9" w:rsidP="00BD1FA9">
      <w:pPr>
        <w:rPr>
          <w:b/>
          <w:bCs/>
        </w:rPr>
      </w:pPr>
    </w:p>
    <w:p w14:paraId="178A5D4A" w14:textId="33D12A22" w:rsidR="00540181" w:rsidRPr="00540181" w:rsidRDefault="00BD1FA9" w:rsidP="00540181">
      <w:pPr>
        <w:pStyle w:val="ListParagraph"/>
        <w:numPr>
          <w:ilvl w:val="0"/>
          <w:numId w:val="38"/>
        </w:numPr>
        <w:rPr>
          <w:b/>
          <w:bCs/>
          <w:highlight w:val="yellow"/>
        </w:rPr>
      </w:pPr>
      <w:r w:rsidRPr="00540181">
        <w:rPr>
          <w:b/>
          <w:bCs/>
          <w:highlight w:val="yellow"/>
        </w:rPr>
        <w:t>What minimum storage period duration should the Authority set for GGRs entering the UK ETS? Please explain your answer.</w:t>
      </w:r>
    </w:p>
    <w:p w14:paraId="0806B86A" w14:textId="77777777" w:rsidR="00540181" w:rsidRPr="00540181" w:rsidRDefault="00540181" w:rsidP="00540181">
      <w:pPr>
        <w:rPr>
          <w:b/>
          <w:bCs/>
          <w:highlight w:val="yellow"/>
        </w:rPr>
      </w:pPr>
    </w:p>
    <w:p w14:paraId="5449D46D" w14:textId="5A31A5F3" w:rsidR="00540181" w:rsidRPr="00540181" w:rsidRDefault="00540181" w:rsidP="00540181">
      <w:r w:rsidRPr="00540181">
        <w:rPr>
          <w:highlight w:val="yellow"/>
        </w:rPr>
        <w:t>Oxford principles – member input</w:t>
      </w:r>
      <w:r w:rsidRPr="00540181">
        <w:t xml:space="preserve"> </w:t>
      </w:r>
    </w:p>
    <w:p w14:paraId="4091C223" w14:textId="77777777" w:rsidR="00BD1FA9" w:rsidRPr="00BD1FA9" w:rsidRDefault="00BD1FA9" w:rsidP="00BD1FA9">
      <w:pPr>
        <w:rPr>
          <w:b/>
          <w:bCs/>
        </w:rPr>
      </w:pPr>
    </w:p>
    <w:p w14:paraId="55FE6091" w14:textId="1F00C3BC" w:rsidR="00F85FEE" w:rsidRDefault="00BD1FA9" w:rsidP="00F85FEE">
      <w:pPr>
        <w:pStyle w:val="ListParagraph"/>
        <w:numPr>
          <w:ilvl w:val="0"/>
          <w:numId w:val="38"/>
        </w:numPr>
        <w:rPr>
          <w:b/>
          <w:bCs/>
        </w:rPr>
      </w:pPr>
      <w:r w:rsidRPr="00BD1FA9">
        <w:rPr>
          <w:b/>
          <w:bCs/>
        </w:rPr>
        <w:lastRenderedPageBreak/>
        <w:t>How should the Authority manage potential reversal events from GGRs? Please consider the liability options outlined above, whether any options exist that have not been considered, and how the potential liability options could be used together or in sequence.</w:t>
      </w:r>
    </w:p>
    <w:p w14:paraId="4367ADE3" w14:textId="77777777" w:rsidR="004F512C" w:rsidRDefault="004F512C" w:rsidP="00F85FEE">
      <w:pPr>
        <w:rPr>
          <w:b/>
          <w:bCs/>
        </w:rPr>
      </w:pPr>
    </w:p>
    <w:p w14:paraId="73A7024F" w14:textId="11065575" w:rsidR="00F85FEE" w:rsidRPr="00A23DA5" w:rsidRDefault="00F85FEE" w:rsidP="00F85FEE">
      <w:r w:rsidRPr="00A23DA5">
        <w:t xml:space="preserve">The REA supports </w:t>
      </w:r>
      <w:r w:rsidR="004F512C" w:rsidRPr="00A23DA5">
        <w:t xml:space="preserve">the introduction of a sort of banding, or equivalence ratios </w:t>
      </w:r>
      <w:r w:rsidR="0084203E" w:rsidRPr="00A23DA5">
        <w:t>to help differentiate between GGR permanence periods</w:t>
      </w:r>
      <w:r w:rsidR="00A23DA5" w:rsidRPr="00A23DA5">
        <w:t xml:space="preserve">. </w:t>
      </w:r>
    </w:p>
    <w:p w14:paraId="6B191EB1" w14:textId="77777777" w:rsidR="00BD1FA9" w:rsidRPr="00BD1FA9" w:rsidRDefault="00BD1FA9" w:rsidP="00BD1FA9">
      <w:pPr>
        <w:rPr>
          <w:b/>
          <w:bCs/>
        </w:rPr>
      </w:pPr>
    </w:p>
    <w:p w14:paraId="3531425B" w14:textId="48A5EA7F" w:rsidR="00BD1FA9" w:rsidRPr="00BD1FA9" w:rsidRDefault="00BD1FA9" w:rsidP="00997A6C">
      <w:pPr>
        <w:pStyle w:val="ListParagraph"/>
        <w:numPr>
          <w:ilvl w:val="0"/>
          <w:numId w:val="38"/>
        </w:numPr>
        <w:rPr>
          <w:b/>
          <w:bCs/>
        </w:rPr>
      </w:pPr>
      <w:r w:rsidRPr="00BD1FA9">
        <w:rPr>
          <w:b/>
          <w:bCs/>
        </w:rPr>
        <w:t>Where should the liability for any re-release of stored emissions apply if there are multiple actors in the GGR value chain?</w:t>
      </w:r>
    </w:p>
    <w:p w14:paraId="3FC89C4F" w14:textId="500A7051" w:rsidR="00BD1FA9" w:rsidRDefault="00BD1FA9" w:rsidP="00BD1FA9">
      <w:pPr>
        <w:rPr>
          <w:b/>
          <w:bCs/>
        </w:rPr>
      </w:pPr>
    </w:p>
    <w:p w14:paraId="099E5679" w14:textId="2E6358AE" w:rsidR="006F2128" w:rsidRPr="005278C0" w:rsidRDefault="006F2128" w:rsidP="00BD1FA9">
      <w:r w:rsidRPr="005278C0">
        <w:t xml:space="preserve">In this case, the liability should be with the </w:t>
      </w:r>
      <w:r w:rsidR="005278C0" w:rsidRPr="005278C0">
        <w:t xml:space="preserve">storage operator. Placing the onus on the purchaser seems unfair and would create too much risk, potentially undermining the GGR market. </w:t>
      </w:r>
    </w:p>
    <w:p w14:paraId="4FDB9F3A" w14:textId="77777777" w:rsidR="005278C0" w:rsidRPr="00BD1FA9" w:rsidRDefault="005278C0" w:rsidP="00BD1FA9">
      <w:pPr>
        <w:rPr>
          <w:b/>
          <w:bCs/>
        </w:rPr>
      </w:pPr>
    </w:p>
    <w:p w14:paraId="179DC954" w14:textId="5DFA3FB1" w:rsidR="00BD1FA9" w:rsidRDefault="00BD1FA9" w:rsidP="00761F37">
      <w:pPr>
        <w:pStyle w:val="ListParagraph"/>
        <w:numPr>
          <w:ilvl w:val="0"/>
          <w:numId w:val="38"/>
        </w:numPr>
        <w:rPr>
          <w:b/>
          <w:bCs/>
        </w:rPr>
      </w:pPr>
      <w:r w:rsidRPr="00BD1FA9">
        <w:rPr>
          <w:b/>
          <w:bCs/>
        </w:rPr>
        <w:t>Should the liability measure differ if the GGR is also subject to a fungibility measure? For example, if the reversal event was avoidable (i.e. within the control of the GGR operator) or unavoidable (i.e. due to factors outside of control of GGR operator).</w:t>
      </w:r>
    </w:p>
    <w:p w14:paraId="46277978" w14:textId="22E08082" w:rsidR="0052013B" w:rsidRDefault="0052013B" w:rsidP="0052013B">
      <w:pPr>
        <w:rPr>
          <w:b/>
          <w:bCs/>
        </w:rPr>
      </w:pPr>
    </w:p>
    <w:p w14:paraId="5EDB30C4" w14:textId="1E8B1B3E" w:rsidR="0052013B" w:rsidRPr="00B618B0" w:rsidRDefault="0052013B" w:rsidP="0052013B">
      <w:r w:rsidRPr="00B618B0">
        <w:t>No, there should be no difference</w:t>
      </w:r>
      <w:r w:rsidR="00B618B0" w:rsidRPr="00B618B0">
        <w:t xml:space="preserve"> assuming the industry (developer/storage operator etc) is insured for both avoidable and unavoidable outcomes. </w:t>
      </w:r>
    </w:p>
    <w:p w14:paraId="441A5A0A" w14:textId="77777777" w:rsidR="00BD1FA9" w:rsidRPr="00BD1FA9" w:rsidRDefault="00BD1FA9" w:rsidP="00BD1FA9">
      <w:pPr>
        <w:rPr>
          <w:b/>
          <w:bCs/>
        </w:rPr>
      </w:pPr>
    </w:p>
    <w:p w14:paraId="1B415630" w14:textId="25E1021A" w:rsidR="00BD1FA9" w:rsidRDefault="00BD1FA9" w:rsidP="00BD1FA9">
      <w:pPr>
        <w:pStyle w:val="ListParagraph"/>
        <w:numPr>
          <w:ilvl w:val="0"/>
          <w:numId w:val="38"/>
        </w:numPr>
        <w:rPr>
          <w:b/>
          <w:bCs/>
        </w:rPr>
      </w:pPr>
      <w:r w:rsidRPr="00BD1FA9">
        <w:rPr>
          <w:b/>
          <w:bCs/>
        </w:rPr>
        <w:t>Should the Authority use a buffer pool or equivalence ratio?</w:t>
      </w:r>
    </w:p>
    <w:p w14:paraId="13174EA2" w14:textId="77777777" w:rsidR="00B618B0" w:rsidRDefault="00B618B0" w:rsidP="00B618B0"/>
    <w:p w14:paraId="0A3E3B28" w14:textId="005BBA1A" w:rsidR="00B618B0" w:rsidRPr="00B618B0" w:rsidRDefault="00B618B0" w:rsidP="00B618B0">
      <w:r>
        <w:t>The REA would support the introduction of an e</w:t>
      </w:r>
      <w:r w:rsidRPr="00B618B0">
        <w:t xml:space="preserve">quivalence ratio. </w:t>
      </w:r>
      <w:r>
        <w:t xml:space="preserve">We believe a buffer pool may hinder </w:t>
      </w:r>
      <w:r w:rsidR="00AC315B">
        <w:t xml:space="preserve">market development and could even result in some technologies or projects not entering the market in the first place, reducing the options for purchasers, driving costs up, and potentially hampering our net zero ambitions.  </w:t>
      </w:r>
    </w:p>
    <w:p w14:paraId="07142FF8" w14:textId="77777777" w:rsidR="00BD1FA9" w:rsidRPr="00BD1FA9" w:rsidRDefault="00BD1FA9" w:rsidP="00BD1FA9">
      <w:pPr>
        <w:rPr>
          <w:b/>
          <w:bCs/>
        </w:rPr>
      </w:pPr>
    </w:p>
    <w:p w14:paraId="3356CDCF" w14:textId="28364669" w:rsidR="00BD1FA9" w:rsidRDefault="00BD1FA9" w:rsidP="00703C51">
      <w:pPr>
        <w:pStyle w:val="ListParagraph"/>
        <w:numPr>
          <w:ilvl w:val="0"/>
          <w:numId w:val="38"/>
        </w:numPr>
        <w:rPr>
          <w:b/>
          <w:bCs/>
          <w:highlight w:val="yellow"/>
        </w:rPr>
      </w:pPr>
      <w:r w:rsidRPr="005C21FF">
        <w:rPr>
          <w:b/>
          <w:bCs/>
          <w:highlight w:val="yellow"/>
        </w:rPr>
        <w:t>How could the Authority set the contribution rate for a buffer pool? Should this be a flat rate contribution across all applicable projects, or should this vary per project?</w:t>
      </w:r>
    </w:p>
    <w:p w14:paraId="3B7BC303" w14:textId="77777777" w:rsidR="005C21FF" w:rsidRPr="005C21FF" w:rsidRDefault="005C21FF" w:rsidP="005C21FF">
      <w:pPr>
        <w:pStyle w:val="ListParagraph"/>
        <w:rPr>
          <w:b/>
          <w:bCs/>
          <w:highlight w:val="yellow"/>
        </w:rPr>
      </w:pPr>
    </w:p>
    <w:p w14:paraId="33E38BED" w14:textId="5D9E662A" w:rsidR="005C21FF" w:rsidRPr="005C21FF" w:rsidRDefault="005C21FF" w:rsidP="005C21FF">
      <w:pPr>
        <w:rPr>
          <w:b/>
          <w:bCs/>
          <w:highlight w:val="yellow"/>
        </w:rPr>
      </w:pPr>
      <w:r>
        <w:rPr>
          <w:b/>
          <w:bCs/>
          <w:highlight w:val="yellow"/>
        </w:rPr>
        <w:t>MEMBER INPUT</w:t>
      </w:r>
    </w:p>
    <w:p w14:paraId="19A2CDB6" w14:textId="77777777" w:rsidR="00BD1FA9" w:rsidRPr="005C21FF" w:rsidRDefault="00BD1FA9" w:rsidP="00BD1FA9">
      <w:pPr>
        <w:rPr>
          <w:b/>
          <w:bCs/>
          <w:highlight w:val="yellow"/>
        </w:rPr>
      </w:pPr>
    </w:p>
    <w:p w14:paraId="527EC17D" w14:textId="3666C924" w:rsidR="00BD1FA9" w:rsidRPr="005C21FF" w:rsidRDefault="00BD1FA9" w:rsidP="005C3063">
      <w:pPr>
        <w:pStyle w:val="ListParagraph"/>
        <w:numPr>
          <w:ilvl w:val="0"/>
          <w:numId w:val="38"/>
        </w:numPr>
        <w:rPr>
          <w:b/>
          <w:bCs/>
          <w:highlight w:val="yellow"/>
        </w:rPr>
      </w:pPr>
      <w:r w:rsidRPr="005C21FF">
        <w:rPr>
          <w:b/>
          <w:bCs/>
          <w:highlight w:val="yellow"/>
        </w:rPr>
        <w:t>Which factors should be considered when determining the appropriate contribution rate for a buffer pool?</w:t>
      </w:r>
    </w:p>
    <w:p w14:paraId="2F79CA12" w14:textId="77777777" w:rsidR="00BD1FA9" w:rsidRDefault="00BD1FA9" w:rsidP="00BD1FA9">
      <w:pPr>
        <w:rPr>
          <w:b/>
          <w:bCs/>
          <w:highlight w:val="yellow"/>
        </w:rPr>
      </w:pPr>
    </w:p>
    <w:p w14:paraId="56E9C3D6" w14:textId="29F4F877" w:rsidR="005C21FF" w:rsidRDefault="005C21FF" w:rsidP="00BD1FA9">
      <w:pPr>
        <w:rPr>
          <w:b/>
          <w:bCs/>
          <w:highlight w:val="yellow"/>
        </w:rPr>
      </w:pPr>
      <w:r>
        <w:rPr>
          <w:b/>
          <w:bCs/>
          <w:highlight w:val="yellow"/>
        </w:rPr>
        <w:t>MEMBER INPUT</w:t>
      </w:r>
    </w:p>
    <w:p w14:paraId="57E5ABFA" w14:textId="77777777" w:rsidR="005C21FF" w:rsidRPr="005C21FF" w:rsidRDefault="005C21FF" w:rsidP="00BD1FA9">
      <w:pPr>
        <w:rPr>
          <w:b/>
          <w:bCs/>
          <w:highlight w:val="yellow"/>
        </w:rPr>
      </w:pPr>
    </w:p>
    <w:p w14:paraId="7F202DE0" w14:textId="0469E962" w:rsidR="00BD1FA9" w:rsidRDefault="00BD1FA9" w:rsidP="00BC1EB1">
      <w:pPr>
        <w:pStyle w:val="ListParagraph"/>
        <w:numPr>
          <w:ilvl w:val="0"/>
          <w:numId w:val="38"/>
        </w:numPr>
        <w:rPr>
          <w:b/>
          <w:bCs/>
          <w:highlight w:val="yellow"/>
        </w:rPr>
      </w:pPr>
      <w:r w:rsidRPr="005C21FF">
        <w:rPr>
          <w:b/>
          <w:bCs/>
          <w:highlight w:val="yellow"/>
        </w:rPr>
        <w:t>How should the Authority decide which GGRs would be required to contribute to a buffer pool and at what level any threshold should be set for contributions?</w:t>
      </w:r>
    </w:p>
    <w:p w14:paraId="3D23280D" w14:textId="77777777" w:rsidR="005C21FF" w:rsidRDefault="005C21FF" w:rsidP="005C21FF">
      <w:pPr>
        <w:rPr>
          <w:b/>
          <w:bCs/>
          <w:highlight w:val="yellow"/>
        </w:rPr>
      </w:pPr>
    </w:p>
    <w:p w14:paraId="1D9D0406" w14:textId="6267A49E" w:rsidR="005C21FF" w:rsidRPr="005C21FF" w:rsidRDefault="005C21FF" w:rsidP="005C21FF">
      <w:pPr>
        <w:rPr>
          <w:b/>
          <w:bCs/>
          <w:highlight w:val="yellow"/>
        </w:rPr>
      </w:pPr>
      <w:r>
        <w:rPr>
          <w:b/>
          <w:bCs/>
          <w:highlight w:val="yellow"/>
        </w:rPr>
        <w:t>MEMBER INPUT</w:t>
      </w:r>
    </w:p>
    <w:p w14:paraId="5D0F2221" w14:textId="77777777" w:rsidR="00BD1FA9" w:rsidRPr="00BD1FA9" w:rsidRDefault="00BD1FA9" w:rsidP="00BD1FA9">
      <w:pPr>
        <w:rPr>
          <w:b/>
          <w:bCs/>
        </w:rPr>
      </w:pPr>
    </w:p>
    <w:p w14:paraId="34792B9B" w14:textId="366AD572" w:rsidR="00BD1FA9" w:rsidRPr="00BD1FA9" w:rsidRDefault="00BD1FA9" w:rsidP="00F23B93">
      <w:pPr>
        <w:pStyle w:val="ListParagraph"/>
        <w:numPr>
          <w:ilvl w:val="0"/>
          <w:numId w:val="38"/>
        </w:numPr>
        <w:rPr>
          <w:b/>
          <w:bCs/>
        </w:rPr>
      </w:pPr>
      <w:r w:rsidRPr="00BD1FA9">
        <w:rPr>
          <w:b/>
          <w:bCs/>
        </w:rPr>
        <w:t xml:space="preserve">Should buffer pool contribution rates remain fixed over time or could they vary? If they vary how should this be assessed? For example, the Authority could require projects </w:t>
      </w:r>
      <w:r w:rsidR="00E8152E" w:rsidRPr="00BD1FA9">
        <w:rPr>
          <w:b/>
          <w:bCs/>
        </w:rPr>
        <w:t>to contribute</w:t>
      </w:r>
      <w:r w:rsidRPr="00BD1FA9">
        <w:rPr>
          <w:b/>
          <w:bCs/>
        </w:rPr>
        <w:t xml:space="preserve"> depending on an assessment of risk at each verification period, and this could change over</w:t>
      </w:r>
      <w:r>
        <w:rPr>
          <w:b/>
          <w:bCs/>
        </w:rPr>
        <w:t xml:space="preserve"> </w:t>
      </w:r>
      <w:r w:rsidRPr="00BD1FA9">
        <w:rPr>
          <w:b/>
          <w:bCs/>
        </w:rPr>
        <w:t>time.</w:t>
      </w:r>
    </w:p>
    <w:p w14:paraId="06AD161C" w14:textId="77777777" w:rsidR="00E8152E" w:rsidRDefault="00E8152E" w:rsidP="00BD1FA9">
      <w:pPr>
        <w:rPr>
          <w:b/>
          <w:bCs/>
        </w:rPr>
      </w:pPr>
    </w:p>
    <w:p w14:paraId="2C0B292E" w14:textId="552E363D" w:rsidR="00E8152E" w:rsidRPr="00E8152E" w:rsidRDefault="00E8152E" w:rsidP="00BD1FA9">
      <w:r w:rsidRPr="00E8152E">
        <w:t xml:space="preserve">Contribution rates should vary over time as technology develops. If there is a large enough contingency, then in time, there would be no need to tap into the buffer pool. </w:t>
      </w:r>
    </w:p>
    <w:p w14:paraId="0251363B" w14:textId="77777777" w:rsidR="00E8152E" w:rsidRPr="00BD1FA9" w:rsidRDefault="00E8152E" w:rsidP="00BD1FA9">
      <w:pPr>
        <w:rPr>
          <w:b/>
          <w:bCs/>
        </w:rPr>
      </w:pPr>
    </w:p>
    <w:p w14:paraId="278AB685" w14:textId="1A44B266" w:rsidR="00BD1FA9" w:rsidRDefault="00BD1FA9" w:rsidP="00BD1FA9">
      <w:pPr>
        <w:pStyle w:val="ListParagraph"/>
        <w:numPr>
          <w:ilvl w:val="0"/>
          <w:numId w:val="38"/>
        </w:numPr>
        <w:rPr>
          <w:b/>
          <w:bCs/>
        </w:rPr>
      </w:pPr>
      <w:r w:rsidRPr="00BD1FA9">
        <w:rPr>
          <w:b/>
          <w:bCs/>
        </w:rPr>
        <w:t>How could the Authority design equivalence ratios?</w:t>
      </w:r>
    </w:p>
    <w:p w14:paraId="71248B3B" w14:textId="77777777" w:rsidR="009E4569" w:rsidRDefault="009E4569" w:rsidP="009E4569">
      <w:pPr>
        <w:rPr>
          <w:b/>
          <w:bCs/>
        </w:rPr>
      </w:pPr>
    </w:p>
    <w:p w14:paraId="3D423D59" w14:textId="66BD4F37" w:rsidR="00520113" w:rsidRDefault="00520113" w:rsidP="00520113">
      <w:r>
        <w:lastRenderedPageBreak/>
        <w:t>Nature based solutions, for the most part, could already be at a price point that could allow for quick deployment but there are clear issues around them being able to deliver permeance of storage and providing additionality. By contrast engineering-based solutions are far more expensive, requiring additional support for deployment, but due to geological storage could see far greater levels of permanence.</w:t>
      </w:r>
    </w:p>
    <w:p w14:paraId="3138555A" w14:textId="77777777" w:rsidR="00520113" w:rsidRDefault="00520113" w:rsidP="00520113"/>
    <w:p w14:paraId="592F2540" w14:textId="3A293475" w:rsidR="00520113" w:rsidRDefault="00520113" w:rsidP="00520113">
      <w:r>
        <w:t>The first step is therefore to ensure strong standards and methodologies for each form of GGR so that their quality can be assured from the outset through strict definitions. These can be designed around the Oxford Principle’s for Net Zero Aligned Carbon Offsetting</w:t>
      </w:r>
      <w:r w:rsidR="00B848E5">
        <w:t>.</w:t>
      </w:r>
    </w:p>
    <w:p w14:paraId="00B4F400" w14:textId="77777777" w:rsidR="00520113" w:rsidRDefault="00520113" w:rsidP="00520113"/>
    <w:p w14:paraId="39015F1F" w14:textId="011A0B2A" w:rsidR="00520113" w:rsidRDefault="00520113" w:rsidP="00520113">
      <w:r>
        <w:t xml:space="preserve">Once the nature of different GGRs is suitably defined and assured, then mechanisms within market design can be used to appropriately reward different forms of GGRs. A volume-based derating (or discounting) system based on the level of permeance achieved could be used. In such a system, those with lower levels of permeance could receive only a proportion of a single GGR unit. As a result, cheaper but less permeant solutions still receive a benefit, but not as much as the more expensive, but more permeant, geological storage solutions. This can also be expected to lead to market participants seeking a portfolio of GGRs </w:t>
      </w:r>
      <w:r w:rsidR="00B848E5">
        <w:t>m</w:t>
      </w:r>
      <w:r>
        <w:t>eet their obligation</w:t>
      </w:r>
      <w:r w:rsidR="00712520">
        <w:t xml:space="preserve">. </w:t>
      </w:r>
    </w:p>
    <w:p w14:paraId="04AAE7CE" w14:textId="77777777" w:rsidR="00520113" w:rsidRDefault="00520113" w:rsidP="00520113"/>
    <w:p w14:paraId="7C0EA43D" w14:textId="6EB7FD71" w:rsidR="009E4569" w:rsidRPr="00BD7580" w:rsidRDefault="00861B82" w:rsidP="00520113">
      <w:r>
        <w:t>This sort of</w:t>
      </w:r>
      <w:r w:rsidR="00520113">
        <w:t xml:space="preserve"> derating system is preferrable to a blunter permeance threshold which could ultimately exclude some GGR technologies from the market, while also creating a benchmark above which there is little advantage for longer permanence technologies to innovate or improve. </w:t>
      </w:r>
      <w:r w:rsidR="009E4569" w:rsidRPr="00BD7580">
        <w:t xml:space="preserve">We believe a banding exercise based on </w:t>
      </w:r>
      <w:r w:rsidR="00BD7580" w:rsidRPr="00BD7580">
        <w:t>expected permanence would be most appropriate</w:t>
      </w:r>
      <w:r w:rsidR="00BD7580">
        <w:t xml:space="preserve"> and simple to design.</w:t>
      </w:r>
      <w:r w:rsidR="00BD7580" w:rsidRPr="00BD7580">
        <w:t xml:space="preserve"> </w:t>
      </w:r>
    </w:p>
    <w:p w14:paraId="7371CD6D" w14:textId="77777777" w:rsidR="00BD1FA9" w:rsidRPr="00BD1FA9" w:rsidRDefault="00BD1FA9" w:rsidP="00BD1FA9">
      <w:pPr>
        <w:rPr>
          <w:b/>
          <w:bCs/>
        </w:rPr>
      </w:pPr>
    </w:p>
    <w:p w14:paraId="0F88E4A9" w14:textId="7F97890E" w:rsidR="00BD1FA9" w:rsidRDefault="00BD1FA9" w:rsidP="00BD1FA9">
      <w:pPr>
        <w:pStyle w:val="ListParagraph"/>
        <w:numPr>
          <w:ilvl w:val="0"/>
          <w:numId w:val="38"/>
        </w:numPr>
        <w:rPr>
          <w:b/>
          <w:bCs/>
        </w:rPr>
      </w:pPr>
      <w:r w:rsidRPr="00BD1FA9">
        <w:rPr>
          <w:b/>
          <w:bCs/>
        </w:rPr>
        <w:t>Which inputs should be used in determining the appropriate equivalence ratios?</w:t>
      </w:r>
    </w:p>
    <w:p w14:paraId="46DD716D" w14:textId="77777777" w:rsidR="00BD7580" w:rsidRDefault="00BD7580" w:rsidP="00BD7580">
      <w:pPr>
        <w:rPr>
          <w:b/>
          <w:bCs/>
        </w:rPr>
      </w:pPr>
    </w:p>
    <w:p w14:paraId="522C1021" w14:textId="575771E2" w:rsidR="00BD7580" w:rsidRPr="00B23A40" w:rsidRDefault="00BD7580" w:rsidP="00BD7580">
      <w:r w:rsidRPr="00B23A40">
        <w:t xml:space="preserve">Expected </w:t>
      </w:r>
      <w:r w:rsidR="00B23A40" w:rsidRPr="00B23A40">
        <w:t>per</w:t>
      </w:r>
      <w:r w:rsidR="00B23A40">
        <w:t>mane</w:t>
      </w:r>
      <w:r w:rsidR="00B23A40" w:rsidRPr="00B23A40">
        <w:t>nce</w:t>
      </w:r>
      <w:r w:rsidRPr="00B23A40">
        <w:t xml:space="preserve"> (</w:t>
      </w:r>
      <w:r w:rsidR="00B23A40" w:rsidRPr="00B23A40">
        <w:t xml:space="preserve">timeframe of allowance). </w:t>
      </w:r>
    </w:p>
    <w:p w14:paraId="3362ED01" w14:textId="77777777" w:rsidR="00BD1FA9" w:rsidRPr="00BD1FA9" w:rsidRDefault="00BD1FA9" w:rsidP="00BD1FA9">
      <w:pPr>
        <w:rPr>
          <w:b/>
          <w:bCs/>
        </w:rPr>
      </w:pPr>
    </w:p>
    <w:p w14:paraId="11B8E0CB" w14:textId="7519353D" w:rsidR="00BD1FA9" w:rsidRDefault="00BD1FA9" w:rsidP="00BD1FA9">
      <w:pPr>
        <w:pStyle w:val="ListParagraph"/>
        <w:numPr>
          <w:ilvl w:val="0"/>
          <w:numId w:val="38"/>
        </w:numPr>
        <w:rPr>
          <w:b/>
          <w:bCs/>
        </w:rPr>
      </w:pPr>
      <w:r w:rsidRPr="00BD1FA9">
        <w:rPr>
          <w:b/>
          <w:bCs/>
        </w:rPr>
        <w:t>Should these equivalence ratios be fixed over time or regularly reviewed and amended?</w:t>
      </w:r>
    </w:p>
    <w:p w14:paraId="5A7F4DB2" w14:textId="77777777" w:rsidR="00B23A40" w:rsidRDefault="00B23A40" w:rsidP="00B23A40">
      <w:pPr>
        <w:rPr>
          <w:b/>
          <w:bCs/>
        </w:rPr>
      </w:pPr>
    </w:p>
    <w:p w14:paraId="3A679DF0" w14:textId="51401EC0" w:rsidR="00B23A40" w:rsidRPr="00B23A40" w:rsidRDefault="00B23A40" w:rsidP="00B23A40">
      <w:r w:rsidRPr="00B23A40">
        <w:t>Ratios should be reviewed over time, to ensure banding remains accurate as technologies develop</w:t>
      </w:r>
      <w:r>
        <w:t>.</w:t>
      </w:r>
    </w:p>
    <w:p w14:paraId="0E6B723A" w14:textId="77777777" w:rsidR="00BD1FA9" w:rsidRPr="00BD1FA9" w:rsidRDefault="00BD1FA9" w:rsidP="00BD1FA9">
      <w:pPr>
        <w:rPr>
          <w:b/>
          <w:bCs/>
        </w:rPr>
      </w:pPr>
    </w:p>
    <w:p w14:paraId="0433247D" w14:textId="69295196" w:rsidR="00BD1FA9" w:rsidRPr="005C21FF" w:rsidRDefault="00BD1FA9" w:rsidP="007C2A59">
      <w:pPr>
        <w:pStyle w:val="ListParagraph"/>
        <w:numPr>
          <w:ilvl w:val="0"/>
          <w:numId w:val="38"/>
        </w:numPr>
        <w:rPr>
          <w:b/>
          <w:bCs/>
          <w:color w:val="FF0000"/>
        </w:rPr>
      </w:pPr>
      <w:r w:rsidRPr="005C21FF">
        <w:rPr>
          <w:b/>
          <w:bCs/>
          <w:color w:val="FF0000"/>
        </w:rPr>
        <w:t>Should new ex-post woodland units generated in line with UK Woodland Carbon Code standards be considered for inclusion in the UK ETS? Please base your response on the evidence outlined around permanence, costs and wider land management impacts, and on the policy options outlined in the rest of this consultation.</w:t>
      </w:r>
    </w:p>
    <w:p w14:paraId="39A708E4" w14:textId="77777777" w:rsidR="007B3E22" w:rsidRPr="005C21FF" w:rsidRDefault="007B3E22" w:rsidP="007B3E22">
      <w:pPr>
        <w:rPr>
          <w:b/>
          <w:bCs/>
          <w:color w:val="FF0000"/>
        </w:rPr>
      </w:pPr>
    </w:p>
    <w:p w14:paraId="6B4343BA" w14:textId="4FA710EB" w:rsidR="00BD1FA9" w:rsidRPr="005C21FF" w:rsidRDefault="00BD1FA9" w:rsidP="00401418">
      <w:pPr>
        <w:pStyle w:val="ListParagraph"/>
        <w:numPr>
          <w:ilvl w:val="0"/>
          <w:numId w:val="38"/>
        </w:numPr>
        <w:rPr>
          <w:b/>
          <w:bCs/>
          <w:color w:val="FF0000"/>
        </w:rPr>
      </w:pPr>
      <w:r w:rsidRPr="005C21FF">
        <w:rPr>
          <w:b/>
          <w:bCs/>
          <w:color w:val="FF0000"/>
        </w:rPr>
        <w:t>If the Authority does include new ex-post woodland units generated under the UK Woodland Carbon Code in the UK ETS, should any changes be made to the Woodland Carbon Code? For example, this could include changing the 20% flat-rate buffer contribution, or changes to the MRV and measures to mitigate wider land management impacts. Details of the woodland carbon code can be found here: https://woodlandcarboncode.org.uk/standardand-guidance</w:t>
      </w:r>
    </w:p>
    <w:p w14:paraId="14A98EC6" w14:textId="77777777" w:rsidR="00BD1FA9" w:rsidRPr="005C21FF" w:rsidRDefault="00BD1FA9" w:rsidP="00BD1FA9">
      <w:pPr>
        <w:rPr>
          <w:b/>
          <w:bCs/>
          <w:color w:val="FF0000"/>
        </w:rPr>
      </w:pPr>
    </w:p>
    <w:p w14:paraId="5066F5E2" w14:textId="366D9AB1" w:rsidR="00BD1FA9" w:rsidRPr="005C21FF" w:rsidRDefault="00BD1FA9" w:rsidP="003E5214">
      <w:pPr>
        <w:pStyle w:val="ListParagraph"/>
        <w:numPr>
          <w:ilvl w:val="0"/>
          <w:numId w:val="38"/>
        </w:numPr>
        <w:rPr>
          <w:b/>
          <w:bCs/>
          <w:color w:val="FF0000"/>
        </w:rPr>
      </w:pPr>
      <w:r w:rsidRPr="005C21FF">
        <w:rPr>
          <w:b/>
          <w:bCs/>
          <w:color w:val="FF0000"/>
        </w:rPr>
        <w:t>If the Authority does include new ex-post woodland units generated under the UK Woodland Carbon Code in the UK ETS, should any measures be taken to mitigate potential social and cultural impacts? Please provide details of the impacts, including consideration of impacts on different land ownership models, and potential measures.</w:t>
      </w:r>
    </w:p>
    <w:p w14:paraId="0B301FB2" w14:textId="77777777" w:rsidR="00BD1FA9" w:rsidRPr="00BD1FA9" w:rsidRDefault="00BD1FA9" w:rsidP="00BD1FA9">
      <w:pPr>
        <w:rPr>
          <w:b/>
          <w:bCs/>
        </w:rPr>
      </w:pPr>
    </w:p>
    <w:p w14:paraId="18F3BA97" w14:textId="6B5DDE90" w:rsidR="00BD1FA9" w:rsidRPr="00BD1FA9" w:rsidRDefault="00BD1FA9" w:rsidP="00BD1FA9">
      <w:pPr>
        <w:pStyle w:val="ListParagraph"/>
        <w:numPr>
          <w:ilvl w:val="0"/>
          <w:numId w:val="38"/>
        </w:numPr>
        <w:rPr>
          <w:b/>
          <w:bCs/>
        </w:rPr>
      </w:pPr>
      <w:r w:rsidRPr="00BD1FA9">
        <w:rPr>
          <w:b/>
          <w:bCs/>
        </w:rPr>
        <w:t>Do you agree with the Authority’s assessment of peatland restoration?</w:t>
      </w:r>
    </w:p>
    <w:p w14:paraId="6B9B687E" w14:textId="77777777" w:rsidR="000506ED" w:rsidRDefault="000506ED" w:rsidP="00BD1FA9">
      <w:pPr>
        <w:rPr>
          <w:b/>
          <w:bCs/>
        </w:rPr>
      </w:pPr>
    </w:p>
    <w:p w14:paraId="330F4A7D" w14:textId="08272030" w:rsidR="00BD1FA9" w:rsidRPr="000506ED" w:rsidRDefault="007F5306" w:rsidP="00BD1FA9">
      <w:r w:rsidRPr="000506ED">
        <w:t xml:space="preserve">The REA agrees in the short-term but </w:t>
      </w:r>
      <w:r w:rsidR="007E3133">
        <w:t xml:space="preserve">as more peatland restoration takes place, and demand and usage for peat </w:t>
      </w:r>
      <w:r w:rsidR="009511BF">
        <w:t>falls,</w:t>
      </w:r>
      <w:r w:rsidR="000506ED" w:rsidRPr="000506ED">
        <w:t xml:space="preserve"> we would expect it to be included in the UK ETS. </w:t>
      </w:r>
    </w:p>
    <w:p w14:paraId="40A8F0F6" w14:textId="77777777" w:rsidR="000506ED" w:rsidRPr="00BD1FA9" w:rsidRDefault="000506ED" w:rsidP="00BD1FA9">
      <w:pPr>
        <w:rPr>
          <w:b/>
          <w:bCs/>
        </w:rPr>
      </w:pPr>
    </w:p>
    <w:p w14:paraId="3E9E04C5" w14:textId="3263FB54" w:rsidR="00BD1FA9" w:rsidRDefault="00BD1FA9" w:rsidP="00E218B0">
      <w:pPr>
        <w:pStyle w:val="ListParagraph"/>
        <w:numPr>
          <w:ilvl w:val="0"/>
          <w:numId w:val="38"/>
        </w:numPr>
        <w:rPr>
          <w:b/>
          <w:bCs/>
        </w:rPr>
      </w:pPr>
      <w:r w:rsidRPr="00BD1FA9">
        <w:rPr>
          <w:b/>
          <w:bCs/>
        </w:rPr>
        <w:t>Do you agree with the Authority’s assessment that, by maintaining the gross cap on emissions, additional controls could be used to target wider impacts but not mitigation</w:t>
      </w:r>
      <w:r>
        <w:rPr>
          <w:b/>
          <w:bCs/>
        </w:rPr>
        <w:t xml:space="preserve"> </w:t>
      </w:r>
      <w:r w:rsidRPr="00BD1FA9">
        <w:rPr>
          <w:b/>
          <w:bCs/>
        </w:rPr>
        <w:t>deterrence?</w:t>
      </w:r>
    </w:p>
    <w:p w14:paraId="0B10C06B" w14:textId="77777777" w:rsidR="009511BF" w:rsidRDefault="009511BF" w:rsidP="009511BF">
      <w:pPr>
        <w:pStyle w:val="ListParagraph"/>
        <w:rPr>
          <w:b/>
          <w:bCs/>
        </w:rPr>
      </w:pPr>
    </w:p>
    <w:p w14:paraId="0E5D7966" w14:textId="2DA53F6A" w:rsidR="009511BF" w:rsidRPr="009511BF" w:rsidRDefault="009511BF" w:rsidP="009511BF">
      <w:r w:rsidRPr="009511BF">
        <w:t xml:space="preserve">Yes, we agree with the Authority’s assessment. </w:t>
      </w:r>
    </w:p>
    <w:p w14:paraId="45159DF7" w14:textId="77777777" w:rsidR="00BD1FA9" w:rsidRPr="00BD1FA9" w:rsidRDefault="00BD1FA9" w:rsidP="00BD1FA9">
      <w:pPr>
        <w:rPr>
          <w:b/>
          <w:bCs/>
        </w:rPr>
      </w:pPr>
    </w:p>
    <w:p w14:paraId="1066E810" w14:textId="4C4361B7" w:rsidR="00BD1FA9" w:rsidRDefault="00BD1FA9" w:rsidP="007118E7">
      <w:pPr>
        <w:pStyle w:val="ListParagraph"/>
        <w:numPr>
          <w:ilvl w:val="0"/>
          <w:numId w:val="38"/>
        </w:numPr>
        <w:rPr>
          <w:b/>
          <w:bCs/>
        </w:rPr>
      </w:pPr>
      <w:r w:rsidRPr="00BD1FA9">
        <w:rPr>
          <w:b/>
          <w:bCs/>
        </w:rPr>
        <w:t>To what extent will GGR operators seek to sell into voluntary markets and will this provide</w:t>
      </w:r>
      <w:r>
        <w:rPr>
          <w:b/>
          <w:bCs/>
        </w:rPr>
        <w:t xml:space="preserve"> </w:t>
      </w:r>
      <w:r w:rsidRPr="00BD1FA9">
        <w:rPr>
          <w:b/>
          <w:bCs/>
        </w:rPr>
        <w:t>a control on GGR supply entering the UK ETS?</w:t>
      </w:r>
    </w:p>
    <w:p w14:paraId="14E94974" w14:textId="77777777" w:rsidR="0012782D" w:rsidRDefault="0012782D" w:rsidP="0012782D">
      <w:pPr>
        <w:rPr>
          <w:b/>
          <w:bCs/>
        </w:rPr>
      </w:pPr>
    </w:p>
    <w:p w14:paraId="76EBF62D" w14:textId="246787D4" w:rsidR="0012782D" w:rsidRPr="0012782D" w:rsidRDefault="0012782D" w:rsidP="0012782D">
      <w:r w:rsidRPr="0012782D">
        <w:t xml:space="preserve">Operators will want to sell into both markets as long as there are checks and balances in place to ensure double counting cannot take place. Standards in the UK ETS should provide the benchmark for UK negative emissions. </w:t>
      </w:r>
    </w:p>
    <w:p w14:paraId="12D09C4C" w14:textId="77777777" w:rsidR="00BD1FA9" w:rsidRPr="00BD1FA9" w:rsidRDefault="00BD1FA9" w:rsidP="00BD1FA9">
      <w:pPr>
        <w:rPr>
          <w:b/>
          <w:bCs/>
        </w:rPr>
      </w:pPr>
    </w:p>
    <w:p w14:paraId="20D9947C" w14:textId="64583E8F" w:rsidR="00BD1FA9" w:rsidRDefault="00BD1FA9" w:rsidP="00BA1C1D">
      <w:pPr>
        <w:pStyle w:val="ListParagraph"/>
        <w:numPr>
          <w:ilvl w:val="0"/>
          <w:numId w:val="38"/>
        </w:numPr>
        <w:rPr>
          <w:b/>
          <w:bCs/>
        </w:rPr>
      </w:pPr>
      <w:r w:rsidRPr="00BD1FA9">
        <w:rPr>
          <w:b/>
          <w:bCs/>
        </w:rPr>
        <w:t>Should the Authority consider the use of demand controls to target any impacts other than mitigation deterrence?</w:t>
      </w:r>
    </w:p>
    <w:p w14:paraId="30231C80" w14:textId="77777777" w:rsidR="00C840D9" w:rsidRPr="00C840D9" w:rsidRDefault="00C840D9" w:rsidP="00C840D9">
      <w:pPr>
        <w:pStyle w:val="ListParagraph"/>
      </w:pPr>
    </w:p>
    <w:p w14:paraId="668EE93B" w14:textId="490BFA13" w:rsidR="00C840D9" w:rsidRPr="00C840D9" w:rsidRDefault="00C840D9" w:rsidP="00C840D9">
      <w:r w:rsidRPr="00C840D9">
        <w:t xml:space="preserve">The REA does not support the use of demand controls initially, and only review this if the market remains very nascent. </w:t>
      </w:r>
    </w:p>
    <w:p w14:paraId="3E9BD76F" w14:textId="77777777" w:rsidR="00BD1FA9" w:rsidRPr="00BD1FA9" w:rsidRDefault="00BD1FA9" w:rsidP="00BD1FA9">
      <w:pPr>
        <w:rPr>
          <w:b/>
          <w:bCs/>
        </w:rPr>
      </w:pPr>
    </w:p>
    <w:p w14:paraId="28CE9238" w14:textId="2A376A8F" w:rsidR="00BD1FA9" w:rsidRPr="005C21FF" w:rsidRDefault="00BD1FA9" w:rsidP="00237D92">
      <w:pPr>
        <w:pStyle w:val="ListParagraph"/>
        <w:numPr>
          <w:ilvl w:val="0"/>
          <w:numId w:val="38"/>
        </w:numPr>
        <w:rPr>
          <w:b/>
          <w:bCs/>
          <w:color w:val="FF0000"/>
        </w:rPr>
      </w:pPr>
      <w:r w:rsidRPr="005C21FF">
        <w:rPr>
          <w:b/>
          <w:bCs/>
          <w:color w:val="FF0000"/>
        </w:rPr>
        <w:t>Do you agree with the Authority’s minded to position to adopt supply controls to target other objectives, such as phasing GGR integration or addressing market impacts? Please consider how supply controls can be used in a way that is compatible with providing a strong demand signal for GGRs.</w:t>
      </w:r>
    </w:p>
    <w:p w14:paraId="7B6BA5F1" w14:textId="77777777" w:rsidR="00BD1FA9" w:rsidRPr="00BD1FA9" w:rsidRDefault="00BD1FA9" w:rsidP="00BD1FA9">
      <w:pPr>
        <w:rPr>
          <w:b/>
          <w:bCs/>
        </w:rPr>
      </w:pPr>
    </w:p>
    <w:p w14:paraId="0D2F28CC" w14:textId="3E16C9FF" w:rsidR="00BD1FA9" w:rsidRDefault="00BD1FA9" w:rsidP="00E572B8">
      <w:pPr>
        <w:pStyle w:val="ListParagraph"/>
        <w:numPr>
          <w:ilvl w:val="0"/>
          <w:numId w:val="38"/>
        </w:numPr>
        <w:rPr>
          <w:b/>
          <w:bCs/>
        </w:rPr>
      </w:pPr>
      <w:r w:rsidRPr="00BD1FA9">
        <w:rPr>
          <w:b/>
          <w:bCs/>
        </w:rPr>
        <w:t>What would be the optimal timing for GGRs to be integrated into the UK ETS, taking into account the considerations set out above? Please explain your answer with reference to</w:t>
      </w:r>
      <w:r>
        <w:rPr>
          <w:b/>
          <w:bCs/>
        </w:rPr>
        <w:t xml:space="preserve"> </w:t>
      </w:r>
      <w:r w:rsidRPr="00BD1FA9">
        <w:rPr>
          <w:b/>
          <w:bCs/>
        </w:rPr>
        <w:t>impacts on both the UK ETS and GGR deployment.</w:t>
      </w:r>
    </w:p>
    <w:p w14:paraId="6250A5BA" w14:textId="77777777" w:rsidR="00EE783D" w:rsidRPr="00EE783D" w:rsidRDefault="00EE783D" w:rsidP="00EE783D">
      <w:pPr>
        <w:pStyle w:val="ListParagraph"/>
        <w:rPr>
          <w:b/>
          <w:bCs/>
        </w:rPr>
      </w:pPr>
    </w:p>
    <w:p w14:paraId="06A6487D" w14:textId="4DEF798F" w:rsidR="00EE783D" w:rsidRPr="001C1F5A" w:rsidRDefault="00EE783D" w:rsidP="00EE783D">
      <w:r w:rsidRPr="001C1F5A">
        <w:t>The REA supports the intention to integrate GGRs into the UK ETS as soon as possible</w:t>
      </w:r>
      <w:r w:rsidR="00C9745A">
        <w:t xml:space="preserve"> as this will</w:t>
      </w:r>
      <w:r w:rsidR="00C9745A" w:rsidRPr="00C9745A">
        <w:t xml:space="preserve"> provide the strongest possible signal to market and get the sector moving</w:t>
      </w:r>
      <w:r w:rsidR="00C9745A">
        <w:t>,</w:t>
      </w:r>
      <w:r w:rsidR="00C9745A" w:rsidRPr="00C9745A">
        <w:t xml:space="preserve"> </w:t>
      </w:r>
      <w:r w:rsidRPr="001C1F5A">
        <w:t>however as mentioned in response to question 1, t</w:t>
      </w:r>
      <w:r w:rsidR="001C1F5A" w:rsidRPr="001C1F5A">
        <w:t>iming should</w:t>
      </w:r>
      <w:r w:rsidR="006C64D4">
        <w:t xml:space="preserve"> also recognise and</w:t>
      </w:r>
      <w:r w:rsidR="001C1F5A" w:rsidRPr="001C1F5A">
        <w:t xml:space="preserve"> be aligned with actual GGR projects, including the delivery of BECCS at scale, currently expected from 2030</w:t>
      </w:r>
      <w:r w:rsidR="004C3A3C">
        <w:t xml:space="preserve">, </w:t>
      </w:r>
      <w:r w:rsidR="00CF4A00">
        <w:t xml:space="preserve">and </w:t>
      </w:r>
      <w:r w:rsidR="004C3A3C">
        <w:t>the inclusion of energy from waste into the UK ETS, currently being consulted on</w:t>
      </w:r>
      <w:r w:rsidR="001C1F5A" w:rsidRPr="001C1F5A">
        <w:t xml:space="preserve">. </w:t>
      </w:r>
      <w:r w:rsidR="00A547E6">
        <w:t>T</w:t>
      </w:r>
      <w:r w:rsidR="00A547E6" w:rsidRPr="00A547E6">
        <w:t xml:space="preserve">iming </w:t>
      </w:r>
      <w:r w:rsidR="00CF4A00">
        <w:t>should</w:t>
      </w:r>
      <w:r w:rsidR="00CF4A00" w:rsidRPr="00A547E6">
        <w:t xml:space="preserve"> therefore</w:t>
      </w:r>
      <w:r w:rsidR="00A547E6" w:rsidRPr="00A547E6">
        <w:t xml:space="preserve"> be considered in the whole, and timings aligned accordingly.</w:t>
      </w:r>
    </w:p>
    <w:sectPr w:rsidR="00EE783D" w:rsidRPr="001C1F5A" w:rsidSect="00835DAE">
      <w:headerReference w:type="even" r:id="rId11"/>
      <w:headerReference w:type="default" r:id="rId12"/>
      <w:footerReference w:type="even" r:id="rId13"/>
      <w:footerReference w:type="default" r:id="rId14"/>
      <w:headerReference w:type="first" r:id="rId15"/>
      <w:footerReference w:type="first" r:id="rId16"/>
      <w:pgSz w:w="11906" w:h="16838"/>
      <w:pgMar w:top="284" w:right="1440" w:bottom="1440" w:left="1440" w:header="290"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03601" w14:textId="77777777" w:rsidR="00425726" w:rsidRDefault="00425726" w:rsidP="00B31E85">
      <w:r>
        <w:separator/>
      </w:r>
    </w:p>
  </w:endnote>
  <w:endnote w:type="continuationSeparator" w:id="0">
    <w:p w14:paraId="3E0D9D1D" w14:textId="77777777" w:rsidR="00425726" w:rsidRDefault="00425726" w:rsidP="00B31E85">
      <w:r>
        <w:continuationSeparator/>
      </w:r>
    </w:p>
  </w:endnote>
  <w:endnote w:type="continuationNotice" w:id="1">
    <w:p w14:paraId="7AE82C7D" w14:textId="77777777" w:rsidR="001C42B3" w:rsidRDefault="001C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T-Light">
    <w:altName w:val="Times New Roman"/>
    <w:charset w:val="00"/>
    <w:family w:val="swiss"/>
    <w:pitch w:val="variable"/>
  </w:font>
  <w:font w:name="Open Sans">
    <w:charset w:val="00"/>
    <w:family w:val="swiss"/>
    <w:pitch w:val="variable"/>
    <w:sig w:usb0="E00002EF" w:usb1="4000205B" w:usb2="00000028" w:usb3="00000000" w:csb0="0000019F" w:csb1="00000000"/>
  </w:font>
  <w:font w:name="FuturaPT-Book">
    <w:altName w:val="Century Gothic"/>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E048" w14:textId="77777777" w:rsidR="007B71B7" w:rsidRDefault="007B7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377164"/>
      <w:docPartObj>
        <w:docPartGallery w:val="Page Numbers (Bottom of Page)"/>
        <w:docPartUnique/>
      </w:docPartObj>
    </w:sdtPr>
    <w:sdtEndPr>
      <w:rPr>
        <w:color w:val="7F7F7F" w:themeColor="background1" w:themeShade="7F"/>
        <w:spacing w:val="60"/>
      </w:rPr>
    </w:sdtEndPr>
    <w:sdtContent>
      <w:p w14:paraId="3F2F0ED0" w14:textId="77777777" w:rsidR="00835DAE" w:rsidRDefault="00835DAE" w:rsidP="00B31E85">
        <w:pPr>
          <w:pStyle w:val="Footer"/>
          <w:rPr>
            <w:b/>
            <w:bCs/>
          </w:rPr>
        </w:pPr>
        <w:r w:rsidRPr="00835DAE">
          <w:fldChar w:fldCharType="begin"/>
        </w:r>
        <w:r w:rsidRPr="00835DAE">
          <w:instrText xml:space="preserve"> PAGE   \* MERGEFORMAT </w:instrText>
        </w:r>
        <w:r w:rsidRPr="00835DAE">
          <w:fldChar w:fldCharType="separate"/>
        </w:r>
        <w:r w:rsidRPr="00835DAE">
          <w:rPr>
            <w:b/>
            <w:bCs/>
            <w:noProof/>
          </w:rPr>
          <w:t>2</w:t>
        </w:r>
        <w:r w:rsidRPr="00835DAE">
          <w:rPr>
            <w:b/>
            <w:bCs/>
            <w:noProof/>
          </w:rPr>
          <w:fldChar w:fldCharType="end"/>
        </w:r>
        <w:r w:rsidRPr="00835DAE">
          <w:rPr>
            <w:b/>
            <w:bCs/>
          </w:rPr>
          <w:t xml:space="preserve"> | </w:t>
        </w:r>
        <w:r w:rsidRPr="00835DAE">
          <w:rPr>
            <w:color w:val="7F7F7F" w:themeColor="background1" w:themeShade="7F"/>
            <w:spacing w:val="60"/>
          </w:rPr>
          <w:t>Page</w:t>
        </w:r>
      </w:p>
    </w:sdtContent>
  </w:sdt>
  <w:p w14:paraId="0B581017" w14:textId="77777777" w:rsidR="00041FFC" w:rsidRPr="00835DAE" w:rsidRDefault="00041FFC" w:rsidP="00B3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A1612" w14:textId="77777777" w:rsidR="00835DAE" w:rsidRDefault="00835DAE" w:rsidP="00B31E85">
    <w:pPr>
      <w:pStyle w:val="BodyText"/>
    </w:pPr>
    <w:r>
      <w:rPr>
        <w:noProof/>
        <w:lang w:eastAsia="en-GB"/>
      </w:rPr>
      <mc:AlternateContent>
        <mc:Choice Requires="wpg">
          <w:drawing>
            <wp:inline distT="0" distB="0" distL="0" distR="0" wp14:anchorId="146BF4E8" wp14:editId="0C9F3024">
              <wp:extent cx="6060440" cy="15875"/>
              <wp:effectExtent l="9525" t="9525" r="165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0440" cy="15875"/>
                        <a:chOff x="0" y="0"/>
                        <a:chExt cx="9544" cy="25"/>
                      </a:xfrm>
                    </wpg:grpSpPr>
                    <wps:wsp>
                      <wps:cNvPr id="2"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E3C684" id="Group 1" o:spid="_x0000_s1026" style="width:477.2pt;height:1.25pt;mso-position-horizontal-relative:char;mso-position-vertical-relative:line" coordsize="9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">
              <v:line id="Line 2" o:spid="_x0000_s1027" style="position:absolute;visibility:visible;mso-wrap-style:square" from="0,12" to="9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" strokecolor="#41906d" strokeweight=".43533mm"/>
              <w10:anchorlock/>
            </v:group>
          </w:pict>
        </mc:Fallback>
      </mc:AlternateContent>
    </w:r>
  </w:p>
  <w:p w14:paraId="24BD807D" w14:textId="77777777" w:rsidR="00835DAE" w:rsidRPr="0096171A" w:rsidRDefault="00835DAE" w:rsidP="003A3169">
    <w:pPr>
      <w:pStyle w:val="BodyText"/>
      <w:jc w:val="center"/>
    </w:pPr>
    <w:r w:rsidRPr="0096171A">
      <w:t>THE ASSOCIATION FOR RENEWABLE ENERGY AND CLEAN TECHNOLOGY</w:t>
    </w:r>
  </w:p>
  <w:p w14:paraId="14F70DFC" w14:textId="77777777" w:rsidR="009C2847" w:rsidRDefault="009C2847" w:rsidP="007B71B7">
    <w:pPr>
      <w:pStyle w:val="BodyText"/>
      <w:jc w:val="center"/>
    </w:pPr>
    <w:r w:rsidRPr="009C2847">
      <w:t>York House, 23 Kingsway, London WC2B 6UJ</w:t>
    </w:r>
  </w:p>
  <w:p w14:paraId="64E03677" w14:textId="77777777" w:rsidR="00835DAE" w:rsidRDefault="00835DAE" w:rsidP="007B71B7">
    <w:pPr>
      <w:pStyle w:val="BodyText"/>
      <w:jc w:val="center"/>
      <w:rPr>
        <w:color w:val="06926B"/>
        <w:sz w:val="18"/>
        <w:szCs w:val="18"/>
      </w:rPr>
    </w:pPr>
    <w:r w:rsidRPr="0096171A">
      <w:rPr>
        <w:rFonts w:ascii="FuturaPT-Book"/>
        <w:color w:val="06926B"/>
        <w:sz w:val="18"/>
        <w:szCs w:val="18"/>
      </w:rPr>
      <w:t xml:space="preserve">Tel: </w:t>
    </w:r>
    <w:r w:rsidRPr="0096171A">
      <w:rPr>
        <w:color w:val="06926B"/>
        <w:sz w:val="18"/>
        <w:szCs w:val="18"/>
      </w:rPr>
      <w:t xml:space="preserve">+44 (0)20 7925 3570 </w:t>
    </w:r>
    <w:r w:rsidRPr="0096171A">
      <w:rPr>
        <w:rFonts w:ascii="FuturaPT-Book"/>
        <w:color w:val="06926B"/>
        <w:sz w:val="18"/>
        <w:szCs w:val="18"/>
      </w:rPr>
      <w:t xml:space="preserve">Email: </w:t>
    </w:r>
    <w:hyperlink r:id="rId1">
      <w:r w:rsidRPr="0096171A">
        <w:rPr>
          <w:color w:val="06926B"/>
          <w:sz w:val="18"/>
          <w:szCs w:val="18"/>
        </w:rPr>
        <w:t>info@r-e-a.net</w:t>
      </w:r>
    </w:hyperlink>
    <w:r w:rsidRPr="0096171A">
      <w:rPr>
        <w:color w:val="06926B"/>
        <w:sz w:val="18"/>
        <w:szCs w:val="18"/>
      </w:rPr>
      <w:t xml:space="preserve"> </w:t>
    </w:r>
    <w:r w:rsidRPr="0096171A">
      <w:rPr>
        <w:rFonts w:ascii="FuturaPT-Book"/>
        <w:color w:val="06926B"/>
        <w:sz w:val="18"/>
        <w:szCs w:val="18"/>
      </w:rPr>
      <w:t xml:space="preserve">Web: </w:t>
    </w:r>
    <w:hyperlink r:id="rId2">
      <w:r w:rsidRPr="0096171A">
        <w:rPr>
          <w:color w:val="06926B"/>
          <w:sz w:val="18"/>
          <w:szCs w:val="18"/>
        </w:rPr>
        <w:t>www.r-e-a.net</w:t>
      </w:r>
    </w:hyperlink>
  </w:p>
  <w:p w14:paraId="08965CBC" w14:textId="77777777" w:rsidR="00041FFC" w:rsidRDefault="00835DAE" w:rsidP="007B71B7">
    <w:pPr>
      <w:pStyle w:val="BodyText"/>
      <w:jc w:val="center"/>
    </w:pPr>
    <w:r w:rsidRPr="00041FFC">
      <w:t>Company no: 04241430</w:t>
    </w:r>
    <w:r>
      <w:t xml:space="preserve">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EA16C" w14:textId="77777777" w:rsidR="00425726" w:rsidRDefault="00425726" w:rsidP="00B31E85">
      <w:r>
        <w:separator/>
      </w:r>
    </w:p>
  </w:footnote>
  <w:footnote w:type="continuationSeparator" w:id="0">
    <w:p w14:paraId="4231C034" w14:textId="77777777" w:rsidR="00425726" w:rsidRDefault="00425726" w:rsidP="00B31E85">
      <w:r>
        <w:continuationSeparator/>
      </w:r>
    </w:p>
  </w:footnote>
  <w:footnote w:type="continuationNotice" w:id="1">
    <w:p w14:paraId="1F69DCFE" w14:textId="77777777" w:rsidR="001C42B3" w:rsidRDefault="001C4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A353" w14:textId="77777777" w:rsidR="007B71B7" w:rsidRDefault="007B7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2AF1" w14:textId="77777777" w:rsidR="00124D3A" w:rsidRDefault="00124D3A" w:rsidP="003A3169">
    <w:pPr>
      <w:pStyle w:val="Header"/>
      <w:jc w:val="right"/>
    </w:pPr>
    <w:r>
      <w:rPr>
        <w:noProof/>
        <w:lang w:eastAsia="en-GB"/>
      </w:rPr>
      <w:drawing>
        <wp:inline distT="0" distB="0" distL="0" distR="0" wp14:anchorId="7C764754" wp14:editId="609B4C96">
          <wp:extent cx="1706840" cy="70720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DA642" w14:textId="77777777" w:rsidR="00835DAE" w:rsidRDefault="00835DAE" w:rsidP="003A3169">
    <w:pPr>
      <w:pStyle w:val="Header"/>
      <w:jc w:val="right"/>
    </w:pPr>
    <w:r>
      <w:rPr>
        <w:noProof/>
        <w:lang w:eastAsia="en-GB"/>
      </w:rPr>
      <w:drawing>
        <wp:inline distT="0" distB="0" distL="0" distR="0" wp14:anchorId="40D60610" wp14:editId="6DB3590B">
          <wp:extent cx="1706840" cy="70720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09E"/>
    <w:multiLevelType w:val="hybridMultilevel"/>
    <w:tmpl w:val="043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C46"/>
    <w:multiLevelType w:val="hybridMultilevel"/>
    <w:tmpl w:val="6E9A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0417"/>
    <w:multiLevelType w:val="hybridMultilevel"/>
    <w:tmpl w:val="13B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0521"/>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798F"/>
    <w:multiLevelType w:val="hybridMultilevel"/>
    <w:tmpl w:val="7FF668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43D2394"/>
    <w:multiLevelType w:val="hybridMultilevel"/>
    <w:tmpl w:val="4A143B1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5077109"/>
    <w:multiLevelType w:val="hybridMultilevel"/>
    <w:tmpl w:val="852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18B0"/>
    <w:multiLevelType w:val="hybridMultilevel"/>
    <w:tmpl w:val="A052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2745C"/>
    <w:multiLevelType w:val="hybridMultilevel"/>
    <w:tmpl w:val="869C9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F4480C"/>
    <w:multiLevelType w:val="hybridMultilevel"/>
    <w:tmpl w:val="54B0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A0EE6"/>
    <w:multiLevelType w:val="hybridMultilevel"/>
    <w:tmpl w:val="968295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F7367"/>
    <w:multiLevelType w:val="hybridMultilevel"/>
    <w:tmpl w:val="C7BE5046"/>
    <w:lvl w:ilvl="0" w:tplc="7E60AE38">
      <w:start w:val="1"/>
      <w:numFmt w:val="decimal"/>
      <w:lvlText w:val="%1."/>
      <w:lvlJc w:val="left"/>
      <w:pPr>
        <w:ind w:left="720" w:hanging="720"/>
      </w:pPr>
      <w:rPr>
        <w:rFonts w:hint="default"/>
      </w:rPr>
    </w:lvl>
    <w:lvl w:ilvl="1" w:tplc="1884FB2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A67419"/>
    <w:multiLevelType w:val="hybridMultilevel"/>
    <w:tmpl w:val="704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86373"/>
    <w:multiLevelType w:val="hybridMultilevel"/>
    <w:tmpl w:val="1BB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3F6C"/>
    <w:multiLevelType w:val="hybridMultilevel"/>
    <w:tmpl w:val="86B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A3BFC"/>
    <w:multiLevelType w:val="hybridMultilevel"/>
    <w:tmpl w:val="FC26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8155E"/>
    <w:multiLevelType w:val="hybridMultilevel"/>
    <w:tmpl w:val="B8B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971B4"/>
    <w:multiLevelType w:val="hybridMultilevel"/>
    <w:tmpl w:val="B18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F3967"/>
    <w:multiLevelType w:val="hybridMultilevel"/>
    <w:tmpl w:val="9F5C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1515"/>
    <w:multiLevelType w:val="hybridMultilevel"/>
    <w:tmpl w:val="FC1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31B30"/>
    <w:multiLevelType w:val="hybridMultilevel"/>
    <w:tmpl w:val="6E4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86151"/>
    <w:multiLevelType w:val="hybridMultilevel"/>
    <w:tmpl w:val="3E32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A216B"/>
    <w:multiLevelType w:val="hybridMultilevel"/>
    <w:tmpl w:val="9F0C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C2369"/>
    <w:multiLevelType w:val="hybridMultilevel"/>
    <w:tmpl w:val="5888CE28"/>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4" w15:restartNumberingAfterBreak="0">
    <w:nsid w:val="5BA51321"/>
    <w:multiLevelType w:val="hybridMultilevel"/>
    <w:tmpl w:val="2B9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B42E0"/>
    <w:multiLevelType w:val="hybridMultilevel"/>
    <w:tmpl w:val="A2A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41A73"/>
    <w:multiLevelType w:val="hybridMultilevel"/>
    <w:tmpl w:val="BF0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34A7F"/>
    <w:multiLevelType w:val="hybridMultilevel"/>
    <w:tmpl w:val="2834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E3CEC"/>
    <w:multiLevelType w:val="hybridMultilevel"/>
    <w:tmpl w:val="F50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34DDA"/>
    <w:multiLevelType w:val="hybridMultilevel"/>
    <w:tmpl w:val="DE2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B2557"/>
    <w:multiLevelType w:val="multilevel"/>
    <w:tmpl w:val="42F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9D29DD"/>
    <w:multiLevelType w:val="hybridMultilevel"/>
    <w:tmpl w:val="939C49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449E5"/>
    <w:multiLevelType w:val="hybridMultilevel"/>
    <w:tmpl w:val="332EB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47C49"/>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FA5A95"/>
    <w:multiLevelType w:val="hybridMultilevel"/>
    <w:tmpl w:val="8BA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F2D67"/>
    <w:multiLevelType w:val="hybridMultilevel"/>
    <w:tmpl w:val="FC9E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90772"/>
    <w:multiLevelType w:val="hybridMultilevel"/>
    <w:tmpl w:val="942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F691E"/>
    <w:multiLevelType w:val="hybridMultilevel"/>
    <w:tmpl w:val="051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04985"/>
    <w:multiLevelType w:val="hybridMultilevel"/>
    <w:tmpl w:val="8F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A2E73"/>
    <w:multiLevelType w:val="hybridMultilevel"/>
    <w:tmpl w:val="46D4B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163734">
    <w:abstractNumId w:val="14"/>
  </w:num>
  <w:num w:numId="2" w16cid:durableId="618143085">
    <w:abstractNumId w:val="0"/>
  </w:num>
  <w:num w:numId="3" w16cid:durableId="1312054365">
    <w:abstractNumId w:val="2"/>
  </w:num>
  <w:num w:numId="4" w16cid:durableId="316494722">
    <w:abstractNumId w:val="7"/>
  </w:num>
  <w:num w:numId="5" w16cid:durableId="453867950">
    <w:abstractNumId w:val="28"/>
  </w:num>
  <w:num w:numId="6" w16cid:durableId="524174169">
    <w:abstractNumId w:val="37"/>
  </w:num>
  <w:num w:numId="7" w16cid:durableId="2120908238">
    <w:abstractNumId w:val="6"/>
  </w:num>
  <w:num w:numId="8" w16cid:durableId="444619946">
    <w:abstractNumId w:val="24"/>
  </w:num>
  <w:num w:numId="9" w16cid:durableId="1197158275">
    <w:abstractNumId w:val="38"/>
  </w:num>
  <w:num w:numId="10" w16cid:durableId="1047946230">
    <w:abstractNumId w:val="13"/>
  </w:num>
  <w:num w:numId="11" w16cid:durableId="479150327">
    <w:abstractNumId w:val="16"/>
  </w:num>
  <w:num w:numId="12" w16cid:durableId="1148060712">
    <w:abstractNumId w:val="36"/>
  </w:num>
  <w:num w:numId="13" w16cid:durableId="861820517">
    <w:abstractNumId w:val="18"/>
  </w:num>
  <w:num w:numId="14" w16cid:durableId="282419833">
    <w:abstractNumId w:val="9"/>
  </w:num>
  <w:num w:numId="15" w16cid:durableId="351957710">
    <w:abstractNumId w:val="19"/>
  </w:num>
  <w:num w:numId="16" w16cid:durableId="1250652202">
    <w:abstractNumId w:val="21"/>
  </w:num>
  <w:num w:numId="17" w16cid:durableId="1674524123">
    <w:abstractNumId w:val="25"/>
  </w:num>
  <w:num w:numId="18" w16cid:durableId="547688890">
    <w:abstractNumId w:val="20"/>
  </w:num>
  <w:num w:numId="19" w16cid:durableId="562758580">
    <w:abstractNumId w:val="30"/>
  </w:num>
  <w:num w:numId="20" w16cid:durableId="261839209">
    <w:abstractNumId w:val="5"/>
  </w:num>
  <w:num w:numId="21" w16cid:durableId="170684531">
    <w:abstractNumId w:val="35"/>
  </w:num>
  <w:num w:numId="22" w16cid:durableId="95710877">
    <w:abstractNumId w:val="23"/>
  </w:num>
  <w:num w:numId="23" w16cid:durableId="1515874234">
    <w:abstractNumId w:val="26"/>
  </w:num>
  <w:num w:numId="24" w16cid:durableId="678578391">
    <w:abstractNumId w:val="1"/>
  </w:num>
  <w:num w:numId="25" w16cid:durableId="642122460">
    <w:abstractNumId w:val="34"/>
  </w:num>
  <w:num w:numId="26" w16cid:durableId="84498143">
    <w:abstractNumId w:val="39"/>
  </w:num>
  <w:num w:numId="27" w16cid:durableId="605387199">
    <w:abstractNumId w:val="3"/>
  </w:num>
  <w:num w:numId="28" w16cid:durableId="1643651075">
    <w:abstractNumId w:val="32"/>
  </w:num>
  <w:num w:numId="29" w16cid:durableId="285738771">
    <w:abstractNumId w:val="33"/>
  </w:num>
  <w:num w:numId="30" w16cid:durableId="700127847">
    <w:abstractNumId w:val="17"/>
  </w:num>
  <w:num w:numId="31" w16cid:durableId="1569144885">
    <w:abstractNumId w:val="4"/>
  </w:num>
  <w:num w:numId="32" w16cid:durableId="610480524">
    <w:abstractNumId w:val="12"/>
  </w:num>
  <w:num w:numId="33" w16cid:durableId="1170366292">
    <w:abstractNumId w:val="31"/>
  </w:num>
  <w:num w:numId="34" w16cid:durableId="1181316194">
    <w:abstractNumId w:val="10"/>
  </w:num>
  <w:num w:numId="35" w16cid:durableId="1637834574">
    <w:abstractNumId w:val="15"/>
  </w:num>
  <w:num w:numId="36" w16cid:durableId="619839917">
    <w:abstractNumId w:val="27"/>
  </w:num>
  <w:num w:numId="37" w16cid:durableId="231819917">
    <w:abstractNumId w:val="11"/>
  </w:num>
  <w:num w:numId="38" w16cid:durableId="2123183771">
    <w:abstractNumId w:val="8"/>
  </w:num>
  <w:num w:numId="39" w16cid:durableId="1973755627">
    <w:abstractNumId w:val="29"/>
  </w:num>
  <w:num w:numId="40" w16cid:durableId="1216552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3sDQyNTIyNbEwMTRW0lEKTi0uzszPAykwrAUA6XKSRCwAAAA="/>
  </w:docVars>
  <w:rsids>
    <w:rsidRoot w:val="00BD1FA9"/>
    <w:rsid w:val="000022E2"/>
    <w:rsid w:val="000052B8"/>
    <w:rsid w:val="000146B3"/>
    <w:rsid w:val="00015EE6"/>
    <w:rsid w:val="0002448C"/>
    <w:rsid w:val="00041FFC"/>
    <w:rsid w:val="000506ED"/>
    <w:rsid w:val="00055C85"/>
    <w:rsid w:val="00062CA2"/>
    <w:rsid w:val="00070823"/>
    <w:rsid w:val="00076998"/>
    <w:rsid w:val="00087B96"/>
    <w:rsid w:val="000A06E2"/>
    <w:rsid w:val="000A15A2"/>
    <w:rsid w:val="000A1E93"/>
    <w:rsid w:val="000A3B63"/>
    <w:rsid w:val="000A40F1"/>
    <w:rsid w:val="000B37FB"/>
    <w:rsid w:val="000B76EB"/>
    <w:rsid w:val="000C3F2C"/>
    <w:rsid w:val="000E0F54"/>
    <w:rsid w:val="000E17DE"/>
    <w:rsid w:val="000E3EDE"/>
    <w:rsid w:val="000F2380"/>
    <w:rsid w:val="000F4564"/>
    <w:rsid w:val="000F7A56"/>
    <w:rsid w:val="00104C8B"/>
    <w:rsid w:val="00110921"/>
    <w:rsid w:val="00114D5D"/>
    <w:rsid w:val="00122553"/>
    <w:rsid w:val="00124449"/>
    <w:rsid w:val="00124D3A"/>
    <w:rsid w:val="0012782D"/>
    <w:rsid w:val="00131F26"/>
    <w:rsid w:val="00132D52"/>
    <w:rsid w:val="00135AB7"/>
    <w:rsid w:val="001538BA"/>
    <w:rsid w:val="001551FE"/>
    <w:rsid w:val="001737BD"/>
    <w:rsid w:val="001A355B"/>
    <w:rsid w:val="001A4BBB"/>
    <w:rsid w:val="001C0353"/>
    <w:rsid w:val="001C1F5A"/>
    <w:rsid w:val="001C42B3"/>
    <w:rsid w:val="001C530D"/>
    <w:rsid w:val="001D555D"/>
    <w:rsid w:val="001E78F9"/>
    <w:rsid w:val="001E7F9C"/>
    <w:rsid w:val="001F4076"/>
    <w:rsid w:val="001F79CB"/>
    <w:rsid w:val="00203CC7"/>
    <w:rsid w:val="00224562"/>
    <w:rsid w:val="00224C53"/>
    <w:rsid w:val="00244367"/>
    <w:rsid w:val="00250FDC"/>
    <w:rsid w:val="00272C43"/>
    <w:rsid w:val="00275299"/>
    <w:rsid w:val="00283851"/>
    <w:rsid w:val="0028698C"/>
    <w:rsid w:val="002A169A"/>
    <w:rsid w:val="002A3CC4"/>
    <w:rsid w:val="002B439E"/>
    <w:rsid w:val="002B7521"/>
    <w:rsid w:val="002E301C"/>
    <w:rsid w:val="002E437E"/>
    <w:rsid w:val="003035B0"/>
    <w:rsid w:val="0031630A"/>
    <w:rsid w:val="00324B92"/>
    <w:rsid w:val="00325B63"/>
    <w:rsid w:val="0035623D"/>
    <w:rsid w:val="00367E2A"/>
    <w:rsid w:val="00370224"/>
    <w:rsid w:val="00372722"/>
    <w:rsid w:val="00373816"/>
    <w:rsid w:val="00382BC4"/>
    <w:rsid w:val="00385298"/>
    <w:rsid w:val="00396A80"/>
    <w:rsid w:val="003A3169"/>
    <w:rsid w:val="003A5DFA"/>
    <w:rsid w:val="003C1C53"/>
    <w:rsid w:val="003D11EE"/>
    <w:rsid w:val="003D7DC1"/>
    <w:rsid w:val="003E1F8C"/>
    <w:rsid w:val="003E2DC5"/>
    <w:rsid w:val="0040255D"/>
    <w:rsid w:val="00403E1D"/>
    <w:rsid w:val="00412A3A"/>
    <w:rsid w:val="00425133"/>
    <w:rsid w:val="00425726"/>
    <w:rsid w:val="0043014D"/>
    <w:rsid w:val="0043071A"/>
    <w:rsid w:val="00430F8E"/>
    <w:rsid w:val="0044097D"/>
    <w:rsid w:val="00462E04"/>
    <w:rsid w:val="00466E5B"/>
    <w:rsid w:val="00474D5C"/>
    <w:rsid w:val="004807BE"/>
    <w:rsid w:val="00484756"/>
    <w:rsid w:val="00485639"/>
    <w:rsid w:val="0048702C"/>
    <w:rsid w:val="00491C2B"/>
    <w:rsid w:val="004A230B"/>
    <w:rsid w:val="004B20CA"/>
    <w:rsid w:val="004C3A3C"/>
    <w:rsid w:val="004C605C"/>
    <w:rsid w:val="004E6866"/>
    <w:rsid w:val="004F512C"/>
    <w:rsid w:val="004F535D"/>
    <w:rsid w:val="004F6BD8"/>
    <w:rsid w:val="005130E1"/>
    <w:rsid w:val="0051420A"/>
    <w:rsid w:val="00520113"/>
    <w:rsid w:val="0052013B"/>
    <w:rsid w:val="00522DEA"/>
    <w:rsid w:val="005278C0"/>
    <w:rsid w:val="00540181"/>
    <w:rsid w:val="0055010A"/>
    <w:rsid w:val="00571975"/>
    <w:rsid w:val="005955A2"/>
    <w:rsid w:val="005958C9"/>
    <w:rsid w:val="005C1608"/>
    <w:rsid w:val="005C21FF"/>
    <w:rsid w:val="005C3374"/>
    <w:rsid w:val="005D70AF"/>
    <w:rsid w:val="005D7AAA"/>
    <w:rsid w:val="005E39E4"/>
    <w:rsid w:val="005E5D99"/>
    <w:rsid w:val="005E6F31"/>
    <w:rsid w:val="005F5F7B"/>
    <w:rsid w:val="00601606"/>
    <w:rsid w:val="00615F90"/>
    <w:rsid w:val="00631068"/>
    <w:rsid w:val="00637E64"/>
    <w:rsid w:val="00640845"/>
    <w:rsid w:val="00647971"/>
    <w:rsid w:val="006533AF"/>
    <w:rsid w:val="00663AA4"/>
    <w:rsid w:val="006772B3"/>
    <w:rsid w:val="00692830"/>
    <w:rsid w:val="006A5A62"/>
    <w:rsid w:val="006A6055"/>
    <w:rsid w:val="006B63C3"/>
    <w:rsid w:val="006C64D4"/>
    <w:rsid w:val="006D413E"/>
    <w:rsid w:val="006D5E42"/>
    <w:rsid w:val="006F2128"/>
    <w:rsid w:val="00707522"/>
    <w:rsid w:val="00712520"/>
    <w:rsid w:val="00727088"/>
    <w:rsid w:val="00727B83"/>
    <w:rsid w:val="0073541C"/>
    <w:rsid w:val="007355CD"/>
    <w:rsid w:val="00772737"/>
    <w:rsid w:val="00773B96"/>
    <w:rsid w:val="0079226C"/>
    <w:rsid w:val="007A5B75"/>
    <w:rsid w:val="007A6E52"/>
    <w:rsid w:val="007A7AD1"/>
    <w:rsid w:val="007B1B75"/>
    <w:rsid w:val="007B1EB2"/>
    <w:rsid w:val="007B3E22"/>
    <w:rsid w:val="007B5523"/>
    <w:rsid w:val="007B71B7"/>
    <w:rsid w:val="007C79C1"/>
    <w:rsid w:val="007E01AC"/>
    <w:rsid w:val="007E3133"/>
    <w:rsid w:val="007F5306"/>
    <w:rsid w:val="00820A3D"/>
    <w:rsid w:val="00820B22"/>
    <w:rsid w:val="008212CE"/>
    <w:rsid w:val="008322CE"/>
    <w:rsid w:val="00835DAE"/>
    <w:rsid w:val="008413B6"/>
    <w:rsid w:val="0084203E"/>
    <w:rsid w:val="008473EA"/>
    <w:rsid w:val="00852180"/>
    <w:rsid w:val="00854C60"/>
    <w:rsid w:val="0086177E"/>
    <w:rsid w:val="00861B82"/>
    <w:rsid w:val="00866DB9"/>
    <w:rsid w:val="008811B2"/>
    <w:rsid w:val="008A1905"/>
    <w:rsid w:val="008A7F63"/>
    <w:rsid w:val="008B1883"/>
    <w:rsid w:val="008C1A21"/>
    <w:rsid w:val="008C1EE7"/>
    <w:rsid w:val="008C66C5"/>
    <w:rsid w:val="008D110D"/>
    <w:rsid w:val="008D19C4"/>
    <w:rsid w:val="008D342B"/>
    <w:rsid w:val="008E0284"/>
    <w:rsid w:val="008E6FB1"/>
    <w:rsid w:val="008F5D51"/>
    <w:rsid w:val="008F7645"/>
    <w:rsid w:val="0090052E"/>
    <w:rsid w:val="00911496"/>
    <w:rsid w:val="00924A18"/>
    <w:rsid w:val="00932DA5"/>
    <w:rsid w:val="00940D00"/>
    <w:rsid w:val="009453C7"/>
    <w:rsid w:val="009511BF"/>
    <w:rsid w:val="0096171A"/>
    <w:rsid w:val="00976446"/>
    <w:rsid w:val="00976BCF"/>
    <w:rsid w:val="00985B2A"/>
    <w:rsid w:val="00987A15"/>
    <w:rsid w:val="009C2847"/>
    <w:rsid w:val="009C2C75"/>
    <w:rsid w:val="009D1CBA"/>
    <w:rsid w:val="009E4569"/>
    <w:rsid w:val="009F0620"/>
    <w:rsid w:val="00A04265"/>
    <w:rsid w:val="00A07AB3"/>
    <w:rsid w:val="00A15FB5"/>
    <w:rsid w:val="00A23DA5"/>
    <w:rsid w:val="00A421EB"/>
    <w:rsid w:val="00A429C7"/>
    <w:rsid w:val="00A5390C"/>
    <w:rsid w:val="00A547E6"/>
    <w:rsid w:val="00A55208"/>
    <w:rsid w:val="00A55FF2"/>
    <w:rsid w:val="00A6491A"/>
    <w:rsid w:val="00A67C2C"/>
    <w:rsid w:val="00A84DA2"/>
    <w:rsid w:val="00A92EA9"/>
    <w:rsid w:val="00A94534"/>
    <w:rsid w:val="00AA6F4D"/>
    <w:rsid w:val="00AC315B"/>
    <w:rsid w:val="00AC5955"/>
    <w:rsid w:val="00AD0333"/>
    <w:rsid w:val="00AD69A7"/>
    <w:rsid w:val="00AD7204"/>
    <w:rsid w:val="00AE492F"/>
    <w:rsid w:val="00AE50FC"/>
    <w:rsid w:val="00AF08D4"/>
    <w:rsid w:val="00AF573B"/>
    <w:rsid w:val="00B23A40"/>
    <w:rsid w:val="00B260C9"/>
    <w:rsid w:val="00B26E5D"/>
    <w:rsid w:val="00B31E85"/>
    <w:rsid w:val="00B5103E"/>
    <w:rsid w:val="00B531B1"/>
    <w:rsid w:val="00B618B0"/>
    <w:rsid w:val="00B6302D"/>
    <w:rsid w:val="00B63E32"/>
    <w:rsid w:val="00B668A9"/>
    <w:rsid w:val="00B72416"/>
    <w:rsid w:val="00B80CAB"/>
    <w:rsid w:val="00B848E5"/>
    <w:rsid w:val="00B91EEA"/>
    <w:rsid w:val="00B965DA"/>
    <w:rsid w:val="00BB4FD6"/>
    <w:rsid w:val="00BC3CD8"/>
    <w:rsid w:val="00BC6D08"/>
    <w:rsid w:val="00BD1FA9"/>
    <w:rsid w:val="00BD6A58"/>
    <w:rsid w:val="00BD7580"/>
    <w:rsid w:val="00BE2E3D"/>
    <w:rsid w:val="00C31653"/>
    <w:rsid w:val="00C40950"/>
    <w:rsid w:val="00C53E10"/>
    <w:rsid w:val="00C6415B"/>
    <w:rsid w:val="00C649B3"/>
    <w:rsid w:val="00C64D97"/>
    <w:rsid w:val="00C67D06"/>
    <w:rsid w:val="00C840D9"/>
    <w:rsid w:val="00C90428"/>
    <w:rsid w:val="00C94D97"/>
    <w:rsid w:val="00C9745A"/>
    <w:rsid w:val="00C97642"/>
    <w:rsid w:val="00CA1FB9"/>
    <w:rsid w:val="00CA4AF6"/>
    <w:rsid w:val="00CB0EBC"/>
    <w:rsid w:val="00CB3A1C"/>
    <w:rsid w:val="00CF4438"/>
    <w:rsid w:val="00CF4A00"/>
    <w:rsid w:val="00D034B2"/>
    <w:rsid w:val="00D11C5B"/>
    <w:rsid w:val="00D1237D"/>
    <w:rsid w:val="00D12511"/>
    <w:rsid w:val="00D16F33"/>
    <w:rsid w:val="00D319FA"/>
    <w:rsid w:val="00D40940"/>
    <w:rsid w:val="00D536F8"/>
    <w:rsid w:val="00D726B4"/>
    <w:rsid w:val="00D73819"/>
    <w:rsid w:val="00D76D3E"/>
    <w:rsid w:val="00D77DCF"/>
    <w:rsid w:val="00D807A0"/>
    <w:rsid w:val="00D860DC"/>
    <w:rsid w:val="00DA0F27"/>
    <w:rsid w:val="00DB0E30"/>
    <w:rsid w:val="00DB34D8"/>
    <w:rsid w:val="00DC705D"/>
    <w:rsid w:val="00DF2C5B"/>
    <w:rsid w:val="00E0143E"/>
    <w:rsid w:val="00E17340"/>
    <w:rsid w:val="00E2642F"/>
    <w:rsid w:val="00E33254"/>
    <w:rsid w:val="00E34CCD"/>
    <w:rsid w:val="00E40362"/>
    <w:rsid w:val="00E41913"/>
    <w:rsid w:val="00E80B7B"/>
    <w:rsid w:val="00E8152E"/>
    <w:rsid w:val="00E8667B"/>
    <w:rsid w:val="00E90034"/>
    <w:rsid w:val="00E937D3"/>
    <w:rsid w:val="00E95CC4"/>
    <w:rsid w:val="00EA281B"/>
    <w:rsid w:val="00EA4D61"/>
    <w:rsid w:val="00EA60A7"/>
    <w:rsid w:val="00EA6136"/>
    <w:rsid w:val="00EB65CD"/>
    <w:rsid w:val="00EB7039"/>
    <w:rsid w:val="00EE1172"/>
    <w:rsid w:val="00EE783D"/>
    <w:rsid w:val="00EF0ADC"/>
    <w:rsid w:val="00EF3B51"/>
    <w:rsid w:val="00F0150B"/>
    <w:rsid w:val="00F16242"/>
    <w:rsid w:val="00F16FC0"/>
    <w:rsid w:val="00F403B2"/>
    <w:rsid w:val="00F538FE"/>
    <w:rsid w:val="00F62A3D"/>
    <w:rsid w:val="00F671BC"/>
    <w:rsid w:val="00F806AF"/>
    <w:rsid w:val="00F846B8"/>
    <w:rsid w:val="00F85FEE"/>
    <w:rsid w:val="00F925F7"/>
    <w:rsid w:val="00F9382B"/>
    <w:rsid w:val="00F96DC1"/>
    <w:rsid w:val="00F9794E"/>
    <w:rsid w:val="00FB24D7"/>
    <w:rsid w:val="00FC4817"/>
    <w:rsid w:val="00FC62B5"/>
    <w:rsid w:val="00FD5AA3"/>
    <w:rsid w:val="00FE243A"/>
    <w:rsid w:val="00FE33EA"/>
    <w:rsid w:val="00FE35A5"/>
    <w:rsid w:val="00FE681E"/>
    <w:rsid w:val="00FF2068"/>
    <w:rsid w:val="00FF481A"/>
    <w:rsid w:val="00FF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1474"/>
  <w15:docId w15:val="{B6BA8789-41F7-4FBD-890A-DE3556BC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A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31E85"/>
    <w:pPr>
      <w:keepNext/>
      <w:keepLines/>
      <w:spacing w:before="240"/>
      <w:outlineLvl w:val="0"/>
    </w:pPr>
    <w:rPr>
      <w:rFonts w:eastAsiaTheme="majorEastAsia"/>
      <w:b/>
      <w:bCs/>
      <w:color w:val="06926B"/>
      <w:sz w:val="32"/>
      <w:szCs w:val="32"/>
    </w:rPr>
  </w:style>
  <w:style w:type="paragraph" w:styleId="Heading2">
    <w:name w:val="heading 2"/>
    <w:basedOn w:val="Normal"/>
    <w:next w:val="Normal"/>
    <w:link w:val="Heading2Char"/>
    <w:uiPriority w:val="9"/>
    <w:unhideWhenUsed/>
    <w:qFormat/>
    <w:rsid w:val="00B31E85"/>
    <w:pPr>
      <w:outlineLvl w:val="1"/>
    </w:pPr>
    <w:rPr>
      <w:b/>
      <w:bCs/>
    </w:rPr>
  </w:style>
  <w:style w:type="paragraph" w:styleId="Heading3">
    <w:name w:val="heading 3"/>
    <w:basedOn w:val="Normal"/>
    <w:next w:val="Normal"/>
    <w:link w:val="Heading3Char"/>
    <w:uiPriority w:val="9"/>
    <w:unhideWhenUsed/>
    <w:qFormat/>
    <w:rsid w:val="000A06E2"/>
    <w:pPr>
      <w:keepNext/>
      <w:keepLines/>
      <w:spacing w:before="40"/>
      <w:outlineLvl w:val="2"/>
    </w:pPr>
    <w:rPr>
      <w:rFonts w:eastAsiaTheme="majorEastAsia"/>
      <w:color w:val="4FC0EA"/>
      <w:sz w:val="24"/>
      <w:szCs w:val="24"/>
    </w:rPr>
  </w:style>
  <w:style w:type="paragraph" w:styleId="Heading4">
    <w:name w:val="heading 4"/>
    <w:basedOn w:val="Normal"/>
    <w:next w:val="Normal"/>
    <w:link w:val="Heading4Char"/>
    <w:uiPriority w:val="9"/>
    <w:unhideWhenUsed/>
    <w:qFormat/>
    <w:rsid w:val="00B31E85"/>
    <w:pPr>
      <w:keepNext/>
      <w:keepLines/>
      <w:spacing w:before="40"/>
      <w:outlineLvl w:val="3"/>
    </w:pPr>
    <w:rPr>
      <w:rFonts w:eastAsiaTheme="majorEastAsia"/>
      <w:i/>
      <w:iCs/>
    </w:rPr>
  </w:style>
  <w:style w:type="paragraph" w:styleId="Heading5">
    <w:name w:val="heading 5"/>
    <w:basedOn w:val="Normal"/>
    <w:next w:val="Normal"/>
    <w:link w:val="Heading5Char"/>
    <w:uiPriority w:val="9"/>
    <w:unhideWhenUsed/>
    <w:qFormat/>
    <w:rsid w:val="00B31E85"/>
    <w:pPr>
      <w:keepNext/>
      <w:keepLines/>
      <w:spacing w:before="40"/>
      <w:outlineLvl w:val="4"/>
    </w:pPr>
    <w:rPr>
      <w:rFonts w:eastAsiaTheme="majorEastAsia"/>
    </w:rPr>
  </w:style>
  <w:style w:type="paragraph" w:styleId="Heading6">
    <w:name w:val="heading 6"/>
    <w:basedOn w:val="Normal"/>
    <w:next w:val="Normal"/>
    <w:link w:val="Heading6Char"/>
    <w:uiPriority w:val="9"/>
    <w:unhideWhenUsed/>
    <w:qFormat/>
    <w:rsid w:val="00B31E85"/>
    <w:pPr>
      <w:keepNext/>
      <w:keepLines/>
      <w:spacing w:before="4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913"/>
    <w:rPr>
      <w:color w:val="0000FF"/>
      <w:u w:val="single"/>
    </w:rPr>
  </w:style>
  <w:style w:type="paragraph" w:styleId="BalloonText">
    <w:name w:val="Balloon Text"/>
    <w:basedOn w:val="Normal"/>
    <w:link w:val="BalloonTextChar"/>
    <w:uiPriority w:val="99"/>
    <w:semiHidden/>
    <w:unhideWhenUsed/>
    <w:rsid w:val="00E41913"/>
    <w:rPr>
      <w:rFonts w:ascii="Tahoma" w:hAnsi="Tahoma" w:cs="Tahoma"/>
      <w:sz w:val="16"/>
      <w:szCs w:val="16"/>
    </w:rPr>
  </w:style>
  <w:style w:type="character" w:customStyle="1" w:styleId="BalloonTextChar">
    <w:name w:val="Balloon Text Char"/>
    <w:basedOn w:val="DefaultParagraphFont"/>
    <w:link w:val="BalloonText"/>
    <w:uiPriority w:val="99"/>
    <w:semiHidden/>
    <w:rsid w:val="00E41913"/>
    <w:rPr>
      <w:rFonts w:ascii="Tahoma" w:hAnsi="Tahoma" w:cs="Tahoma"/>
      <w:sz w:val="16"/>
      <w:szCs w:val="16"/>
    </w:rPr>
  </w:style>
  <w:style w:type="paragraph" w:styleId="Header">
    <w:name w:val="header"/>
    <w:basedOn w:val="Normal"/>
    <w:link w:val="HeaderChar"/>
    <w:uiPriority w:val="99"/>
    <w:unhideWhenUsed/>
    <w:rsid w:val="00124D3A"/>
    <w:pPr>
      <w:tabs>
        <w:tab w:val="center" w:pos="4513"/>
        <w:tab w:val="right" w:pos="9026"/>
      </w:tabs>
    </w:pPr>
  </w:style>
  <w:style w:type="character" w:customStyle="1" w:styleId="HeaderChar">
    <w:name w:val="Header Char"/>
    <w:basedOn w:val="DefaultParagraphFont"/>
    <w:link w:val="Header"/>
    <w:uiPriority w:val="99"/>
    <w:rsid w:val="00124D3A"/>
    <w:rPr>
      <w:rFonts w:ascii="Calibri" w:hAnsi="Calibri" w:cs="Times New Roman"/>
    </w:rPr>
  </w:style>
  <w:style w:type="paragraph" w:styleId="Footer">
    <w:name w:val="footer"/>
    <w:basedOn w:val="Normal"/>
    <w:link w:val="FooterChar"/>
    <w:uiPriority w:val="99"/>
    <w:unhideWhenUsed/>
    <w:rsid w:val="00124D3A"/>
    <w:pPr>
      <w:tabs>
        <w:tab w:val="center" w:pos="4513"/>
        <w:tab w:val="right" w:pos="9026"/>
      </w:tabs>
    </w:pPr>
  </w:style>
  <w:style w:type="character" w:customStyle="1" w:styleId="FooterChar">
    <w:name w:val="Footer Char"/>
    <w:basedOn w:val="DefaultParagraphFont"/>
    <w:link w:val="Footer"/>
    <w:uiPriority w:val="99"/>
    <w:rsid w:val="00124D3A"/>
    <w:rPr>
      <w:rFonts w:ascii="Calibri" w:hAnsi="Calibri" w:cs="Times New Roman"/>
    </w:rPr>
  </w:style>
  <w:style w:type="paragraph" w:styleId="BodyText">
    <w:name w:val="Body Text"/>
    <w:basedOn w:val="Normal"/>
    <w:link w:val="BodyTextChar"/>
    <w:uiPriority w:val="1"/>
    <w:qFormat/>
    <w:rsid w:val="00640845"/>
    <w:pPr>
      <w:widowControl w:val="0"/>
      <w:autoSpaceDE w:val="0"/>
      <w:autoSpaceDN w:val="0"/>
    </w:pPr>
    <w:rPr>
      <w:rFonts w:ascii="FuturaPT-Light" w:eastAsia="FuturaPT-Light" w:hAnsi="FuturaPT-Light" w:cs="FuturaPT-Light"/>
      <w:sz w:val="20"/>
      <w:szCs w:val="20"/>
      <w:lang w:val="en-US"/>
    </w:rPr>
  </w:style>
  <w:style w:type="character" w:customStyle="1" w:styleId="BodyTextChar">
    <w:name w:val="Body Text Char"/>
    <w:basedOn w:val="DefaultParagraphFont"/>
    <w:link w:val="BodyText"/>
    <w:uiPriority w:val="1"/>
    <w:rsid w:val="00640845"/>
    <w:rPr>
      <w:rFonts w:ascii="FuturaPT-Light" w:eastAsia="FuturaPT-Light" w:hAnsi="FuturaPT-Light" w:cs="FuturaPT-Light"/>
      <w:sz w:val="20"/>
      <w:szCs w:val="20"/>
      <w:lang w:val="en-US"/>
    </w:rPr>
  </w:style>
  <w:style w:type="character" w:customStyle="1" w:styleId="Heading1Char">
    <w:name w:val="Heading 1 Char"/>
    <w:basedOn w:val="DefaultParagraphFont"/>
    <w:link w:val="Heading1"/>
    <w:uiPriority w:val="9"/>
    <w:rsid w:val="00B31E85"/>
    <w:rPr>
      <w:rFonts w:ascii="Open Sans" w:eastAsiaTheme="majorEastAsia" w:hAnsi="Open Sans" w:cs="Open Sans"/>
      <w:b/>
      <w:bCs/>
      <w:color w:val="06926B"/>
      <w:sz w:val="32"/>
      <w:szCs w:val="32"/>
    </w:rPr>
  </w:style>
  <w:style w:type="character" w:customStyle="1" w:styleId="Heading2Char">
    <w:name w:val="Heading 2 Char"/>
    <w:basedOn w:val="DefaultParagraphFont"/>
    <w:link w:val="Heading2"/>
    <w:uiPriority w:val="9"/>
    <w:rsid w:val="00B31E85"/>
    <w:rPr>
      <w:rFonts w:ascii="Open Sans" w:hAnsi="Open Sans" w:cs="Open Sans"/>
      <w:b/>
      <w:bCs/>
    </w:rPr>
  </w:style>
  <w:style w:type="paragraph" w:styleId="NoSpacing">
    <w:name w:val="No Spacing"/>
    <w:uiPriority w:val="1"/>
    <w:qFormat/>
    <w:rsid w:val="00087B96"/>
    <w:pPr>
      <w:spacing w:after="0" w:line="240" w:lineRule="auto"/>
    </w:pPr>
    <w:rPr>
      <w:rFonts w:ascii="Open Sans" w:hAnsi="Open Sans" w:cs="Open Sans"/>
    </w:rPr>
  </w:style>
  <w:style w:type="character" w:customStyle="1" w:styleId="Heading3Char">
    <w:name w:val="Heading 3 Char"/>
    <w:basedOn w:val="DefaultParagraphFont"/>
    <w:link w:val="Heading3"/>
    <w:uiPriority w:val="9"/>
    <w:rsid w:val="000A06E2"/>
    <w:rPr>
      <w:rFonts w:ascii="Open Sans" w:eastAsiaTheme="majorEastAsia" w:hAnsi="Open Sans" w:cs="Open Sans"/>
      <w:color w:val="4FC0EA"/>
      <w:sz w:val="24"/>
      <w:szCs w:val="24"/>
    </w:rPr>
  </w:style>
  <w:style w:type="character" w:customStyle="1" w:styleId="Heading4Char">
    <w:name w:val="Heading 4 Char"/>
    <w:basedOn w:val="DefaultParagraphFont"/>
    <w:link w:val="Heading4"/>
    <w:uiPriority w:val="9"/>
    <w:rsid w:val="00B31E85"/>
    <w:rPr>
      <w:rFonts w:ascii="Open Sans" w:eastAsiaTheme="majorEastAsia" w:hAnsi="Open Sans" w:cs="Open Sans"/>
      <w:i/>
      <w:iCs/>
    </w:rPr>
  </w:style>
  <w:style w:type="character" w:customStyle="1" w:styleId="Heading5Char">
    <w:name w:val="Heading 5 Char"/>
    <w:basedOn w:val="DefaultParagraphFont"/>
    <w:link w:val="Heading5"/>
    <w:uiPriority w:val="9"/>
    <w:rsid w:val="00B31E85"/>
    <w:rPr>
      <w:rFonts w:ascii="Open Sans" w:eastAsiaTheme="majorEastAsia" w:hAnsi="Open Sans" w:cs="Open Sans"/>
    </w:rPr>
  </w:style>
  <w:style w:type="character" w:customStyle="1" w:styleId="Heading6Char">
    <w:name w:val="Heading 6 Char"/>
    <w:basedOn w:val="DefaultParagraphFont"/>
    <w:link w:val="Heading6"/>
    <w:uiPriority w:val="9"/>
    <w:rsid w:val="00B31E85"/>
    <w:rPr>
      <w:rFonts w:ascii="Open Sans" w:eastAsiaTheme="majorEastAsia" w:hAnsi="Open Sans" w:cs="Open Sans"/>
      <w:color w:val="243F60" w:themeColor="accent1" w:themeShade="7F"/>
    </w:rPr>
  </w:style>
  <w:style w:type="paragraph" w:styleId="ListParagraph">
    <w:name w:val="List Paragraph"/>
    <w:basedOn w:val="Normal"/>
    <w:uiPriority w:val="34"/>
    <w:qFormat/>
    <w:rsid w:val="00F16242"/>
    <w:pPr>
      <w:ind w:left="720"/>
      <w:contextualSpacing/>
    </w:pPr>
  </w:style>
  <w:style w:type="paragraph" w:styleId="NormalWeb">
    <w:name w:val="Normal (Web)"/>
    <w:basedOn w:val="Normal"/>
    <w:uiPriority w:val="99"/>
    <w:unhideWhenUsed/>
    <w:rsid w:val="009C2C75"/>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46280">
      <w:bodyDiv w:val="1"/>
      <w:marLeft w:val="0"/>
      <w:marRight w:val="0"/>
      <w:marTop w:val="0"/>
      <w:marBottom w:val="0"/>
      <w:divBdr>
        <w:top w:val="none" w:sz="0" w:space="0" w:color="auto"/>
        <w:left w:val="none" w:sz="0" w:space="0" w:color="auto"/>
        <w:bottom w:val="none" w:sz="0" w:space="0" w:color="auto"/>
        <w:right w:val="none" w:sz="0" w:space="0" w:color="auto"/>
      </w:divBdr>
    </w:div>
    <w:div w:id="221793659">
      <w:bodyDiv w:val="1"/>
      <w:marLeft w:val="0"/>
      <w:marRight w:val="0"/>
      <w:marTop w:val="0"/>
      <w:marBottom w:val="0"/>
      <w:divBdr>
        <w:top w:val="none" w:sz="0" w:space="0" w:color="auto"/>
        <w:left w:val="none" w:sz="0" w:space="0" w:color="auto"/>
        <w:bottom w:val="none" w:sz="0" w:space="0" w:color="auto"/>
        <w:right w:val="none" w:sz="0" w:space="0" w:color="auto"/>
      </w:divBdr>
    </w:div>
    <w:div w:id="1048914186">
      <w:bodyDiv w:val="1"/>
      <w:marLeft w:val="0"/>
      <w:marRight w:val="0"/>
      <w:marTop w:val="0"/>
      <w:marBottom w:val="0"/>
      <w:divBdr>
        <w:top w:val="none" w:sz="0" w:space="0" w:color="auto"/>
        <w:left w:val="none" w:sz="0" w:space="0" w:color="auto"/>
        <w:bottom w:val="none" w:sz="0" w:space="0" w:color="auto"/>
        <w:right w:val="none" w:sz="0" w:space="0" w:color="auto"/>
      </w:divBdr>
    </w:div>
    <w:div w:id="1505240105">
      <w:bodyDiv w:val="1"/>
      <w:marLeft w:val="0"/>
      <w:marRight w:val="0"/>
      <w:marTop w:val="0"/>
      <w:marBottom w:val="0"/>
      <w:divBdr>
        <w:top w:val="none" w:sz="0" w:space="0" w:color="auto"/>
        <w:left w:val="none" w:sz="0" w:space="0" w:color="auto"/>
        <w:bottom w:val="none" w:sz="0" w:space="0" w:color="auto"/>
        <w:right w:val="none" w:sz="0" w:space="0" w:color="auto"/>
      </w:divBdr>
    </w:div>
    <w:div w:id="17012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OneDrive%20-%20REA\Documents\RE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bbbe167-487c-408d-acef-8d2427bd1be5">
      <UserInfo>
        <DisplayName>Kat McManus</DisplayName>
        <AccountId>55</AccountId>
        <AccountType/>
      </UserInfo>
    </SharedWithUsers>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566B66A4-72C7-4F72-B5EA-48CC17FAA50B}">
  <ds:schemaRefs>
    <ds:schemaRef ds:uri="http://schemas.openxmlformats.org/officeDocument/2006/bibliography"/>
  </ds:schemaRefs>
</ds:datastoreItem>
</file>

<file path=customXml/itemProps2.xml><?xml version="1.0" encoding="utf-8"?>
<ds:datastoreItem xmlns:ds="http://schemas.openxmlformats.org/officeDocument/2006/customXml" ds:itemID="{DBDD941B-9BF9-497C-B776-A9B7C0726440}">
  <ds:schemaRefs>
    <ds:schemaRef ds:uri="http://schemas.microsoft.com/sharepoint/v3/contenttype/forms"/>
  </ds:schemaRefs>
</ds:datastoreItem>
</file>

<file path=customXml/itemProps3.xml><?xml version="1.0" encoding="utf-8"?>
<ds:datastoreItem xmlns:ds="http://schemas.openxmlformats.org/officeDocument/2006/customXml" ds:itemID="{7B210724-70A9-4CE1-AADB-7082E8D6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783E5-5421-4429-8095-1CB86C80524A}">
  <ds:schemaRefs>
    <ds:schemaRef ds:uri="http://schemas.microsoft.com/office/2006/metadata/properties"/>
    <ds:schemaRef ds:uri="http://schemas.microsoft.com/office/infopath/2007/PartnerControls"/>
    <ds:schemaRef ds:uri="3bbbe167-487c-408d-acef-8d2427bd1be5"/>
    <ds:schemaRef ds:uri="08b28fe2-aad7-446e-968d-b56429c2090b"/>
  </ds:schemaRefs>
</ds:datastoreItem>
</file>

<file path=docProps/app.xml><?xml version="1.0" encoding="utf-8"?>
<Properties xmlns="http://schemas.openxmlformats.org/officeDocument/2006/extended-properties" xmlns:vt="http://schemas.openxmlformats.org/officeDocument/2006/docPropsVTypes">
  <Template>REA Letterhead</Template>
  <TotalTime>495</TotalTime>
  <Pages>6</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Smith</dc:creator>
  <cp:lastModifiedBy>Samantha Smith</cp:lastModifiedBy>
  <cp:revision>147</cp:revision>
  <dcterms:created xsi:type="dcterms:W3CDTF">2024-07-03T13:35:00Z</dcterms:created>
  <dcterms:modified xsi:type="dcterms:W3CDTF">2024-07-05T16:35:00Z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Order">
    <vt:r8>154600</vt:r8>
  </property>
  <property fmtid="{D5CDD505-2E9C-101B-9397-08002B2CF9AE}" pid="4" name="xd_Signature">
    <vt:bool>false</vt:bool>
  </property>
  <property fmtid="{D5CDD505-2E9C-101B-9397-08002B2CF9AE}" pid="5" name="SharedWithUsers">
    <vt:lpwstr>55;#Kat McManus</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