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2521E" w14:textId="77777777" w:rsidR="00F90867" w:rsidRDefault="00F90867" w:rsidP="00BB2720">
      <w:pPr>
        <w:pStyle w:val="Heading1"/>
        <w:jc w:val="center"/>
        <w:rPr>
          <w:rFonts w:ascii="Open Sans" w:hAnsi="Open Sans" w:cs="Open Sans"/>
          <w:sz w:val="28"/>
          <w:szCs w:val="28"/>
        </w:rPr>
      </w:pPr>
    </w:p>
    <w:p w14:paraId="0AEEF034" w14:textId="604B380E" w:rsidR="00C53E10" w:rsidRPr="00D91A77" w:rsidRDefault="00BD1FA9" w:rsidP="00F90867">
      <w:pPr>
        <w:pStyle w:val="Heading1"/>
        <w:spacing w:before="0"/>
        <w:jc w:val="center"/>
        <w:rPr>
          <w:rFonts w:ascii="Open Sans" w:hAnsi="Open Sans" w:cs="Open Sans"/>
          <w:sz w:val="28"/>
          <w:szCs w:val="28"/>
        </w:rPr>
      </w:pPr>
      <w:r w:rsidRPr="00D91A77">
        <w:rPr>
          <w:rFonts w:ascii="Open Sans" w:hAnsi="Open Sans" w:cs="Open Sans"/>
          <w:sz w:val="28"/>
          <w:szCs w:val="28"/>
        </w:rPr>
        <w:t xml:space="preserve">REA draft response: Integrating </w:t>
      </w:r>
      <w:r w:rsidR="00263662" w:rsidRPr="00D91A77">
        <w:rPr>
          <w:rFonts w:ascii="Open Sans" w:hAnsi="Open Sans" w:cs="Open Sans"/>
          <w:sz w:val="28"/>
          <w:szCs w:val="28"/>
        </w:rPr>
        <w:t>G</w:t>
      </w:r>
      <w:r w:rsidRPr="00D91A77">
        <w:rPr>
          <w:rFonts w:ascii="Open Sans" w:hAnsi="Open Sans" w:cs="Open Sans"/>
          <w:sz w:val="28"/>
          <w:szCs w:val="28"/>
        </w:rPr>
        <w:t xml:space="preserve">reenhouse </w:t>
      </w:r>
      <w:r w:rsidR="00263662" w:rsidRPr="00D91A77">
        <w:rPr>
          <w:rFonts w:ascii="Open Sans" w:hAnsi="Open Sans" w:cs="Open Sans"/>
          <w:sz w:val="28"/>
          <w:szCs w:val="28"/>
        </w:rPr>
        <w:t>G</w:t>
      </w:r>
      <w:r w:rsidRPr="00D91A77">
        <w:rPr>
          <w:rFonts w:ascii="Open Sans" w:hAnsi="Open Sans" w:cs="Open Sans"/>
          <w:sz w:val="28"/>
          <w:szCs w:val="28"/>
        </w:rPr>
        <w:t xml:space="preserve">as </w:t>
      </w:r>
      <w:r w:rsidR="00263662" w:rsidRPr="00D91A77">
        <w:rPr>
          <w:rFonts w:ascii="Open Sans" w:hAnsi="Open Sans" w:cs="Open Sans"/>
          <w:sz w:val="28"/>
          <w:szCs w:val="28"/>
        </w:rPr>
        <w:t>R</w:t>
      </w:r>
      <w:r w:rsidRPr="00D91A77">
        <w:rPr>
          <w:rFonts w:ascii="Open Sans" w:hAnsi="Open Sans" w:cs="Open Sans"/>
          <w:sz w:val="28"/>
          <w:szCs w:val="28"/>
        </w:rPr>
        <w:t>emovals in the UK Emissions Trading Scheme</w:t>
      </w:r>
    </w:p>
    <w:p w14:paraId="6D9A0553" w14:textId="77777777" w:rsidR="00BD1FA9" w:rsidRPr="00D91A77" w:rsidRDefault="00BD1FA9" w:rsidP="00BD1FA9">
      <w:pPr>
        <w:rPr>
          <w:rFonts w:ascii="Open Sans" w:hAnsi="Open Sans" w:cs="Open Sans"/>
        </w:rPr>
      </w:pPr>
    </w:p>
    <w:p w14:paraId="67F29501" w14:textId="77777777" w:rsidR="00F90867" w:rsidRDefault="00F90867" w:rsidP="00BD1FA9">
      <w:pPr>
        <w:rPr>
          <w:rFonts w:ascii="Open Sans" w:hAnsi="Open Sans" w:cs="Open Sans"/>
        </w:rPr>
      </w:pPr>
    </w:p>
    <w:p w14:paraId="13C0CA05" w14:textId="662D03AB" w:rsidR="00BD1FA9" w:rsidRDefault="00D83EC7" w:rsidP="00BD1FA9">
      <w:pPr>
        <w:rPr>
          <w:rFonts w:ascii="Open Sans" w:hAnsi="Open Sans" w:cs="Open Sans"/>
        </w:rPr>
      </w:pPr>
      <w:r w:rsidRPr="00D91A77">
        <w:rPr>
          <w:rFonts w:ascii="Open Sans" w:hAnsi="Open Sans" w:cs="Open Sans"/>
        </w:rPr>
        <w:t>The REA (</w:t>
      </w:r>
      <w:r w:rsidR="00BD1FA9" w:rsidRPr="00D91A77">
        <w:rPr>
          <w:rFonts w:ascii="Open Sans" w:hAnsi="Open Sans" w:cs="Open Sans"/>
        </w:rPr>
        <w:t>Association for Renewable Energy &amp; Clean Technology</w:t>
      </w:r>
      <w:r w:rsidRPr="00D91A77">
        <w:rPr>
          <w:rFonts w:ascii="Open Sans" w:hAnsi="Open Sans" w:cs="Open Sans"/>
        </w:rPr>
        <w:t xml:space="preserve">) </w:t>
      </w:r>
      <w:r w:rsidR="00BD1FA9" w:rsidRPr="00D91A77">
        <w:rPr>
          <w:rFonts w:ascii="Open Sans" w:hAnsi="Open Sans" w:cs="Open Sans"/>
        </w:rPr>
        <w:t xml:space="preserve">is pleased to submit this response to the above consultation. The REA represents a wide variety of organisations, including generators, project developers, fuel and power suppliers, investors, equipment producers and service providers. The REA has dedicated member forums focused on biomass power, biomass heat, green gas and hydrogen, renewable transport fuels, thermal storage, and energy from waste (including advanced conversion technologies). Members range in size from major multinationals to sole traders. There are around 500 corporate members of the REA, making it the largest renewable energy trade association in the UK. </w:t>
      </w:r>
    </w:p>
    <w:p w14:paraId="08D4B4CB" w14:textId="77777777" w:rsidR="005B5FD4" w:rsidRDefault="005B5FD4" w:rsidP="00BD1FA9">
      <w:pPr>
        <w:rPr>
          <w:rFonts w:ascii="Open Sans" w:hAnsi="Open Sans" w:cs="Open Sans"/>
        </w:rPr>
      </w:pPr>
    </w:p>
    <w:p w14:paraId="23339F69" w14:textId="77777777" w:rsidR="005B5FD4" w:rsidRDefault="005B5FD4" w:rsidP="00BD1FA9">
      <w:pPr>
        <w:rPr>
          <w:rFonts w:ascii="Open Sans" w:hAnsi="Open Sans" w:cs="Open Sans"/>
        </w:rPr>
      </w:pPr>
    </w:p>
    <w:p w14:paraId="2D88BDBC" w14:textId="77777777" w:rsidR="005B5FD4" w:rsidRDefault="005B5FD4" w:rsidP="00BD1FA9">
      <w:pPr>
        <w:rPr>
          <w:rFonts w:ascii="Open Sans" w:hAnsi="Open Sans" w:cs="Open Sans"/>
        </w:rPr>
      </w:pPr>
    </w:p>
    <w:p w14:paraId="4386C8A2" w14:textId="685469FD" w:rsidR="005B5FD4" w:rsidRDefault="005B5FD4" w:rsidP="00BD1FA9">
      <w:pPr>
        <w:rPr>
          <w:rFonts w:ascii="Open Sans" w:hAnsi="Open Sans" w:cs="Open Sans"/>
          <w:b/>
          <w:bCs/>
        </w:rPr>
      </w:pPr>
      <w:r w:rsidRPr="005B5FD4">
        <w:rPr>
          <w:rFonts w:ascii="Open Sans" w:hAnsi="Open Sans" w:cs="Open Sans"/>
          <w:b/>
          <w:bCs/>
        </w:rPr>
        <w:t>Contents</w:t>
      </w:r>
    </w:p>
    <w:p w14:paraId="0DBE30DC" w14:textId="2D325DFD" w:rsidR="005B5FD4" w:rsidRPr="00E47903" w:rsidRDefault="00000000" w:rsidP="00E47903">
      <w:pPr>
        <w:rPr>
          <w:rFonts w:ascii="Open Sans" w:hAnsi="Open Sans" w:cs="Open Sans"/>
        </w:rPr>
      </w:pPr>
      <w:hyperlink w:anchor="_Principles_for_policy" w:history="1">
        <w:r w:rsidR="00E47903" w:rsidRPr="00F90867">
          <w:rPr>
            <w:rStyle w:val="Hyperlink"/>
            <w:rFonts w:ascii="Open Sans" w:hAnsi="Open Sans" w:cs="Open Sans"/>
          </w:rPr>
          <w:t>Principles for policy design</w:t>
        </w:r>
      </w:hyperlink>
      <w:r w:rsidR="00F90867" w:rsidRPr="00F90867">
        <w:rPr>
          <w:rFonts w:ascii="Open Sans" w:hAnsi="Open Sans" w:cs="Open Sans"/>
        </w:rPr>
        <w:tab/>
      </w:r>
      <w:r w:rsidR="00F90867">
        <w:rPr>
          <w:rFonts w:ascii="Open Sans" w:hAnsi="Open Sans" w:cs="Open Sans"/>
        </w:rPr>
        <w:tab/>
      </w:r>
      <w:r w:rsidR="00F90867">
        <w:rPr>
          <w:rFonts w:ascii="Open Sans" w:hAnsi="Open Sans" w:cs="Open Sans"/>
        </w:rPr>
        <w:tab/>
      </w:r>
      <w:r w:rsidR="00F90867">
        <w:rPr>
          <w:rFonts w:ascii="Open Sans" w:hAnsi="Open Sans" w:cs="Open Sans"/>
        </w:rPr>
        <w:tab/>
      </w:r>
      <w:r w:rsidR="00F90867">
        <w:rPr>
          <w:rFonts w:ascii="Open Sans" w:hAnsi="Open Sans" w:cs="Open Sans"/>
        </w:rPr>
        <w:tab/>
        <w:t>2</w:t>
      </w:r>
      <w:r w:rsidR="00E47903">
        <w:rPr>
          <w:rFonts w:ascii="Open Sans" w:hAnsi="Open Sans" w:cs="Open Sans"/>
        </w:rPr>
        <w:tab/>
      </w:r>
      <w:r w:rsidR="00E47903">
        <w:rPr>
          <w:rFonts w:ascii="Open Sans" w:hAnsi="Open Sans" w:cs="Open Sans"/>
        </w:rPr>
        <w:tab/>
      </w:r>
      <w:r w:rsidR="00E47903">
        <w:rPr>
          <w:rFonts w:ascii="Open Sans" w:hAnsi="Open Sans" w:cs="Open Sans"/>
        </w:rPr>
        <w:tab/>
      </w:r>
    </w:p>
    <w:p w14:paraId="3E0733D2" w14:textId="7E5AA85A" w:rsidR="00E47903" w:rsidRPr="00E47903" w:rsidRDefault="00000000" w:rsidP="00BD1FA9">
      <w:pPr>
        <w:rPr>
          <w:rFonts w:ascii="Open Sans" w:hAnsi="Open Sans" w:cs="Open Sans"/>
        </w:rPr>
      </w:pPr>
      <w:hyperlink w:anchor="_Cap" w:history="1">
        <w:r w:rsidR="00E47903" w:rsidRPr="00F90867">
          <w:rPr>
            <w:rStyle w:val="Hyperlink"/>
            <w:rFonts w:ascii="Open Sans" w:hAnsi="Open Sans" w:cs="Open Sans"/>
          </w:rPr>
          <w:t>Cap</w:t>
        </w:r>
      </w:hyperlink>
      <w:r w:rsidR="00F90867">
        <w:rPr>
          <w:rFonts w:ascii="Open Sans" w:hAnsi="Open Sans" w:cs="Open Sans"/>
        </w:rPr>
        <w:tab/>
      </w:r>
      <w:r w:rsidR="00F90867">
        <w:rPr>
          <w:rFonts w:ascii="Open Sans" w:hAnsi="Open Sans" w:cs="Open Sans"/>
        </w:rPr>
        <w:tab/>
      </w:r>
      <w:r w:rsidR="00F90867">
        <w:rPr>
          <w:rFonts w:ascii="Open Sans" w:hAnsi="Open Sans" w:cs="Open Sans"/>
        </w:rPr>
        <w:tab/>
      </w:r>
      <w:r w:rsidR="00F90867">
        <w:rPr>
          <w:rFonts w:ascii="Open Sans" w:hAnsi="Open Sans" w:cs="Open Sans"/>
        </w:rPr>
        <w:tab/>
      </w:r>
      <w:r w:rsidR="00F90867">
        <w:rPr>
          <w:rFonts w:ascii="Open Sans" w:hAnsi="Open Sans" w:cs="Open Sans"/>
        </w:rPr>
        <w:tab/>
      </w:r>
      <w:r w:rsidR="00F90867">
        <w:rPr>
          <w:rFonts w:ascii="Open Sans" w:hAnsi="Open Sans" w:cs="Open Sans"/>
        </w:rPr>
        <w:tab/>
      </w:r>
      <w:r w:rsidR="00F90867">
        <w:rPr>
          <w:rFonts w:ascii="Open Sans" w:hAnsi="Open Sans" w:cs="Open Sans"/>
        </w:rPr>
        <w:tab/>
      </w:r>
      <w:r w:rsidR="00F90867">
        <w:rPr>
          <w:rFonts w:ascii="Open Sans" w:hAnsi="Open Sans" w:cs="Open Sans"/>
        </w:rPr>
        <w:tab/>
        <w:t>3</w:t>
      </w:r>
    </w:p>
    <w:p w14:paraId="511D864B" w14:textId="1410EFCE" w:rsidR="00E47903" w:rsidRPr="00E47903" w:rsidRDefault="00000000" w:rsidP="00BD1FA9">
      <w:pPr>
        <w:rPr>
          <w:rFonts w:ascii="Open Sans" w:hAnsi="Open Sans" w:cs="Open Sans"/>
        </w:rPr>
      </w:pPr>
      <w:hyperlink w:anchor="_Allowance_design_for" w:history="1">
        <w:r w:rsidR="00E47903" w:rsidRPr="00F90867">
          <w:rPr>
            <w:rStyle w:val="Hyperlink"/>
            <w:rFonts w:ascii="Open Sans" w:hAnsi="Open Sans" w:cs="Open Sans"/>
          </w:rPr>
          <w:t>Allowance design for GGRs</w:t>
        </w:r>
      </w:hyperlink>
      <w:r w:rsidR="00F90867">
        <w:rPr>
          <w:rFonts w:ascii="Open Sans" w:hAnsi="Open Sans" w:cs="Open Sans"/>
        </w:rPr>
        <w:tab/>
      </w:r>
      <w:r w:rsidR="00F90867">
        <w:rPr>
          <w:rFonts w:ascii="Open Sans" w:hAnsi="Open Sans" w:cs="Open Sans"/>
        </w:rPr>
        <w:tab/>
      </w:r>
      <w:r w:rsidR="00F90867">
        <w:rPr>
          <w:rFonts w:ascii="Open Sans" w:hAnsi="Open Sans" w:cs="Open Sans"/>
        </w:rPr>
        <w:tab/>
      </w:r>
      <w:r w:rsidR="00F90867">
        <w:rPr>
          <w:rFonts w:ascii="Open Sans" w:hAnsi="Open Sans" w:cs="Open Sans"/>
        </w:rPr>
        <w:tab/>
      </w:r>
      <w:r w:rsidR="00F90867">
        <w:rPr>
          <w:rFonts w:ascii="Open Sans" w:hAnsi="Open Sans" w:cs="Open Sans"/>
        </w:rPr>
        <w:tab/>
        <w:t>4</w:t>
      </w:r>
    </w:p>
    <w:p w14:paraId="4D73785D" w14:textId="043ACF66" w:rsidR="00E47903" w:rsidRPr="00E47903" w:rsidRDefault="00000000" w:rsidP="00BD1FA9">
      <w:pPr>
        <w:rPr>
          <w:rFonts w:ascii="Open Sans" w:hAnsi="Open Sans" w:cs="Open Sans"/>
        </w:rPr>
      </w:pPr>
      <w:hyperlink w:anchor="_Permanence" w:history="1">
        <w:r w:rsidR="00E47903" w:rsidRPr="00F90867">
          <w:rPr>
            <w:rStyle w:val="Hyperlink"/>
            <w:rFonts w:ascii="Open Sans" w:hAnsi="Open Sans" w:cs="Open Sans"/>
          </w:rPr>
          <w:t>Permanence</w:t>
        </w:r>
      </w:hyperlink>
      <w:r w:rsidR="00F90867">
        <w:rPr>
          <w:rFonts w:ascii="Open Sans" w:hAnsi="Open Sans" w:cs="Open Sans"/>
        </w:rPr>
        <w:tab/>
      </w:r>
      <w:r w:rsidR="00F90867">
        <w:rPr>
          <w:rFonts w:ascii="Open Sans" w:hAnsi="Open Sans" w:cs="Open Sans"/>
        </w:rPr>
        <w:tab/>
      </w:r>
      <w:r w:rsidR="00F90867">
        <w:rPr>
          <w:rFonts w:ascii="Open Sans" w:hAnsi="Open Sans" w:cs="Open Sans"/>
        </w:rPr>
        <w:tab/>
      </w:r>
      <w:r w:rsidR="00F90867">
        <w:rPr>
          <w:rFonts w:ascii="Open Sans" w:hAnsi="Open Sans" w:cs="Open Sans"/>
        </w:rPr>
        <w:tab/>
      </w:r>
      <w:r w:rsidR="00F90867">
        <w:rPr>
          <w:rFonts w:ascii="Open Sans" w:hAnsi="Open Sans" w:cs="Open Sans"/>
        </w:rPr>
        <w:tab/>
      </w:r>
      <w:r w:rsidR="00F90867">
        <w:rPr>
          <w:rFonts w:ascii="Open Sans" w:hAnsi="Open Sans" w:cs="Open Sans"/>
        </w:rPr>
        <w:tab/>
      </w:r>
      <w:r w:rsidR="00F90867">
        <w:rPr>
          <w:rFonts w:ascii="Open Sans" w:hAnsi="Open Sans" w:cs="Open Sans"/>
        </w:rPr>
        <w:tab/>
        <w:t>8</w:t>
      </w:r>
    </w:p>
    <w:p w14:paraId="0417FFB5" w14:textId="20A22F0B" w:rsidR="00E47903" w:rsidRPr="00E47903" w:rsidRDefault="00000000" w:rsidP="00BD1FA9">
      <w:pPr>
        <w:rPr>
          <w:rFonts w:ascii="Open Sans" w:hAnsi="Open Sans" w:cs="Open Sans"/>
        </w:rPr>
      </w:pPr>
      <w:hyperlink w:anchor="_Pathway_to_integration" w:history="1">
        <w:r w:rsidR="00E47903" w:rsidRPr="00F90867">
          <w:rPr>
            <w:rStyle w:val="Hyperlink"/>
            <w:rFonts w:ascii="Open Sans" w:hAnsi="Open Sans" w:cs="Open Sans"/>
          </w:rPr>
          <w:t>Pathway to integration</w:t>
        </w:r>
      </w:hyperlink>
      <w:r w:rsidR="00E47903" w:rsidRPr="00E47903">
        <w:rPr>
          <w:rFonts w:ascii="Open Sans" w:hAnsi="Open Sans" w:cs="Open Sans"/>
        </w:rPr>
        <w:t xml:space="preserve"> </w:t>
      </w:r>
      <w:r w:rsidR="00F90867">
        <w:rPr>
          <w:rFonts w:ascii="Open Sans" w:hAnsi="Open Sans" w:cs="Open Sans"/>
        </w:rPr>
        <w:tab/>
      </w:r>
      <w:r w:rsidR="00F90867">
        <w:rPr>
          <w:rFonts w:ascii="Open Sans" w:hAnsi="Open Sans" w:cs="Open Sans"/>
        </w:rPr>
        <w:tab/>
      </w:r>
      <w:r w:rsidR="00F90867">
        <w:rPr>
          <w:rFonts w:ascii="Open Sans" w:hAnsi="Open Sans" w:cs="Open Sans"/>
        </w:rPr>
        <w:tab/>
      </w:r>
      <w:r w:rsidR="00F90867">
        <w:rPr>
          <w:rFonts w:ascii="Open Sans" w:hAnsi="Open Sans" w:cs="Open Sans"/>
        </w:rPr>
        <w:tab/>
      </w:r>
      <w:r w:rsidR="00F90867">
        <w:rPr>
          <w:rFonts w:ascii="Open Sans" w:hAnsi="Open Sans" w:cs="Open Sans"/>
        </w:rPr>
        <w:tab/>
        <w:t>12</w:t>
      </w:r>
    </w:p>
    <w:p w14:paraId="1BBED83D" w14:textId="77777777" w:rsidR="005B5FD4" w:rsidRPr="00D91A77" w:rsidRDefault="005B5FD4" w:rsidP="00BD1FA9">
      <w:pPr>
        <w:rPr>
          <w:rFonts w:ascii="Open Sans" w:hAnsi="Open Sans" w:cs="Open Sans"/>
        </w:rPr>
      </w:pPr>
    </w:p>
    <w:p w14:paraId="2B262294" w14:textId="77777777" w:rsidR="00BD1FA9" w:rsidRDefault="00BD1FA9" w:rsidP="00BD1FA9">
      <w:pPr>
        <w:rPr>
          <w:rFonts w:ascii="Open Sans" w:hAnsi="Open Sans" w:cs="Open Sans"/>
        </w:rPr>
      </w:pPr>
    </w:p>
    <w:p w14:paraId="73DE458D" w14:textId="77777777" w:rsidR="002C4F74" w:rsidRDefault="002C4F74" w:rsidP="00BD1FA9">
      <w:pPr>
        <w:rPr>
          <w:rFonts w:ascii="Open Sans" w:hAnsi="Open Sans" w:cs="Open Sans"/>
        </w:rPr>
      </w:pPr>
    </w:p>
    <w:p w14:paraId="132C44CD" w14:textId="77777777" w:rsidR="002C4F74" w:rsidRDefault="002C4F74" w:rsidP="00BD1FA9">
      <w:pPr>
        <w:rPr>
          <w:rFonts w:ascii="Open Sans" w:hAnsi="Open Sans" w:cs="Open Sans"/>
        </w:rPr>
      </w:pPr>
    </w:p>
    <w:p w14:paraId="6502111C" w14:textId="77777777" w:rsidR="002C4F74" w:rsidRDefault="002C4F74" w:rsidP="00BD1FA9">
      <w:pPr>
        <w:rPr>
          <w:rFonts w:ascii="Open Sans" w:hAnsi="Open Sans" w:cs="Open Sans"/>
        </w:rPr>
      </w:pPr>
    </w:p>
    <w:p w14:paraId="7F0A390A" w14:textId="77777777" w:rsidR="002C4F74" w:rsidRDefault="002C4F74" w:rsidP="00BD1FA9">
      <w:pPr>
        <w:rPr>
          <w:rFonts w:ascii="Open Sans" w:hAnsi="Open Sans" w:cs="Open Sans"/>
        </w:rPr>
      </w:pPr>
    </w:p>
    <w:p w14:paraId="674FF41B" w14:textId="77777777" w:rsidR="002C4F74" w:rsidRDefault="002C4F74" w:rsidP="00BD1FA9">
      <w:pPr>
        <w:rPr>
          <w:rFonts w:ascii="Open Sans" w:hAnsi="Open Sans" w:cs="Open Sans"/>
        </w:rPr>
      </w:pPr>
    </w:p>
    <w:p w14:paraId="27A0E3E5" w14:textId="77777777" w:rsidR="002C4F74" w:rsidRDefault="002C4F74" w:rsidP="00BD1FA9">
      <w:pPr>
        <w:rPr>
          <w:rFonts w:ascii="Open Sans" w:hAnsi="Open Sans" w:cs="Open Sans"/>
        </w:rPr>
      </w:pPr>
    </w:p>
    <w:p w14:paraId="3AEF6770" w14:textId="77777777" w:rsidR="002C4F74" w:rsidRDefault="002C4F74" w:rsidP="00BD1FA9">
      <w:pPr>
        <w:rPr>
          <w:rFonts w:ascii="Open Sans" w:hAnsi="Open Sans" w:cs="Open Sans"/>
        </w:rPr>
      </w:pPr>
    </w:p>
    <w:p w14:paraId="378C75E2" w14:textId="77777777" w:rsidR="002C4F74" w:rsidRDefault="002C4F74" w:rsidP="00BD1FA9">
      <w:pPr>
        <w:rPr>
          <w:rFonts w:ascii="Open Sans" w:hAnsi="Open Sans" w:cs="Open Sans"/>
        </w:rPr>
      </w:pPr>
    </w:p>
    <w:p w14:paraId="01A0CDE5" w14:textId="77777777" w:rsidR="002C4F74" w:rsidRDefault="002C4F74" w:rsidP="00BD1FA9">
      <w:pPr>
        <w:rPr>
          <w:rFonts w:ascii="Open Sans" w:hAnsi="Open Sans" w:cs="Open Sans"/>
        </w:rPr>
      </w:pPr>
    </w:p>
    <w:p w14:paraId="680AF3AE" w14:textId="77777777" w:rsidR="002C4F74" w:rsidRDefault="002C4F74" w:rsidP="00BD1FA9">
      <w:pPr>
        <w:rPr>
          <w:rFonts w:ascii="Open Sans" w:hAnsi="Open Sans" w:cs="Open Sans"/>
        </w:rPr>
      </w:pPr>
    </w:p>
    <w:p w14:paraId="548FBF34" w14:textId="77777777" w:rsidR="002C4F74" w:rsidRDefault="002C4F74" w:rsidP="00BD1FA9">
      <w:pPr>
        <w:rPr>
          <w:rFonts w:ascii="Open Sans" w:hAnsi="Open Sans" w:cs="Open Sans"/>
        </w:rPr>
      </w:pPr>
    </w:p>
    <w:p w14:paraId="07E6225A" w14:textId="77777777" w:rsidR="002C4F74" w:rsidRDefault="002C4F74" w:rsidP="00BD1FA9">
      <w:pPr>
        <w:rPr>
          <w:rFonts w:ascii="Open Sans" w:hAnsi="Open Sans" w:cs="Open Sans"/>
        </w:rPr>
      </w:pPr>
    </w:p>
    <w:p w14:paraId="4E341AA8" w14:textId="77777777" w:rsidR="002C4F74" w:rsidRDefault="002C4F74" w:rsidP="00BD1FA9">
      <w:pPr>
        <w:rPr>
          <w:rFonts w:ascii="Open Sans" w:hAnsi="Open Sans" w:cs="Open Sans"/>
        </w:rPr>
      </w:pPr>
    </w:p>
    <w:p w14:paraId="6391F6F0" w14:textId="77777777" w:rsidR="002C4F74" w:rsidRDefault="002C4F74" w:rsidP="00BD1FA9">
      <w:pPr>
        <w:rPr>
          <w:rFonts w:ascii="Open Sans" w:hAnsi="Open Sans" w:cs="Open Sans"/>
        </w:rPr>
      </w:pPr>
    </w:p>
    <w:p w14:paraId="36A5DE98" w14:textId="77777777" w:rsidR="002C4F74" w:rsidRDefault="002C4F74" w:rsidP="00BD1FA9">
      <w:pPr>
        <w:rPr>
          <w:rFonts w:ascii="Open Sans" w:hAnsi="Open Sans" w:cs="Open Sans"/>
        </w:rPr>
      </w:pPr>
    </w:p>
    <w:p w14:paraId="3D4A7BAD" w14:textId="77777777" w:rsidR="002C4F74" w:rsidRDefault="002C4F74" w:rsidP="00BD1FA9">
      <w:pPr>
        <w:rPr>
          <w:rFonts w:ascii="Open Sans" w:hAnsi="Open Sans" w:cs="Open Sans"/>
        </w:rPr>
      </w:pPr>
    </w:p>
    <w:p w14:paraId="1C0FE56C" w14:textId="77777777" w:rsidR="002C4F74" w:rsidRDefault="002C4F74" w:rsidP="00BD1FA9">
      <w:pPr>
        <w:rPr>
          <w:rFonts w:ascii="Open Sans" w:hAnsi="Open Sans" w:cs="Open Sans"/>
        </w:rPr>
      </w:pPr>
    </w:p>
    <w:p w14:paraId="5DEBFCB8" w14:textId="77777777" w:rsidR="002C4F74" w:rsidRDefault="002C4F74" w:rsidP="00BD1FA9">
      <w:pPr>
        <w:rPr>
          <w:rFonts w:ascii="Open Sans" w:hAnsi="Open Sans" w:cs="Open Sans"/>
        </w:rPr>
      </w:pPr>
    </w:p>
    <w:p w14:paraId="75BFD165" w14:textId="77777777" w:rsidR="002C4F74" w:rsidRDefault="002C4F74" w:rsidP="00BD1FA9">
      <w:pPr>
        <w:rPr>
          <w:rFonts w:ascii="Open Sans" w:hAnsi="Open Sans" w:cs="Open Sans"/>
        </w:rPr>
      </w:pPr>
    </w:p>
    <w:p w14:paraId="224D0B14" w14:textId="77777777" w:rsidR="002C4F74" w:rsidRDefault="002C4F74" w:rsidP="00BD1FA9">
      <w:pPr>
        <w:rPr>
          <w:rFonts w:ascii="Open Sans" w:hAnsi="Open Sans" w:cs="Open Sans"/>
        </w:rPr>
      </w:pPr>
    </w:p>
    <w:p w14:paraId="74CCED28" w14:textId="2825C5D0" w:rsidR="002C4F74" w:rsidRPr="00F90867" w:rsidRDefault="00382DDD" w:rsidP="00F90867">
      <w:pPr>
        <w:pStyle w:val="Heading1"/>
        <w:rPr>
          <w:rFonts w:ascii="Open Sans" w:hAnsi="Open Sans" w:cs="Open Sans"/>
        </w:rPr>
      </w:pPr>
      <w:bookmarkStart w:id="0" w:name="_Principles_for_policy"/>
      <w:bookmarkEnd w:id="0"/>
      <w:r w:rsidRPr="00F90867">
        <w:rPr>
          <w:rFonts w:ascii="Open Sans" w:hAnsi="Open Sans" w:cs="Open Sans"/>
          <w:sz w:val="24"/>
          <w:szCs w:val="24"/>
        </w:rPr>
        <w:lastRenderedPageBreak/>
        <w:t>Principles for policy design</w:t>
      </w:r>
      <w:r w:rsidRPr="00F90867">
        <w:rPr>
          <w:rFonts w:ascii="Open Sans" w:hAnsi="Open Sans" w:cs="Open Sans"/>
        </w:rPr>
        <w:tab/>
      </w:r>
    </w:p>
    <w:p w14:paraId="420340C5" w14:textId="77777777" w:rsidR="002C4F74" w:rsidRDefault="002C4F74" w:rsidP="00BD1FA9">
      <w:pPr>
        <w:rPr>
          <w:rFonts w:ascii="Open Sans" w:hAnsi="Open Sans" w:cs="Open Sans"/>
        </w:rPr>
      </w:pPr>
    </w:p>
    <w:p w14:paraId="06C13846" w14:textId="6AE8F727" w:rsidR="00BD1FA9" w:rsidRPr="00D91A77" w:rsidRDefault="00BD1FA9" w:rsidP="00BD1FA9">
      <w:pPr>
        <w:pStyle w:val="ListParagraph"/>
        <w:numPr>
          <w:ilvl w:val="0"/>
          <w:numId w:val="38"/>
        </w:numPr>
        <w:rPr>
          <w:rFonts w:ascii="Open Sans" w:hAnsi="Open Sans" w:cs="Open Sans"/>
          <w:b/>
          <w:bCs/>
        </w:rPr>
      </w:pPr>
      <w:r w:rsidRPr="00D91A77">
        <w:rPr>
          <w:rFonts w:ascii="Open Sans" w:hAnsi="Open Sans" w:cs="Open Sans"/>
          <w:b/>
          <w:bCs/>
        </w:rPr>
        <w:t>Do you agree with the Authority's principles for policy design?</w:t>
      </w:r>
    </w:p>
    <w:p w14:paraId="1CF5E6A3" w14:textId="77777777" w:rsidR="00707522" w:rsidRPr="00D91A77" w:rsidRDefault="00707522" w:rsidP="00FC62B5">
      <w:pPr>
        <w:rPr>
          <w:rFonts w:ascii="Open Sans" w:hAnsi="Open Sans" w:cs="Open Sans"/>
        </w:rPr>
      </w:pPr>
    </w:p>
    <w:p w14:paraId="6642BDBA" w14:textId="621DADF2" w:rsidR="00707522" w:rsidRPr="00D91A77" w:rsidRDefault="00A104BB" w:rsidP="00FC62B5">
      <w:pPr>
        <w:rPr>
          <w:rFonts w:ascii="Open Sans" w:hAnsi="Open Sans" w:cs="Open Sans"/>
        </w:rPr>
      </w:pPr>
      <w:r w:rsidRPr="00D91A77">
        <w:rPr>
          <w:rFonts w:ascii="Open Sans" w:hAnsi="Open Sans" w:cs="Open Sans"/>
        </w:rPr>
        <w:t>Broadly y</w:t>
      </w:r>
      <w:r w:rsidR="00D73819" w:rsidRPr="00D91A77">
        <w:rPr>
          <w:rFonts w:ascii="Open Sans" w:hAnsi="Open Sans" w:cs="Open Sans"/>
        </w:rPr>
        <w:t xml:space="preserve">es, although </w:t>
      </w:r>
      <w:r w:rsidR="00610D41" w:rsidRPr="00D91A77">
        <w:rPr>
          <w:rFonts w:ascii="Open Sans" w:hAnsi="Open Sans" w:cs="Open Sans"/>
        </w:rPr>
        <w:t>we think the principles below should be added</w:t>
      </w:r>
      <w:r w:rsidR="00AD7204" w:rsidRPr="00D91A77">
        <w:rPr>
          <w:rFonts w:ascii="Open Sans" w:hAnsi="Open Sans" w:cs="Open Sans"/>
        </w:rPr>
        <w:t>. These include:</w:t>
      </w:r>
    </w:p>
    <w:p w14:paraId="4FFEA917" w14:textId="74150A8D" w:rsidR="00FC62B5" w:rsidRPr="00D91A77" w:rsidRDefault="00AD7204" w:rsidP="00FC62B5">
      <w:pPr>
        <w:rPr>
          <w:rFonts w:ascii="Open Sans" w:hAnsi="Open Sans" w:cs="Open Sans"/>
        </w:rPr>
      </w:pPr>
      <w:r w:rsidRPr="00D91A77">
        <w:rPr>
          <w:rFonts w:ascii="Open Sans" w:hAnsi="Open Sans" w:cs="Open Sans"/>
        </w:rPr>
        <w:t xml:space="preserve"> </w:t>
      </w:r>
    </w:p>
    <w:p w14:paraId="27A09738" w14:textId="40399158" w:rsidR="00AD7204" w:rsidRPr="00744FCB" w:rsidRDefault="001F4076" w:rsidP="00744FCB">
      <w:pPr>
        <w:pStyle w:val="ListParagraph"/>
        <w:numPr>
          <w:ilvl w:val="0"/>
          <w:numId w:val="40"/>
        </w:numPr>
        <w:rPr>
          <w:rFonts w:ascii="Open Sans" w:hAnsi="Open Sans" w:cs="Open Sans"/>
        </w:rPr>
      </w:pPr>
      <w:r w:rsidRPr="00D91A77">
        <w:rPr>
          <w:rFonts w:ascii="Open Sans" w:hAnsi="Open Sans" w:cs="Open Sans"/>
          <w:i/>
          <w:iCs/>
          <w:color w:val="06926B"/>
        </w:rPr>
        <w:t xml:space="preserve">Maintain existing assets which </w:t>
      </w:r>
      <w:r w:rsidR="00B2725F" w:rsidRPr="00D91A77">
        <w:rPr>
          <w:rFonts w:ascii="Open Sans" w:hAnsi="Open Sans" w:cs="Open Sans"/>
          <w:i/>
          <w:iCs/>
          <w:color w:val="06926B"/>
        </w:rPr>
        <w:t xml:space="preserve">can </w:t>
      </w:r>
      <w:r w:rsidRPr="00D91A77">
        <w:rPr>
          <w:rFonts w:ascii="Open Sans" w:hAnsi="Open Sans" w:cs="Open Sans"/>
          <w:i/>
          <w:iCs/>
          <w:color w:val="06926B"/>
        </w:rPr>
        <w:t xml:space="preserve">deliver </w:t>
      </w:r>
      <w:r w:rsidR="00EA6136" w:rsidRPr="00D91A77">
        <w:rPr>
          <w:rFonts w:ascii="Open Sans" w:hAnsi="Open Sans" w:cs="Open Sans"/>
          <w:i/>
          <w:iCs/>
          <w:color w:val="06926B"/>
        </w:rPr>
        <w:t>carbon removals</w:t>
      </w:r>
      <w:r w:rsidR="00B2725F" w:rsidRPr="00D91A77">
        <w:rPr>
          <w:rFonts w:ascii="Open Sans" w:hAnsi="Open Sans" w:cs="Open Sans"/>
          <w:i/>
          <w:iCs/>
          <w:color w:val="06926B"/>
        </w:rPr>
        <w:t xml:space="preserve"> in future</w:t>
      </w:r>
      <w:r w:rsidR="00EA6136" w:rsidRPr="00D91A77">
        <w:rPr>
          <w:rFonts w:ascii="Open Sans" w:hAnsi="Open Sans" w:cs="Open Sans"/>
        </w:rPr>
        <w:t xml:space="preserve"> </w:t>
      </w:r>
      <w:r w:rsidR="008F7645" w:rsidRPr="00D91A77">
        <w:rPr>
          <w:rFonts w:ascii="Open Sans" w:hAnsi="Open Sans" w:cs="Open Sans"/>
        </w:rPr>
        <w:t>–</w:t>
      </w:r>
      <w:r w:rsidR="00EA6136" w:rsidRPr="00D91A77">
        <w:rPr>
          <w:rFonts w:ascii="Open Sans" w:hAnsi="Open Sans" w:cs="Open Sans"/>
        </w:rPr>
        <w:t xml:space="preserve"> </w:t>
      </w:r>
      <w:r w:rsidR="008F7645" w:rsidRPr="00D91A77">
        <w:rPr>
          <w:rFonts w:ascii="Open Sans" w:hAnsi="Open Sans" w:cs="Open Sans"/>
        </w:rPr>
        <w:t xml:space="preserve">the </w:t>
      </w:r>
      <w:r w:rsidR="008322CE" w:rsidRPr="00D91A77">
        <w:rPr>
          <w:rFonts w:ascii="Open Sans" w:hAnsi="Open Sans" w:cs="Open Sans"/>
        </w:rPr>
        <w:t>government’s position is to begin integrating GGRs into the UK ETS from 2028</w:t>
      </w:r>
      <w:r w:rsidR="00D12511" w:rsidRPr="00D91A77">
        <w:rPr>
          <w:rFonts w:ascii="Open Sans" w:hAnsi="Open Sans" w:cs="Open Sans"/>
        </w:rPr>
        <w:t xml:space="preserve">. While we support the principle of integration as soon as possible, timescales need to align with actual GGR projects, </w:t>
      </w:r>
      <w:r w:rsidR="008473EA" w:rsidRPr="00D91A77">
        <w:rPr>
          <w:rFonts w:ascii="Open Sans" w:hAnsi="Open Sans" w:cs="Open Sans"/>
        </w:rPr>
        <w:t>like</w:t>
      </w:r>
      <w:r w:rsidR="00D12511" w:rsidRPr="00D91A77">
        <w:rPr>
          <w:rFonts w:ascii="Open Sans" w:hAnsi="Open Sans" w:cs="Open Sans"/>
        </w:rPr>
        <w:t xml:space="preserve"> the delivery of BECCS at scale for example, currently expected to start coming online from 2030. </w:t>
      </w:r>
      <w:r w:rsidR="004976C9" w:rsidRPr="00D91A77">
        <w:rPr>
          <w:rFonts w:ascii="Open Sans" w:hAnsi="Open Sans" w:cs="Open Sans"/>
        </w:rPr>
        <w:t xml:space="preserve">However, </w:t>
      </w:r>
      <w:r w:rsidR="007F02B7" w:rsidRPr="00D91A77">
        <w:rPr>
          <w:rFonts w:ascii="Open Sans" w:hAnsi="Open Sans" w:cs="Open Sans"/>
        </w:rPr>
        <w:t>several</w:t>
      </w:r>
      <w:r w:rsidR="004976C9" w:rsidRPr="00D91A77">
        <w:rPr>
          <w:rFonts w:ascii="Open Sans" w:hAnsi="Open Sans" w:cs="Open Sans"/>
        </w:rPr>
        <w:t xml:space="preserve"> </w:t>
      </w:r>
      <w:r w:rsidR="002A6575" w:rsidRPr="00D91A77">
        <w:rPr>
          <w:rFonts w:ascii="Open Sans" w:hAnsi="Open Sans" w:cs="Open Sans"/>
        </w:rPr>
        <w:t xml:space="preserve">relevant assets face an uncertain future </w:t>
      </w:r>
      <w:r w:rsidR="009D3933" w:rsidRPr="00D91A77">
        <w:rPr>
          <w:rFonts w:ascii="Open Sans" w:hAnsi="Open Sans" w:cs="Open Sans"/>
        </w:rPr>
        <w:t>as their existing contract arrangements under the renewable</w:t>
      </w:r>
      <w:r w:rsidR="00E667F5" w:rsidRPr="00D91A77">
        <w:rPr>
          <w:rFonts w:ascii="Open Sans" w:hAnsi="Open Sans" w:cs="Open Sans"/>
        </w:rPr>
        <w:t>s</w:t>
      </w:r>
      <w:r w:rsidR="009D3933" w:rsidRPr="00D91A77">
        <w:rPr>
          <w:rFonts w:ascii="Open Sans" w:hAnsi="Open Sans" w:cs="Open Sans"/>
        </w:rPr>
        <w:t xml:space="preserve"> </w:t>
      </w:r>
      <w:r w:rsidR="00B13F0A" w:rsidRPr="00D91A77">
        <w:rPr>
          <w:rFonts w:ascii="Open Sans" w:hAnsi="Open Sans" w:cs="Open Sans"/>
        </w:rPr>
        <w:t>obligation</w:t>
      </w:r>
      <w:r w:rsidR="009D3933" w:rsidRPr="00D91A77">
        <w:rPr>
          <w:rFonts w:ascii="Open Sans" w:hAnsi="Open Sans" w:cs="Open Sans"/>
        </w:rPr>
        <w:t xml:space="preserve"> </w:t>
      </w:r>
      <w:r w:rsidR="001B03A3" w:rsidRPr="00D91A77">
        <w:rPr>
          <w:rFonts w:ascii="Open Sans" w:hAnsi="Open Sans" w:cs="Open Sans"/>
        </w:rPr>
        <w:t xml:space="preserve">start to come to an end </w:t>
      </w:r>
      <w:r w:rsidR="00B13F0A" w:rsidRPr="00D91A77">
        <w:rPr>
          <w:rFonts w:ascii="Open Sans" w:hAnsi="Open Sans" w:cs="Open Sans"/>
        </w:rPr>
        <w:t xml:space="preserve">from </w:t>
      </w:r>
      <w:r w:rsidR="009D3933" w:rsidRPr="00D91A77">
        <w:rPr>
          <w:rFonts w:ascii="Open Sans" w:hAnsi="Open Sans" w:cs="Open Sans"/>
        </w:rPr>
        <w:t>2027 onwards</w:t>
      </w:r>
      <w:r w:rsidR="00A17D90" w:rsidRPr="00D91A77">
        <w:rPr>
          <w:rFonts w:ascii="Open Sans" w:hAnsi="Open Sans" w:cs="Open Sans"/>
        </w:rPr>
        <w:t xml:space="preserve">, and </w:t>
      </w:r>
      <w:r w:rsidR="00F65C18" w:rsidRPr="00D91A77">
        <w:rPr>
          <w:rFonts w:ascii="Open Sans" w:hAnsi="Open Sans" w:cs="Open Sans"/>
        </w:rPr>
        <w:t xml:space="preserve">at present, there is still </w:t>
      </w:r>
      <w:r w:rsidR="00A17D90" w:rsidRPr="00D91A77">
        <w:rPr>
          <w:rFonts w:ascii="Open Sans" w:hAnsi="Open Sans" w:cs="Open Sans"/>
        </w:rPr>
        <w:t xml:space="preserve">a lack of clarity </w:t>
      </w:r>
      <w:r w:rsidR="00F65C18" w:rsidRPr="00D91A77">
        <w:rPr>
          <w:rFonts w:ascii="Open Sans" w:hAnsi="Open Sans" w:cs="Open Sans"/>
        </w:rPr>
        <w:t>about the</w:t>
      </w:r>
      <w:r w:rsidR="00A17D90" w:rsidRPr="00D91A77">
        <w:rPr>
          <w:rFonts w:ascii="Open Sans" w:hAnsi="Open Sans" w:cs="Open Sans"/>
        </w:rPr>
        <w:t xml:space="preserve"> </w:t>
      </w:r>
      <w:r w:rsidR="005A4459" w:rsidRPr="00D91A77">
        <w:rPr>
          <w:rFonts w:ascii="Open Sans" w:hAnsi="Open Sans" w:cs="Open Sans"/>
        </w:rPr>
        <w:t>government</w:t>
      </w:r>
      <w:r w:rsidR="00F65C18" w:rsidRPr="00D91A77">
        <w:rPr>
          <w:rFonts w:ascii="Open Sans" w:hAnsi="Open Sans" w:cs="Open Sans"/>
        </w:rPr>
        <w:t xml:space="preserve">’s </w:t>
      </w:r>
      <w:r w:rsidR="00A17D90" w:rsidRPr="00D91A77">
        <w:rPr>
          <w:rFonts w:ascii="Open Sans" w:hAnsi="Open Sans" w:cs="Open Sans"/>
        </w:rPr>
        <w:t>intention to maintain such assets</w:t>
      </w:r>
      <w:r w:rsidR="009D3933" w:rsidRPr="00D91A77">
        <w:rPr>
          <w:rFonts w:ascii="Open Sans" w:hAnsi="Open Sans" w:cs="Open Sans"/>
        </w:rPr>
        <w:t xml:space="preserve">. </w:t>
      </w:r>
      <w:r w:rsidR="00744FCB">
        <w:rPr>
          <w:rFonts w:ascii="Open Sans" w:hAnsi="Open Sans" w:cs="Open Sans"/>
        </w:rPr>
        <w:t>E</w:t>
      </w:r>
      <w:r w:rsidR="00866DB9" w:rsidRPr="00D91A77">
        <w:rPr>
          <w:rFonts w:ascii="Open Sans" w:hAnsi="Open Sans" w:cs="Open Sans"/>
        </w:rPr>
        <w:t xml:space="preserve">xplicit </w:t>
      </w:r>
      <w:r w:rsidR="00727088" w:rsidRPr="00D91A77">
        <w:rPr>
          <w:rFonts w:ascii="Open Sans" w:hAnsi="Open Sans" w:cs="Open Sans"/>
        </w:rPr>
        <w:t>reference</w:t>
      </w:r>
      <w:r w:rsidR="00866DB9" w:rsidRPr="00D91A77">
        <w:rPr>
          <w:rFonts w:ascii="Open Sans" w:hAnsi="Open Sans" w:cs="Open Sans"/>
        </w:rPr>
        <w:t xml:space="preserve"> </w:t>
      </w:r>
      <w:r w:rsidR="009A2053">
        <w:rPr>
          <w:rFonts w:ascii="Open Sans" w:hAnsi="Open Sans" w:cs="Open Sans"/>
        </w:rPr>
        <w:t>in</w:t>
      </w:r>
      <w:r w:rsidR="00B13F0A" w:rsidRPr="00D91A77">
        <w:rPr>
          <w:rFonts w:ascii="Open Sans" w:hAnsi="Open Sans" w:cs="Open Sans"/>
        </w:rPr>
        <w:t xml:space="preserve"> the </w:t>
      </w:r>
      <w:r w:rsidR="00CE6E71" w:rsidRPr="00D91A77">
        <w:rPr>
          <w:rFonts w:ascii="Open Sans" w:hAnsi="Open Sans" w:cs="Open Sans"/>
        </w:rPr>
        <w:t xml:space="preserve">design of the ETS </w:t>
      </w:r>
      <w:r w:rsidR="00744FCB">
        <w:rPr>
          <w:rFonts w:ascii="Open Sans" w:hAnsi="Open Sans" w:cs="Open Sans"/>
        </w:rPr>
        <w:t>that helps</w:t>
      </w:r>
      <w:r w:rsidR="00CE6E71" w:rsidRPr="00744FCB">
        <w:rPr>
          <w:rFonts w:ascii="Open Sans" w:hAnsi="Open Sans" w:cs="Open Sans"/>
        </w:rPr>
        <w:t xml:space="preserve"> to provide confidence</w:t>
      </w:r>
      <w:r w:rsidR="00866DB9" w:rsidRPr="00744FCB">
        <w:rPr>
          <w:rFonts w:ascii="Open Sans" w:hAnsi="Open Sans" w:cs="Open Sans"/>
        </w:rPr>
        <w:t xml:space="preserve"> </w:t>
      </w:r>
      <w:r w:rsidR="00CE6E71" w:rsidRPr="00744FCB">
        <w:rPr>
          <w:rFonts w:ascii="Open Sans" w:hAnsi="Open Sans" w:cs="Open Sans"/>
        </w:rPr>
        <w:t xml:space="preserve">to </w:t>
      </w:r>
      <w:r w:rsidR="00727088" w:rsidRPr="00744FCB">
        <w:rPr>
          <w:rFonts w:ascii="Open Sans" w:hAnsi="Open Sans" w:cs="Open Sans"/>
        </w:rPr>
        <w:t>maintain</w:t>
      </w:r>
      <w:r w:rsidR="00CE6E71" w:rsidRPr="00744FCB">
        <w:rPr>
          <w:rFonts w:ascii="Open Sans" w:hAnsi="Open Sans" w:cs="Open Sans"/>
        </w:rPr>
        <w:t xml:space="preserve"> </w:t>
      </w:r>
      <w:r w:rsidR="00866DB9" w:rsidRPr="00744FCB">
        <w:rPr>
          <w:rFonts w:ascii="Open Sans" w:hAnsi="Open Sans" w:cs="Open Sans"/>
        </w:rPr>
        <w:t>generating assets that</w:t>
      </w:r>
      <w:r w:rsidR="000C32E8" w:rsidRPr="000C32E8">
        <w:rPr>
          <w:rFonts w:ascii="Open Sans" w:hAnsi="Open Sans" w:cs="Open Sans"/>
        </w:rPr>
        <w:t xml:space="preserve"> </w:t>
      </w:r>
      <w:r w:rsidR="000C32E8" w:rsidRPr="00744FCB">
        <w:rPr>
          <w:rFonts w:ascii="Open Sans" w:hAnsi="Open Sans" w:cs="Open Sans"/>
        </w:rPr>
        <w:t>will</w:t>
      </w:r>
      <w:r w:rsidR="00CE6E71" w:rsidRPr="00744FCB">
        <w:rPr>
          <w:rFonts w:ascii="Open Sans" w:hAnsi="Open Sans" w:cs="Open Sans"/>
        </w:rPr>
        <w:t xml:space="preserve">, through retrofitting BECCS, </w:t>
      </w:r>
      <w:r w:rsidR="00866DB9" w:rsidRPr="00744FCB">
        <w:rPr>
          <w:rFonts w:ascii="Open Sans" w:hAnsi="Open Sans" w:cs="Open Sans"/>
        </w:rPr>
        <w:t xml:space="preserve">deliver carbon removals in future will </w:t>
      </w:r>
      <w:r w:rsidR="00EB75A1" w:rsidRPr="00744FCB">
        <w:rPr>
          <w:rFonts w:ascii="Open Sans" w:hAnsi="Open Sans" w:cs="Open Sans"/>
        </w:rPr>
        <w:t xml:space="preserve">help </w:t>
      </w:r>
      <w:r w:rsidR="00866DB9" w:rsidRPr="00744FCB">
        <w:rPr>
          <w:rFonts w:ascii="Open Sans" w:hAnsi="Open Sans" w:cs="Open Sans"/>
        </w:rPr>
        <w:t xml:space="preserve">to </w:t>
      </w:r>
      <w:r w:rsidR="00727088" w:rsidRPr="00744FCB">
        <w:rPr>
          <w:rFonts w:ascii="Open Sans" w:hAnsi="Open Sans" w:cs="Open Sans"/>
        </w:rPr>
        <w:t xml:space="preserve">progress projects, while </w:t>
      </w:r>
      <w:r w:rsidR="00A84DA2" w:rsidRPr="00744FCB">
        <w:rPr>
          <w:rFonts w:ascii="Open Sans" w:hAnsi="Open Sans" w:cs="Open Sans"/>
        </w:rPr>
        <w:t xml:space="preserve">continuing to deliver low carbon power in the interim. </w:t>
      </w:r>
    </w:p>
    <w:p w14:paraId="29AED166" w14:textId="77777777" w:rsidR="00B340A5" w:rsidRPr="00D91A77" w:rsidRDefault="00B340A5" w:rsidP="00B340A5">
      <w:pPr>
        <w:pStyle w:val="ListParagraph"/>
        <w:rPr>
          <w:rFonts w:ascii="Open Sans" w:hAnsi="Open Sans" w:cs="Open Sans"/>
          <w:i/>
          <w:iCs/>
        </w:rPr>
      </w:pPr>
    </w:p>
    <w:p w14:paraId="59228B76" w14:textId="31008C0C" w:rsidR="00B340A5" w:rsidRPr="00D91A77" w:rsidRDefault="000A1E93" w:rsidP="00B340A5">
      <w:pPr>
        <w:pStyle w:val="ListParagraph"/>
        <w:numPr>
          <w:ilvl w:val="0"/>
          <w:numId w:val="40"/>
        </w:numPr>
        <w:rPr>
          <w:rFonts w:ascii="Open Sans" w:hAnsi="Open Sans" w:cs="Open Sans"/>
          <w:i/>
          <w:iCs/>
        </w:rPr>
      </w:pPr>
      <w:r w:rsidRPr="00D91A77">
        <w:rPr>
          <w:rFonts w:ascii="Open Sans" w:hAnsi="Open Sans" w:cs="Open Sans"/>
          <w:i/>
          <w:iCs/>
          <w:color w:val="06926B"/>
        </w:rPr>
        <w:t xml:space="preserve">Ability to integrate </w:t>
      </w:r>
      <w:r w:rsidR="00631068" w:rsidRPr="00D91A77">
        <w:rPr>
          <w:rFonts w:ascii="Open Sans" w:hAnsi="Open Sans" w:cs="Open Sans"/>
          <w:i/>
          <w:iCs/>
          <w:color w:val="06926B"/>
        </w:rPr>
        <w:t xml:space="preserve">with Voluntary Carbon Market (VCM) </w:t>
      </w:r>
      <w:r w:rsidR="000A40F1" w:rsidRPr="00D91A77">
        <w:rPr>
          <w:rFonts w:ascii="Open Sans" w:hAnsi="Open Sans" w:cs="Open Sans"/>
          <w:i/>
          <w:iCs/>
        </w:rPr>
        <w:t>–</w:t>
      </w:r>
      <w:r w:rsidR="00631068" w:rsidRPr="00D91A77">
        <w:rPr>
          <w:rFonts w:ascii="Open Sans" w:hAnsi="Open Sans" w:cs="Open Sans"/>
          <w:i/>
          <w:iCs/>
        </w:rPr>
        <w:t xml:space="preserve"> </w:t>
      </w:r>
      <w:r w:rsidR="000A40F1" w:rsidRPr="00D91A77">
        <w:rPr>
          <w:rFonts w:ascii="Open Sans" w:hAnsi="Open Sans" w:cs="Open Sans"/>
        </w:rPr>
        <w:t>an overarching principle should include careful integration with the VCM</w:t>
      </w:r>
      <w:r w:rsidR="00135AB7" w:rsidRPr="00D91A77">
        <w:rPr>
          <w:rFonts w:ascii="Open Sans" w:hAnsi="Open Sans" w:cs="Open Sans"/>
        </w:rPr>
        <w:t xml:space="preserve">, which would improve competition, international trading, and </w:t>
      </w:r>
      <w:r w:rsidR="003F55DB" w:rsidRPr="00D91A77">
        <w:rPr>
          <w:rFonts w:ascii="Open Sans" w:hAnsi="Open Sans" w:cs="Open Sans"/>
        </w:rPr>
        <w:t>long-term demand and</w:t>
      </w:r>
      <w:r w:rsidR="00EA4D61" w:rsidRPr="00D91A77">
        <w:rPr>
          <w:rFonts w:ascii="Open Sans" w:hAnsi="Open Sans" w:cs="Open Sans"/>
        </w:rPr>
        <w:t xml:space="preserve"> market development. </w:t>
      </w:r>
      <w:r w:rsidR="002E1E50">
        <w:rPr>
          <w:rFonts w:ascii="Open Sans" w:hAnsi="Open Sans" w:cs="Open Sans"/>
        </w:rPr>
        <w:t>We recognise this will need to be done</w:t>
      </w:r>
      <w:r w:rsidR="00C47147" w:rsidRPr="00D91A77">
        <w:rPr>
          <w:rFonts w:ascii="Open Sans" w:hAnsi="Open Sans" w:cs="Open Sans"/>
        </w:rPr>
        <w:t xml:space="preserve"> careful</w:t>
      </w:r>
      <w:r w:rsidR="00054CA1" w:rsidRPr="00D91A77">
        <w:rPr>
          <w:rFonts w:ascii="Open Sans" w:hAnsi="Open Sans" w:cs="Open Sans"/>
        </w:rPr>
        <w:t>ly</w:t>
      </w:r>
      <w:r w:rsidR="00C47147" w:rsidRPr="00D91A77">
        <w:rPr>
          <w:rFonts w:ascii="Open Sans" w:hAnsi="Open Sans" w:cs="Open Sans"/>
        </w:rPr>
        <w:t xml:space="preserve"> to avoid double counting </w:t>
      </w:r>
      <w:r w:rsidR="002E1E50">
        <w:rPr>
          <w:rFonts w:ascii="Open Sans" w:hAnsi="Open Sans" w:cs="Open Sans"/>
        </w:rPr>
        <w:t xml:space="preserve">of </w:t>
      </w:r>
      <w:r w:rsidR="00C47147" w:rsidRPr="00D91A77">
        <w:rPr>
          <w:rFonts w:ascii="Open Sans" w:hAnsi="Open Sans" w:cs="Open Sans"/>
        </w:rPr>
        <w:t xml:space="preserve">GGRs </w:t>
      </w:r>
      <w:r w:rsidR="00044A57" w:rsidRPr="00D91A77">
        <w:rPr>
          <w:rFonts w:ascii="Open Sans" w:hAnsi="Open Sans" w:cs="Open Sans"/>
        </w:rPr>
        <w:t>and ensur</w:t>
      </w:r>
      <w:r w:rsidR="00265537">
        <w:rPr>
          <w:rFonts w:ascii="Open Sans" w:hAnsi="Open Sans" w:cs="Open Sans"/>
        </w:rPr>
        <w:t>e</w:t>
      </w:r>
      <w:r w:rsidR="00044A57" w:rsidRPr="00D91A77">
        <w:rPr>
          <w:rFonts w:ascii="Open Sans" w:hAnsi="Open Sans" w:cs="Open Sans"/>
        </w:rPr>
        <w:t xml:space="preserve"> </w:t>
      </w:r>
      <w:r w:rsidR="00265537">
        <w:rPr>
          <w:rFonts w:ascii="Open Sans" w:hAnsi="Open Sans" w:cs="Open Sans"/>
        </w:rPr>
        <w:t>it</w:t>
      </w:r>
      <w:r w:rsidR="00044A57" w:rsidRPr="00D91A77">
        <w:rPr>
          <w:rFonts w:ascii="Open Sans" w:hAnsi="Open Sans" w:cs="Open Sans"/>
        </w:rPr>
        <w:t xml:space="preserve"> </w:t>
      </w:r>
      <w:r w:rsidR="00F91215" w:rsidRPr="00D91A77">
        <w:rPr>
          <w:rFonts w:ascii="Open Sans" w:hAnsi="Open Sans" w:cs="Open Sans"/>
        </w:rPr>
        <w:t>does not</w:t>
      </w:r>
      <w:r w:rsidR="00044A57" w:rsidRPr="00D91A77">
        <w:rPr>
          <w:rFonts w:ascii="Open Sans" w:hAnsi="Open Sans" w:cs="Open Sans"/>
        </w:rPr>
        <w:t xml:space="preserve"> undermine the ability of obligated parties to meet their </w:t>
      </w:r>
      <w:r w:rsidR="00F91215">
        <w:rPr>
          <w:rFonts w:ascii="Open Sans" w:hAnsi="Open Sans" w:cs="Open Sans"/>
        </w:rPr>
        <w:t>emissions requirement</w:t>
      </w:r>
      <w:r w:rsidR="00044A57" w:rsidRPr="00D91A77">
        <w:rPr>
          <w:rFonts w:ascii="Open Sans" w:hAnsi="Open Sans" w:cs="Open Sans"/>
        </w:rPr>
        <w:t>s, should there be a shortage of credits in the UK ETS</w:t>
      </w:r>
      <w:r w:rsidR="00C47147" w:rsidRPr="00D91A77">
        <w:rPr>
          <w:rFonts w:ascii="Open Sans" w:hAnsi="Open Sans" w:cs="Open Sans"/>
        </w:rPr>
        <w:t xml:space="preserve">. </w:t>
      </w:r>
      <w:r w:rsidR="009A374D" w:rsidRPr="00D91A77">
        <w:rPr>
          <w:rFonts w:ascii="Open Sans" w:hAnsi="Open Sans" w:cs="Open Sans"/>
        </w:rPr>
        <w:t xml:space="preserve">Please see our response to question </w:t>
      </w:r>
      <w:r w:rsidR="00743B3A" w:rsidRPr="00D91A77">
        <w:rPr>
          <w:rFonts w:ascii="Open Sans" w:hAnsi="Open Sans" w:cs="Open Sans"/>
        </w:rPr>
        <w:t xml:space="preserve">3 </w:t>
      </w:r>
      <w:r w:rsidR="009A374D" w:rsidRPr="00D91A77">
        <w:rPr>
          <w:rFonts w:ascii="Open Sans" w:hAnsi="Open Sans" w:cs="Open Sans"/>
        </w:rPr>
        <w:t xml:space="preserve">which provides more detail on how this could be achieved. </w:t>
      </w:r>
    </w:p>
    <w:p w14:paraId="5AC3CB64" w14:textId="77777777" w:rsidR="004A5463" w:rsidRPr="00D91A77" w:rsidRDefault="004A5463" w:rsidP="004A5463">
      <w:pPr>
        <w:pStyle w:val="ListParagraph"/>
        <w:rPr>
          <w:rFonts w:ascii="Open Sans" w:hAnsi="Open Sans" w:cs="Open Sans"/>
          <w:i/>
          <w:iCs/>
        </w:rPr>
      </w:pPr>
    </w:p>
    <w:p w14:paraId="4023B9A4" w14:textId="0A44E001" w:rsidR="004A5463" w:rsidRPr="00D91A77" w:rsidRDefault="004A5463" w:rsidP="004A5463">
      <w:pPr>
        <w:pStyle w:val="ListParagraph"/>
        <w:numPr>
          <w:ilvl w:val="0"/>
          <w:numId w:val="40"/>
        </w:numPr>
        <w:rPr>
          <w:rFonts w:ascii="Open Sans" w:hAnsi="Open Sans" w:cs="Open Sans"/>
        </w:rPr>
      </w:pPr>
      <w:r w:rsidRPr="00D91A77">
        <w:rPr>
          <w:rFonts w:ascii="Open Sans" w:hAnsi="Open Sans" w:cs="Open Sans"/>
          <w:i/>
          <w:iCs/>
          <w:color w:val="06926B"/>
        </w:rPr>
        <w:t>Support related market mechanisms</w:t>
      </w:r>
      <w:r w:rsidR="004B3DD8" w:rsidRPr="00D91A77">
        <w:rPr>
          <w:rFonts w:ascii="Open Sans" w:hAnsi="Open Sans" w:cs="Open Sans"/>
          <w:i/>
          <w:iCs/>
          <w:color w:val="06926B"/>
        </w:rPr>
        <w:t xml:space="preserve"> -</w:t>
      </w:r>
      <w:r w:rsidRPr="00D91A77">
        <w:rPr>
          <w:rFonts w:ascii="Open Sans" w:hAnsi="Open Sans" w:cs="Open Sans"/>
          <w:i/>
          <w:iCs/>
          <w:color w:val="06926B"/>
        </w:rPr>
        <w:t xml:space="preserve"> </w:t>
      </w:r>
      <w:r w:rsidR="004B3DD8" w:rsidRPr="00D91A77">
        <w:rPr>
          <w:rFonts w:ascii="Open Sans" w:hAnsi="Open Sans" w:cs="Open Sans"/>
        </w:rPr>
        <w:t>i</w:t>
      </w:r>
      <w:r w:rsidRPr="00D91A77">
        <w:rPr>
          <w:rFonts w:ascii="Open Sans" w:hAnsi="Open Sans" w:cs="Open Sans"/>
        </w:rPr>
        <w:t>ntegration should be designed to work alongside the design of the GGR</w:t>
      </w:r>
      <w:r w:rsidR="00AE7CCA" w:rsidRPr="00D91A77">
        <w:rPr>
          <w:rFonts w:ascii="Open Sans" w:hAnsi="Open Sans" w:cs="Open Sans"/>
        </w:rPr>
        <w:t xml:space="preserve">, </w:t>
      </w:r>
      <w:r w:rsidRPr="00D91A77">
        <w:rPr>
          <w:rFonts w:ascii="Open Sans" w:hAnsi="Open Sans" w:cs="Open Sans"/>
        </w:rPr>
        <w:t>Power BECCS</w:t>
      </w:r>
      <w:r w:rsidR="00AE7CCA" w:rsidRPr="00D91A77">
        <w:rPr>
          <w:rFonts w:ascii="Open Sans" w:hAnsi="Open Sans" w:cs="Open Sans"/>
        </w:rPr>
        <w:t xml:space="preserve">, </w:t>
      </w:r>
      <w:r w:rsidR="00E7030C" w:rsidRPr="00D91A77">
        <w:rPr>
          <w:rFonts w:ascii="Open Sans" w:hAnsi="Open Sans" w:cs="Open Sans"/>
        </w:rPr>
        <w:t>ICC,</w:t>
      </w:r>
      <w:r w:rsidR="00AE7CCA" w:rsidRPr="00D91A77">
        <w:rPr>
          <w:rFonts w:ascii="Open Sans" w:hAnsi="Open Sans" w:cs="Open Sans"/>
        </w:rPr>
        <w:t xml:space="preserve"> and Low Carbon Hydrogen</w:t>
      </w:r>
      <w:r w:rsidRPr="00D91A77">
        <w:rPr>
          <w:rFonts w:ascii="Open Sans" w:hAnsi="Open Sans" w:cs="Open Sans"/>
        </w:rPr>
        <w:t xml:space="preserve"> Business Model</w:t>
      </w:r>
      <w:r w:rsidR="00582E26" w:rsidRPr="00D91A77">
        <w:rPr>
          <w:rFonts w:ascii="Open Sans" w:hAnsi="Open Sans" w:cs="Open Sans"/>
        </w:rPr>
        <w:t>s</w:t>
      </w:r>
      <w:r w:rsidRPr="00D91A77">
        <w:rPr>
          <w:rFonts w:ascii="Open Sans" w:hAnsi="Open Sans" w:cs="Open Sans"/>
        </w:rPr>
        <w:t xml:space="preserve">. </w:t>
      </w:r>
    </w:p>
    <w:p w14:paraId="0B2D8013" w14:textId="77777777" w:rsidR="00B340A5" w:rsidRPr="00D91A77" w:rsidRDefault="00B340A5" w:rsidP="00B340A5">
      <w:pPr>
        <w:pStyle w:val="ListParagraph"/>
        <w:rPr>
          <w:rFonts w:ascii="Open Sans" w:hAnsi="Open Sans" w:cs="Open Sans"/>
          <w:i/>
          <w:iCs/>
        </w:rPr>
      </w:pPr>
    </w:p>
    <w:p w14:paraId="42BFD872" w14:textId="24701A30" w:rsidR="00EA4D61" w:rsidRPr="00D91A77" w:rsidRDefault="006D413E" w:rsidP="00B340A5">
      <w:pPr>
        <w:pStyle w:val="ListParagraph"/>
        <w:numPr>
          <w:ilvl w:val="0"/>
          <w:numId w:val="40"/>
        </w:numPr>
        <w:rPr>
          <w:rFonts w:ascii="Open Sans" w:hAnsi="Open Sans" w:cs="Open Sans"/>
          <w:i/>
          <w:iCs/>
        </w:rPr>
      </w:pPr>
      <w:r w:rsidRPr="00D91A77">
        <w:rPr>
          <w:rFonts w:ascii="Open Sans" w:hAnsi="Open Sans" w:cs="Open Sans"/>
          <w:i/>
          <w:iCs/>
          <w:color w:val="06926B"/>
        </w:rPr>
        <w:t xml:space="preserve">Neutrality on technology </w:t>
      </w:r>
      <w:r w:rsidRPr="00D91A77">
        <w:rPr>
          <w:rFonts w:ascii="Open Sans" w:hAnsi="Open Sans" w:cs="Open Sans"/>
          <w:i/>
          <w:iCs/>
        </w:rPr>
        <w:t xml:space="preserve">– </w:t>
      </w:r>
      <w:r w:rsidRPr="00D91A77">
        <w:rPr>
          <w:rFonts w:ascii="Open Sans" w:hAnsi="Open Sans" w:cs="Open Sans"/>
        </w:rPr>
        <w:t xml:space="preserve">while implied in several principles, government should be explicit about </w:t>
      </w:r>
      <w:r w:rsidR="00BC3CD8" w:rsidRPr="00D91A77">
        <w:rPr>
          <w:rFonts w:ascii="Open Sans" w:hAnsi="Open Sans" w:cs="Open Sans"/>
        </w:rPr>
        <w:t xml:space="preserve">encouraging the development, and purchase of a </w:t>
      </w:r>
      <w:r w:rsidR="00391D36" w:rsidRPr="00D91A77">
        <w:rPr>
          <w:rFonts w:ascii="Open Sans" w:hAnsi="Open Sans" w:cs="Open Sans"/>
        </w:rPr>
        <w:t>range</w:t>
      </w:r>
      <w:r w:rsidR="00BC3CD8" w:rsidRPr="00D91A77">
        <w:rPr>
          <w:rFonts w:ascii="Open Sans" w:hAnsi="Open Sans" w:cs="Open Sans"/>
        </w:rPr>
        <w:t xml:space="preserve"> of GGR technologies</w:t>
      </w:r>
      <w:r w:rsidR="00E80B7B" w:rsidRPr="00D91A77">
        <w:rPr>
          <w:rFonts w:ascii="Open Sans" w:hAnsi="Open Sans" w:cs="Open Sans"/>
        </w:rPr>
        <w:t xml:space="preserve"> (</w:t>
      </w:r>
      <w:r w:rsidR="00391D36" w:rsidRPr="00D91A77">
        <w:rPr>
          <w:rFonts w:ascii="Open Sans" w:hAnsi="Open Sans" w:cs="Open Sans"/>
        </w:rPr>
        <w:t xml:space="preserve">including both </w:t>
      </w:r>
      <w:r w:rsidR="00E80B7B" w:rsidRPr="00D91A77">
        <w:rPr>
          <w:rFonts w:ascii="Open Sans" w:hAnsi="Open Sans" w:cs="Open Sans"/>
        </w:rPr>
        <w:t xml:space="preserve">engineered and </w:t>
      </w:r>
      <w:r w:rsidR="004D3C86" w:rsidRPr="00D91A77">
        <w:rPr>
          <w:rFonts w:ascii="Open Sans" w:hAnsi="Open Sans" w:cs="Open Sans"/>
        </w:rPr>
        <w:t>applicable</w:t>
      </w:r>
      <w:r w:rsidR="00E80B7B" w:rsidRPr="00D91A77">
        <w:rPr>
          <w:rFonts w:ascii="Open Sans" w:hAnsi="Open Sans" w:cs="Open Sans"/>
        </w:rPr>
        <w:t xml:space="preserve"> nature-based</w:t>
      </w:r>
      <w:r w:rsidR="004D3C86" w:rsidRPr="00D91A77">
        <w:rPr>
          <w:rFonts w:ascii="Open Sans" w:hAnsi="Open Sans" w:cs="Open Sans"/>
        </w:rPr>
        <w:t xml:space="preserve"> solutions</w:t>
      </w:r>
      <w:r w:rsidR="00E80B7B" w:rsidRPr="00D91A77">
        <w:rPr>
          <w:rFonts w:ascii="Open Sans" w:hAnsi="Open Sans" w:cs="Open Sans"/>
        </w:rPr>
        <w:t>)</w:t>
      </w:r>
      <w:r w:rsidR="00BC3CD8" w:rsidRPr="00D91A77">
        <w:rPr>
          <w:rFonts w:ascii="Open Sans" w:hAnsi="Open Sans" w:cs="Open Sans"/>
        </w:rPr>
        <w:t>, recognising that we will need them all to see substantial carbon removals realised a</w:t>
      </w:r>
      <w:r w:rsidR="002D4C3C" w:rsidRPr="00D91A77">
        <w:rPr>
          <w:rFonts w:ascii="Open Sans" w:hAnsi="Open Sans" w:cs="Open Sans"/>
        </w:rPr>
        <w:t>s well as</w:t>
      </w:r>
      <w:r w:rsidR="00BC3CD8" w:rsidRPr="00D91A77">
        <w:rPr>
          <w:rFonts w:ascii="Open Sans" w:hAnsi="Open Sans" w:cs="Open Sans"/>
        </w:rPr>
        <w:t xml:space="preserve"> the delivery of a range of solutions to avoid dependence on one technology and encourage price competitiveness to reduce costs.</w:t>
      </w:r>
    </w:p>
    <w:p w14:paraId="4309628F" w14:textId="77777777" w:rsidR="006530CB" w:rsidRPr="00D91A77" w:rsidRDefault="006530CB" w:rsidP="006530CB">
      <w:pPr>
        <w:pStyle w:val="ListParagraph"/>
        <w:rPr>
          <w:rFonts w:ascii="Open Sans" w:hAnsi="Open Sans" w:cs="Open Sans"/>
          <w:i/>
          <w:iCs/>
        </w:rPr>
      </w:pPr>
    </w:p>
    <w:p w14:paraId="50A77391" w14:textId="21B65336" w:rsidR="006530CB" w:rsidRPr="00D91A77" w:rsidRDefault="006530CB" w:rsidP="00B340A5">
      <w:pPr>
        <w:pStyle w:val="ListParagraph"/>
        <w:numPr>
          <w:ilvl w:val="0"/>
          <w:numId w:val="40"/>
        </w:numPr>
        <w:rPr>
          <w:rFonts w:ascii="Open Sans" w:hAnsi="Open Sans" w:cs="Open Sans"/>
          <w:i/>
          <w:iCs/>
        </w:rPr>
      </w:pPr>
      <w:r w:rsidRPr="00D91A77">
        <w:rPr>
          <w:rFonts w:ascii="Open Sans" w:hAnsi="Open Sans" w:cs="Open Sans"/>
          <w:i/>
          <w:iCs/>
          <w:color w:val="06926B"/>
        </w:rPr>
        <w:t xml:space="preserve">International </w:t>
      </w:r>
      <w:r w:rsidR="00D2407B" w:rsidRPr="00D91A77">
        <w:rPr>
          <w:rFonts w:ascii="Open Sans" w:hAnsi="Open Sans" w:cs="Open Sans"/>
          <w:i/>
          <w:iCs/>
          <w:color w:val="06926B"/>
        </w:rPr>
        <w:t>alignment</w:t>
      </w:r>
      <w:r w:rsidR="00BD0C9B" w:rsidRPr="00D91A77">
        <w:rPr>
          <w:rFonts w:ascii="Open Sans" w:hAnsi="Open Sans" w:cs="Open Sans"/>
          <w:i/>
          <w:iCs/>
        </w:rPr>
        <w:t xml:space="preserve"> </w:t>
      </w:r>
      <w:r w:rsidRPr="00D91A77">
        <w:rPr>
          <w:rFonts w:ascii="Open Sans" w:hAnsi="Open Sans" w:cs="Open Sans"/>
          <w:i/>
          <w:iCs/>
        </w:rPr>
        <w:t>–</w:t>
      </w:r>
      <w:r w:rsidR="00BD0C9B" w:rsidRPr="00D91A77">
        <w:rPr>
          <w:rFonts w:ascii="Open Sans" w:hAnsi="Open Sans" w:cs="Open Sans"/>
          <w:i/>
          <w:iCs/>
        </w:rPr>
        <w:t xml:space="preserve"> </w:t>
      </w:r>
      <w:r w:rsidR="00642EB0" w:rsidRPr="00D91A77">
        <w:rPr>
          <w:rFonts w:ascii="Open Sans" w:hAnsi="Open Sans" w:cs="Open Sans"/>
        </w:rPr>
        <w:t xml:space="preserve">design </w:t>
      </w:r>
      <w:r w:rsidR="00BD0C9B" w:rsidRPr="00D91A77">
        <w:rPr>
          <w:rFonts w:ascii="Open Sans" w:hAnsi="Open Sans" w:cs="Open Sans"/>
        </w:rPr>
        <w:t xml:space="preserve">should recognise scope for </w:t>
      </w:r>
      <w:r w:rsidR="00E0623D" w:rsidRPr="00D91A77">
        <w:rPr>
          <w:rFonts w:ascii="Open Sans" w:hAnsi="Open Sans" w:cs="Open Sans"/>
        </w:rPr>
        <w:t>potential</w:t>
      </w:r>
      <w:r w:rsidR="00642EB0" w:rsidRPr="00D91A77">
        <w:rPr>
          <w:rFonts w:ascii="Open Sans" w:hAnsi="Open Sans" w:cs="Open Sans"/>
        </w:rPr>
        <w:t xml:space="preserve"> future integration </w:t>
      </w:r>
      <w:r w:rsidR="00CB393E" w:rsidRPr="00D91A77">
        <w:rPr>
          <w:rFonts w:ascii="Open Sans" w:hAnsi="Open Sans" w:cs="Open Sans"/>
        </w:rPr>
        <w:t xml:space="preserve">or </w:t>
      </w:r>
      <w:r w:rsidRPr="00D91A77">
        <w:rPr>
          <w:rFonts w:ascii="Open Sans" w:hAnsi="Open Sans" w:cs="Open Sans"/>
        </w:rPr>
        <w:t>linking with</w:t>
      </w:r>
      <w:r w:rsidR="00706B62" w:rsidRPr="00D91A77">
        <w:rPr>
          <w:rFonts w:ascii="Open Sans" w:hAnsi="Open Sans" w:cs="Open Sans"/>
        </w:rPr>
        <w:t xml:space="preserve"> other emissions trading schemes, like the EU ETS for example.</w:t>
      </w:r>
      <w:r w:rsidR="00706B62" w:rsidRPr="00D91A77">
        <w:rPr>
          <w:rFonts w:ascii="Open Sans" w:hAnsi="Open Sans" w:cs="Open Sans"/>
          <w:i/>
          <w:iCs/>
        </w:rPr>
        <w:t xml:space="preserve"> </w:t>
      </w:r>
    </w:p>
    <w:p w14:paraId="594D9AA4" w14:textId="77777777" w:rsidR="00BD1FA9" w:rsidRDefault="00BD1FA9" w:rsidP="00AD7204">
      <w:pPr>
        <w:rPr>
          <w:rFonts w:ascii="Open Sans" w:hAnsi="Open Sans" w:cs="Open Sans"/>
          <w:b/>
          <w:bCs/>
        </w:rPr>
      </w:pPr>
    </w:p>
    <w:p w14:paraId="49C44627" w14:textId="77777777" w:rsidR="00F90867" w:rsidRDefault="00F90867" w:rsidP="00AD7204">
      <w:pPr>
        <w:rPr>
          <w:rFonts w:ascii="Open Sans" w:hAnsi="Open Sans" w:cs="Open Sans"/>
          <w:b/>
          <w:bCs/>
        </w:rPr>
      </w:pPr>
    </w:p>
    <w:p w14:paraId="41C538A7" w14:textId="77777777" w:rsidR="00F90867" w:rsidRDefault="00F90867" w:rsidP="00AD7204">
      <w:pPr>
        <w:rPr>
          <w:rFonts w:ascii="Open Sans" w:hAnsi="Open Sans" w:cs="Open Sans"/>
          <w:b/>
          <w:bCs/>
        </w:rPr>
      </w:pPr>
    </w:p>
    <w:p w14:paraId="1C25D27B" w14:textId="77777777" w:rsidR="00F90867" w:rsidRDefault="00F90867" w:rsidP="00AD7204">
      <w:pPr>
        <w:rPr>
          <w:rFonts w:ascii="Open Sans" w:hAnsi="Open Sans" w:cs="Open Sans"/>
          <w:b/>
          <w:bCs/>
        </w:rPr>
      </w:pPr>
    </w:p>
    <w:p w14:paraId="49B400D9" w14:textId="77777777" w:rsidR="00F90867" w:rsidRDefault="00F90867" w:rsidP="00AD7204">
      <w:pPr>
        <w:rPr>
          <w:rFonts w:ascii="Open Sans" w:hAnsi="Open Sans" w:cs="Open Sans"/>
          <w:b/>
          <w:bCs/>
        </w:rPr>
      </w:pPr>
    </w:p>
    <w:p w14:paraId="4BFEB9CD" w14:textId="7208766C" w:rsidR="00F90867" w:rsidRPr="00F90867" w:rsidRDefault="00F90867" w:rsidP="00F90867">
      <w:pPr>
        <w:pStyle w:val="Heading1"/>
        <w:rPr>
          <w:rFonts w:ascii="Open Sans" w:hAnsi="Open Sans" w:cs="Open Sans"/>
          <w:sz w:val="24"/>
          <w:szCs w:val="24"/>
        </w:rPr>
      </w:pPr>
      <w:bookmarkStart w:id="1" w:name="_Cap"/>
      <w:bookmarkEnd w:id="1"/>
      <w:r w:rsidRPr="00F90867">
        <w:rPr>
          <w:rFonts w:ascii="Open Sans" w:hAnsi="Open Sans" w:cs="Open Sans"/>
          <w:sz w:val="24"/>
          <w:szCs w:val="24"/>
        </w:rPr>
        <w:lastRenderedPageBreak/>
        <w:t>Cap</w:t>
      </w:r>
    </w:p>
    <w:p w14:paraId="71E30269" w14:textId="77777777" w:rsidR="00F90867" w:rsidRPr="00D91A77" w:rsidRDefault="00F90867" w:rsidP="00AD7204">
      <w:pPr>
        <w:rPr>
          <w:rFonts w:ascii="Open Sans" w:hAnsi="Open Sans" w:cs="Open Sans"/>
          <w:b/>
          <w:bCs/>
        </w:rPr>
      </w:pPr>
    </w:p>
    <w:p w14:paraId="20A09442" w14:textId="4B035D4F" w:rsidR="00BD1FA9" w:rsidRPr="00D91A77" w:rsidRDefault="00BD1FA9" w:rsidP="000F6354">
      <w:pPr>
        <w:pStyle w:val="ListParagraph"/>
        <w:numPr>
          <w:ilvl w:val="0"/>
          <w:numId w:val="38"/>
        </w:numPr>
        <w:rPr>
          <w:rFonts w:ascii="Open Sans" w:hAnsi="Open Sans" w:cs="Open Sans"/>
          <w:b/>
          <w:bCs/>
        </w:rPr>
      </w:pPr>
      <w:r w:rsidRPr="00D91A77">
        <w:rPr>
          <w:rFonts w:ascii="Open Sans" w:hAnsi="Open Sans" w:cs="Open Sans"/>
          <w:b/>
          <w:bCs/>
        </w:rPr>
        <w:t>Do you agree the Authority should maintain the gross cap for initial integration of GGRs in the UK ETS (Option 2)? Please explain your answer.</w:t>
      </w:r>
    </w:p>
    <w:p w14:paraId="6D6EEA84" w14:textId="77777777" w:rsidR="003E2DC5" w:rsidRPr="00D91A77" w:rsidRDefault="003E2DC5" w:rsidP="003E2DC5">
      <w:pPr>
        <w:rPr>
          <w:rFonts w:ascii="Open Sans" w:hAnsi="Open Sans" w:cs="Open Sans"/>
          <w:b/>
          <w:bCs/>
        </w:rPr>
      </w:pPr>
    </w:p>
    <w:p w14:paraId="26C598CB" w14:textId="4B406407" w:rsidR="000D1EA0" w:rsidRPr="00D91A77" w:rsidRDefault="003E2DC5" w:rsidP="003E2DC5">
      <w:pPr>
        <w:rPr>
          <w:rFonts w:ascii="Open Sans" w:hAnsi="Open Sans" w:cs="Open Sans"/>
        </w:rPr>
      </w:pPr>
      <w:r w:rsidRPr="00D91A77">
        <w:rPr>
          <w:rFonts w:ascii="Open Sans" w:hAnsi="Open Sans" w:cs="Open Sans"/>
        </w:rPr>
        <w:t xml:space="preserve">Yes, in the short-term, we agree that option </w:t>
      </w:r>
      <w:r w:rsidR="00BD1644">
        <w:rPr>
          <w:rFonts w:ascii="Open Sans" w:hAnsi="Open Sans" w:cs="Open Sans"/>
        </w:rPr>
        <w:t>two</w:t>
      </w:r>
      <w:r w:rsidRPr="00D91A77">
        <w:rPr>
          <w:rFonts w:ascii="Open Sans" w:hAnsi="Open Sans" w:cs="Open Sans"/>
        </w:rPr>
        <w:t xml:space="preserve"> – maintaining the gross cap for GGRs – is most appropriate</w:t>
      </w:r>
      <w:r w:rsidR="00647971" w:rsidRPr="00D91A77">
        <w:rPr>
          <w:rFonts w:ascii="Open Sans" w:hAnsi="Open Sans" w:cs="Open Sans"/>
        </w:rPr>
        <w:t xml:space="preserve"> as this will allow the market to develop</w:t>
      </w:r>
      <w:r w:rsidR="004209E1" w:rsidRPr="00D91A77">
        <w:rPr>
          <w:rFonts w:ascii="Open Sans" w:hAnsi="Open Sans" w:cs="Open Sans"/>
        </w:rPr>
        <w:t xml:space="preserve"> and ensure GGRs are available at the scale</w:t>
      </w:r>
      <w:r w:rsidR="000D1EA0" w:rsidRPr="00D91A77">
        <w:rPr>
          <w:rFonts w:ascii="Open Sans" w:hAnsi="Open Sans" w:cs="Open Sans"/>
        </w:rPr>
        <w:t xml:space="preserve"> required for hard-to-abate sectors in future</w:t>
      </w:r>
      <w:r w:rsidR="008C66C5" w:rsidRPr="00D91A77">
        <w:rPr>
          <w:rFonts w:ascii="Open Sans" w:hAnsi="Open Sans" w:cs="Open Sans"/>
        </w:rPr>
        <w:t xml:space="preserve">. </w:t>
      </w:r>
      <w:r w:rsidR="003C4AC5" w:rsidRPr="00D91A77">
        <w:rPr>
          <w:rFonts w:ascii="Open Sans" w:hAnsi="Open Sans" w:cs="Open Sans"/>
        </w:rPr>
        <w:t xml:space="preserve">This </w:t>
      </w:r>
      <w:r w:rsidR="000D1EA0" w:rsidRPr="00D91A77">
        <w:rPr>
          <w:rFonts w:ascii="Open Sans" w:hAnsi="Open Sans" w:cs="Open Sans"/>
        </w:rPr>
        <w:t xml:space="preserve">option </w:t>
      </w:r>
      <w:r w:rsidR="003C4AC5" w:rsidRPr="00D91A77">
        <w:rPr>
          <w:rFonts w:ascii="Open Sans" w:hAnsi="Open Sans" w:cs="Open Sans"/>
        </w:rPr>
        <w:t xml:space="preserve">also enables emitters to decarbonise more quickly and efficiently, by utilising both emissions removals and investing in emissions reduction. </w:t>
      </w:r>
    </w:p>
    <w:p w14:paraId="1B906D8D" w14:textId="77777777" w:rsidR="000D1EA0" w:rsidRPr="00D91A77" w:rsidRDefault="000D1EA0" w:rsidP="003E2DC5">
      <w:pPr>
        <w:rPr>
          <w:rFonts w:ascii="Open Sans" w:hAnsi="Open Sans" w:cs="Open Sans"/>
        </w:rPr>
      </w:pPr>
    </w:p>
    <w:p w14:paraId="5B1280FC" w14:textId="03370B1F" w:rsidR="003E2DC5" w:rsidRPr="00D91A77" w:rsidRDefault="008C66C5" w:rsidP="003E2DC5">
      <w:pPr>
        <w:rPr>
          <w:rFonts w:ascii="Open Sans" w:hAnsi="Open Sans" w:cs="Open Sans"/>
        </w:rPr>
      </w:pPr>
      <w:r w:rsidRPr="00D91A77">
        <w:rPr>
          <w:rFonts w:ascii="Open Sans" w:hAnsi="Open Sans" w:cs="Open Sans"/>
        </w:rPr>
        <w:t>However, we</w:t>
      </w:r>
      <w:r w:rsidR="00396A80" w:rsidRPr="00D91A77">
        <w:rPr>
          <w:rFonts w:ascii="Open Sans" w:hAnsi="Open Sans" w:cs="Open Sans"/>
        </w:rPr>
        <w:t xml:space="preserve"> support a move to option </w:t>
      </w:r>
      <w:r w:rsidR="00BD1644">
        <w:rPr>
          <w:rFonts w:ascii="Open Sans" w:hAnsi="Open Sans" w:cs="Open Sans"/>
        </w:rPr>
        <w:t xml:space="preserve">three </w:t>
      </w:r>
      <w:r w:rsidR="007355CD" w:rsidRPr="00D91A77">
        <w:rPr>
          <w:rFonts w:ascii="Open Sans" w:hAnsi="Open Sans" w:cs="Open Sans"/>
        </w:rPr>
        <w:t>– setting a new cap -</w:t>
      </w:r>
      <w:r w:rsidR="00396A80" w:rsidRPr="00D91A77">
        <w:rPr>
          <w:rFonts w:ascii="Open Sans" w:hAnsi="Open Sans" w:cs="Open Sans"/>
        </w:rPr>
        <w:t xml:space="preserve"> within a reasonable timescale</w:t>
      </w:r>
      <w:r w:rsidR="00EA281B" w:rsidRPr="00D91A77">
        <w:rPr>
          <w:rFonts w:ascii="Open Sans" w:hAnsi="Open Sans" w:cs="Open Sans"/>
        </w:rPr>
        <w:t xml:space="preserve"> </w:t>
      </w:r>
      <w:r w:rsidR="00FF481A" w:rsidRPr="00D91A77">
        <w:rPr>
          <w:rFonts w:ascii="Open Sans" w:hAnsi="Open Sans" w:cs="Open Sans"/>
        </w:rPr>
        <w:t>to continue driving GGR demand</w:t>
      </w:r>
      <w:r w:rsidR="00B5103E" w:rsidRPr="00D91A77">
        <w:rPr>
          <w:rFonts w:ascii="Open Sans" w:hAnsi="Open Sans" w:cs="Open Sans"/>
        </w:rPr>
        <w:t xml:space="preserve"> and reduc</w:t>
      </w:r>
      <w:r w:rsidR="00117F89" w:rsidRPr="00D91A77">
        <w:rPr>
          <w:rFonts w:ascii="Open Sans" w:hAnsi="Open Sans" w:cs="Open Sans"/>
        </w:rPr>
        <w:t>ing</w:t>
      </w:r>
      <w:r w:rsidR="00B5103E" w:rsidRPr="00D91A77">
        <w:rPr>
          <w:rFonts w:ascii="Open Sans" w:hAnsi="Open Sans" w:cs="Open Sans"/>
        </w:rPr>
        <w:t xml:space="preserve"> risk as supply becomes clearer. It will also be important to </w:t>
      </w:r>
      <w:r w:rsidR="00EA281B" w:rsidRPr="00D91A77">
        <w:rPr>
          <w:rFonts w:ascii="Open Sans" w:hAnsi="Open Sans" w:cs="Open Sans"/>
        </w:rPr>
        <w:t xml:space="preserve">differentiate between credits offering carbon reduction and carbon removal. </w:t>
      </w:r>
      <w:r w:rsidR="007355CD" w:rsidRPr="00D91A77">
        <w:rPr>
          <w:rFonts w:ascii="Open Sans" w:hAnsi="Open Sans" w:cs="Open Sans"/>
        </w:rPr>
        <w:t xml:space="preserve">We agree that option </w:t>
      </w:r>
      <w:r w:rsidR="00E7030C" w:rsidRPr="00D91A77">
        <w:rPr>
          <w:rFonts w:ascii="Open Sans" w:hAnsi="Open Sans" w:cs="Open Sans"/>
        </w:rPr>
        <w:t>one</w:t>
      </w:r>
      <w:r w:rsidR="007355CD" w:rsidRPr="00D91A77">
        <w:rPr>
          <w:rFonts w:ascii="Open Sans" w:hAnsi="Open Sans" w:cs="Open Sans"/>
        </w:rPr>
        <w:t xml:space="preserve"> would not work, as this</w:t>
      </w:r>
      <w:r w:rsidR="00A6491A" w:rsidRPr="00D91A77">
        <w:rPr>
          <w:rFonts w:ascii="Open Sans" w:hAnsi="Open Sans" w:cs="Open Sans"/>
        </w:rPr>
        <w:t xml:space="preserve"> would </w:t>
      </w:r>
      <w:r w:rsidR="007355CD" w:rsidRPr="00D91A77">
        <w:rPr>
          <w:rFonts w:ascii="Open Sans" w:hAnsi="Open Sans" w:cs="Open Sans"/>
        </w:rPr>
        <w:t xml:space="preserve">merely </w:t>
      </w:r>
      <w:r w:rsidR="00A6491A" w:rsidRPr="00D91A77">
        <w:rPr>
          <w:rFonts w:ascii="Open Sans" w:hAnsi="Open Sans" w:cs="Open Sans"/>
        </w:rPr>
        <w:t xml:space="preserve">create more allowances, </w:t>
      </w:r>
      <w:r w:rsidR="007355CD" w:rsidRPr="00D91A77">
        <w:rPr>
          <w:rFonts w:ascii="Open Sans" w:hAnsi="Open Sans" w:cs="Open Sans"/>
        </w:rPr>
        <w:t xml:space="preserve">failing </w:t>
      </w:r>
      <w:r w:rsidR="00A6491A" w:rsidRPr="00D91A77">
        <w:rPr>
          <w:rFonts w:ascii="Open Sans" w:hAnsi="Open Sans" w:cs="Open Sans"/>
        </w:rPr>
        <w:t>to recognise</w:t>
      </w:r>
      <w:r w:rsidR="00117F89" w:rsidRPr="00D91A77">
        <w:rPr>
          <w:rFonts w:ascii="Open Sans" w:hAnsi="Open Sans" w:cs="Open Sans"/>
        </w:rPr>
        <w:t xml:space="preserve"> the difference</w:t>
      </w:r>
      <w:r w:rsidR="00A6491A" w:rsidRPr="00D91A77">
        <w:rPr>
          <w:rFonts w:ascii="Open Sans" w:hAnsi="Open Sans" w:cs="Open Sans"/>
        </w:rPr>
        <w:t xml:space="preserve"> </w:t>
      </w:r>
      <w:r w:rsidR="008C1A21" w:rsidRPr="00D91A77">
        <w:rPr>
          <w:rFonts w:ascii="Open Sans" w:hAnsi="Open Sans" w:cs="Open Sans"/>
        </w:rPr>
        <w:t>and</w:t>
      </w:r>
      <w:r w:rsidR="00117F89" w:rsidRPr="00D91A77">
        <w:rPr>
          <w:rFonts w:ascii="Open Sans" w:hAnsi="Open Sans" w:cs="Open Sans"/>
        </w:rPr>
        <w:t xml:space="preserve"> therefore</w:t>
      </w:r>
      <w:r w:rsidR="00C97642" w:rsidRPr="00D91A77">
        <w:rPr>
          <w:rFonts w:ascii="Open Sans" w:hAnsi="Open Sans" w:cs="Open Sans"/>
        </w:rPr>
        <w:t xml:space="preserve"> </w:t>
      </w:r>
      <w:r w:rsidR="00A6491A" w:rsidRPr="00D91A77">
        <w:rPr>
          <w:rFonts w:ascii="Open Sans" w:hAnsi="Open Sans" w:cs="Open Sans"/>
        </w:rPr>
        <w:t xml:space="preserve">undermining the value of GGRs. </w:t>
      </w:r>
    </w:p>
    <w:p w14:paraId="3953034E" w14:textId="77777777" w:rsidR="00A71A82" w:rsidRPr="00D91A77" w:rsidRDefault="00A71A82" w:rsidP="003E2DC5">
      <w:pPr>
        <w:rPr>
          <w:rFonts w:ascii="Open Sans" w:hAnsi="Open Sans" w:cs="Open Sans"/>
        </w:rPr>
      </w:pPr>
    </w:p>
    <w:p w14:paraId="602B5C6F" w14:textId="6AAC9AF7" w:rsidR="00A71A82" w:rsidRPr="00D91A77" w:rsidRDefault="00A71A82" w:rsidP="003E2DC5">
      <w:pPr>
        <w:rPr>
          <w:rFonts w:ascii="Open Sans" w:hAnsi="Open Sans" w:cs="Open Sans"/>
        </w:rPr>
      </w:pPr>
      <w:r w:rsidRPr="00D91A77">
        <w:rPr>
          <w:rFonts w:ascii="Open Sans" w:hAnsi="Open Sans" w:cs="Open Sans"/>
        </w:rPr>
        <w:t xml:space="preserve">We also stress that </w:t>
      </w:r>
      <w:r w:rsidR="00E13F38" w:rsidRPr="00D91A77">
        <w:rPr>
          <w:rFonts w:ascii="Open Sans" w:hAnsi="Open Sans" w:cs="Open Sans"/>
        </w:rPr>
        <w:t xml:space="preserve">amendment to the cap should also be aligned with proposals currently </w:t>
      </w:r>
      <w:r w:rsidR="00C71E81" w:rsidRPr="00D91A77">
        <w:rPr>
          <w:rFonts w:ascii="Open Sans" w:hAnsi="Open Sans" w:cs="Open Sans"/>
        </w:rPr>
        <w:t>being consider</w:t>
      </w:r>
      <w:r w:rsidR="00480B72" w:rsidRPr="00D91A77">
        <w:rPr>
          <w:rFonts w:ascii="Open Sans" w:hAnsi="Open Sans" w:cs="Open Sans"/>
        </w:rPr>
        <w:t>ed</w:t>
      </w:r>
      <w:r w:rsidR="00C71E81" w:rsidRPr="00D91A77">
        <w:rPr>
          <w:rFonts w:ascii="Open Sans" w:hAnsi="Open Sans" w:cs="Open Sans"/>
        </w:rPr>
        <w:t xml:space="preserve"> </w:t>
      </w:r>
      <w:r w:rsidR="00E13F38" w:rsidRPr="00D91A77">
        <w:rPr>
          <w:rFonts w:ascii="Open Sans" w:hAnsi="Open Sans" w:cs="Open Sans"/>
        </w:rPr>
        <w:t xml:space="preserve">in other ETS related </w:t>
      </w:r>
      <w:r w:rsidR="00C71E81" w:rsidRPr="00D91A77">
        <w:rPr>
          <w:rFonts w:ascii="Open Sans" w:hAnsi="Open Sans" w:cs="Open Sans"/>
        </w:rPr>
        <w:t xml:space="preserve">consultations. </w:t>
      </w:r>
      <w:r w:rsidR="000E0566">
        <w:rPr>
          <w:rFonts w:ascii="Open Sans" w:hAnsi="Open Sans" w:cs="Open Sans"/>
        </w:rPr>
        <w:t>For example,</w:t>
      </w:r>
      <w:r w:rsidR="00C71E81" w:rsidRPr="00D91A77">
        <w:rPr>
          <w:rFonts w:ascii="Open Sans" w:hAnsi="Open Sans" w:cs="Open Sans"/>
        </w:rPr>
        <w:t xml:space="preserve"> the consultation considering the expansion of the ETS to waste </w:t>
      </w:r>
      <w:r w:rsidR="00EE1AE6" w:rsidRPr="00D91A77">
        <w:rPr>
          <w:rFonts w:ascii="Open Sans" w:hAnsi="Open Sans" w:cs="Open Sans"/>
        </w:rPr>
        <w:t xml:space="preserve">also proposes </w:t>
      </w:r>
      <w:r w:rsidR="0085711B" w:rsidRPr="00D91A77">
        <w:rPr>
          <w:rFonts w:ascii="Open Sans" w:hAnsi="Open Sans" w:cs="Open Sans"/>
        </w:rPr>
        <w:t>a number of</w:t>
      </w:r>
      <w:r w:rsidR="00EE1AE6" w:rsidRPr="00D91A77">
        <w:rPr>
          <w:rFonts w:ascii="Open Sans" w:hAnsi="Open Sans" w:cs="Open Sans"/>
        </w:rPr>
        <w:t xml:space="preserve"> changes to the cap.</w:t>
      </w:r>
      <w:r w:rsidR="0085711B" w:rsidRPr="00D91A77">
        <w:rPr>
          <w:rFonts w:ascii="Open Sans" w:hAnsi="Open Sans" w:cs="Open Sans"/>
        </w:rPr>
        <w:t xml:space="preserve"> While the proposed change</w:t>
      </w:r>
      <w:r w:rsidR="00291B5D" w:rsidRPr="00D91A77">
        <w:rPr>
          <w:rFonts w:ascii="Open Sans" w:hAnsi="Open Sans" w:cs="Open Sans"/>
        </w:rPr>
        <w:t>s</w:t>
      </w:r>
      <w:r w:rsidR="0085711B" w:rsidRPr="00D91A77">
        <w:rPr>
          <w:rFonts w:ascii="Open Sans" w:hAnsi="Open Sans" w:cs="Open Sans"/>
        </w:rPr>
        <w:t xml:space="preserve"> </w:t>
      </w:r>
      <w:r w:rsidR="00291B5D" w:rsidRPr="00D91A77">
        <w:rPr>
          <w:rFonts w:ascii="Open Sans" w:hAnsi="Open Sans" w:cs="Open Sans"/>
        </w:rPr>
        <w:t>do not</w:t>
      </w:r>
      <w:r w:rsidR="0085711B" w:rsidRPr="00D91A77">
        <w:rPr>
          <w:rFonts w:ascii="Open Sans" w:hAnsi="Open Sans" w:cs="Open Sans"/>
        </w:rPr>
        <w:t xml:space="preserve"> neces</w:t>
      </w:r>
      <w:r w:rsidR="00291B5D" w:rsidRPr="00D91A77">
        <w:rPr>
          <w:rFonts w:ascii="Open Sans" w:hAnsi="Open Sans" w:cs="Open Sans"/>
        </w:rPr>
        <w:t>sarily contradict each other, it is important that industry is able to consider the changes, especially as both are currently proposed to start in 2028</w:t>
      </w:r>
      <w:r w:rsidR="00E7030C" w:rsidRPr="00D91A77">
        <w:rPr>
          <w:rFonts w:ascii="Open Sans" w:hAnsi="Open Sans" w:cs="Open Sans"/>
        </w:rPr>
        <w:t xml:space="preserve">. </w:t>
      </w:r>
      <w:r w:rsidR="00EE1AE6" w:rsidRPr="00D91A77">
        <w:rPr>
          <w:rFonts w:ascii="Open Sans" w:hAnsi="Open Sans" w:cs="Open Sans"/>
        </w:rPr>
        <w:t xml:space="preserve">In response to both consultations there should be clarity how the </w:t>
      </w:r>
      <w:r w:rsidR="00214640" w:rsidRPr="00D91A77">
        <w:rPr>
          <w:rFonts w:ascii="Open Sans" w:hAnsi="Open Sans" w:cs="Open Sans"/>
        </w:rPr>
        <w:t xml:space="preserve">proposals relate to each other and what the overall impact will be for ETS </w:t>
      </w:r>
      <w:r w:rsidR="0085711B" w:rsidRPr="00D91A77">
        <w:rPr>
          <w:rFonts w:ascii="Open Sans" w:hAnsi="Open Sans" w:cs="Open Sans"/>
        </w:rPr>
        <w:t xml:space="preserve">parties. </w:t>
      </w:r>
    </w:p>
    <w:p w14:paraId="505D8C81" w14:textId="77777777" w:rsidR="00BD1FA9" w:rsidRPr="00D91A77" w:rsidRDefault="00BD1FA9" w:rsidP="00BD1FA9">
      <w:pPr>
        <w:rPr>
          <w:rFonts w:ascii="Open Sans" w:hAnsi="Open Sans" w:cs="Open Sans"/>
          <w:b/>
          <w:bCs/>
        </w:rPr>
      </w:pPr>
    </w:p>
    <w:p w14:paraId="0CEE7E7F" w14:textId="2E3CD13A" w:rsidR="00F538FE" w:rsidRPr="00D91A77" w:rsidRDefault="00BD1FA9" w:rsidP="00F538FE">
      <w:pPr>
        <w:pStyle w:val="ListParagraph"/>
        <w:numPr>
          <w:ilvl w:val="0"/>
          <w:numId w:val="38"/>
        </w:numPr>
        <w:rPr>
          <w:rFonts w:ascii="Open Sans" w:hAnsi="Open Sans" w:cs="Open Sans"/>
          <w:b/>
          <w:bCs/>
        </w:rPr>
      </w:pPr>
      <w:r w:rsidRPr="00D91A77">
        <w:rPr>
          <w:rFonts w:ascii="Open Sans" w:hAnsi="Open Sans" w:cs="Open Sans"/>
          <w:b/>
          <w:bCs/>
        </w:rPr>
        <w:t>How can the UK ETS sustain demand for GGRs in the long-term, taking into account the consideration of setting a new cap (Option 3)</w:t>
      </w:r>
      <w:r w:rsidR="00F538FE" w:rsidRPr="00D91A77">
        <w:rPr>
          <w:rFonts w:ascii="Open Sans" w:hAnsi="Open Sans" w:cs="Open Sans"/>
          <w:b/>
          <w:bCs/>
        </w:rPr>
        <w:t>?</w:t>
      </w:r>
    </w:p>
    <w:p w14:paraId="4594EDF3" w14:textId="77777777" w:rsidR="00F538FE" w:rsidRPr="00D91A77" w:rsidRDefault="00F538FE" w:rsidP="00F538FE">
      <w:pPr>
        <w:rPr>
          <w:rFonts w:ascii="Open Sans" w:hAnsi="Open Sans" w:cs="Open Sans"/>
          <w:b/>
          <w:bCs/>
        </w:rPr>
      </w:pPr>
    </w:p>
    <w:p w14:paraId="6FB053FD" w14:textId="79A466AD" w:rsidR="00F501FD" w:rsidRPr="00D91A77" w:rsidRDefault="001269CA" w:rsidP="00C558AA">
      <w:pPr>
        <w:rPr>
          <w:rFonts w:ascii="Open Sans" w:hAnsi="Open Sans" w:cs="Open Sans"/>
        </w:rPr>
      </w:pPr>
      <w:r w:rsidRPr="00D91A77">
        <w:rPr>
          <w:rFonts w:ascii="Open Sans" w:hAnsi="Open Sans" w:cs="Open Sans"/>
        </w:rPr>
        <w:t>While we agree</w:t>
      </w:r>
      <w:r w:rsidR="00C7751C">
        <w:rPr>
          <w:rFonts w:ascii="Open Sans" w:hAnsi="Open Sans" w:cs="Open Sans"/>
        </w:rPr>
        <w:t xml:space="preserve"> that</w:t>
      </w:r>
      <w:r w:rsidR="007665A8" w:rsidRPr="00D91A77">
        <w:rPr>
          <w:rFonts w:ascii="Open Sans" w:hAnsi="Open Sans" w:cs="Open Sans"/>
        </w:rPr>
        <w:t xml:space="preserve"> </w:t>
      </w:r>
      <w:r w:rsidR="00781F92">
        <w:rPr>
          <w:rFonts w:ascii="Open Sans" w:hAnsi="Open Sans" w:cs="Open Sans"/>
        </w:rPr>
        <w:t>o</w:t>
      </w:r>
      <w:r w:rsidR="007665A8" w:rsidRPr="00D91A77">
        <w:rPr>
          <w:rFonts w:ascii="Open Sans" w:hAnsi="Open Sans" w:cs="Open Sans"/>
        </w:rPr>
        <w:t xml:space="preserve">ption </w:t>
      </w:r>
      <w:r w:rsidR="00BD1644">
        <w:rPr>
          <w:rFonts w:ascii="Open Sans" w:hAnsi="Open Sans" w:cs="Open Sans"/>
        </w:rPr>
        <w:t>three</w:t>
      </w:r>
      <w:r w:rsidR="007665A8" w:rsidRPr="00D91A77">
        <w:rPr>
          <w:rFonts w:ascii="Open Sans" w:hAnsi="Open Sans" w:cs="Open Sans"/>
        </w:rPr>
        <w:t xml:space="preserve"> could be a suitable cap design for the long-term integration of GRRs in the UK ETS, </w:t>
      </w:r>
      <w:r w:rsidRPr="00D91A77">
        <w:rPr>
          <w:rFonts w:ascii="Open Sans" w:hAnsi="Open Sans" w:cs="Open Sans"/>
        </w:rPr>
        <w:t>in the immediate term, g</w:t>
      </w:r>
      <w:r w:rsidR="007665A8" w:rsidRPr="00D91A77">
        <w:rPr>
          <w:rFonts w:ascii="Open Sans" w:hAnsi="Open Sans" w:cs="Open Sans"/>
        </w:rPr>
        <w:t>overnment</w:t>
      </w:r>
      <w:r w:rsidRPr="00D91A77">
        <w:rPr>
          <w:rFonts w:ascii="Open Sans" w:hAnsi="Open Sans" w:cs="Open Sans"/>
        </w:rPr>
        <w:t xml:space="preserve"> should</w:t>
      </w:r>
      <w:r w:rsidR="007665A8" w:rsidRPr="00D91A77">
        <w:rPr>
          <w:rFonts w:ascii="Open Sans" w:hAnsi="Open Sans" w:cs="Open Sans"/>
        </w:rPr>
        <w:t xml:space="preserve"> focus </w:t>
      </w:r>
      <w:r w:rsidRPr="00D91A77">
        <w:rPr>
          <w:rFonts w:ascii="Open Sans" w:hAnsi="Open Sans" w:cs="Open Sans"/>
        </w:rPr>
        <w:t>on</w:t>
      </w:r>
      <w:r w:rsidR="007665A8" w:rsidRPr="00D91A77">
        <w:rPr>
          <w:rFonts w:ascii="Open Sans" w:hAnsi="Open Sans" w:cs="Open Sans"/>
        </w:rPr>
        <w:t xml:space="preserve"> developing the right design for initial integration of GGRs into the ETS. </w:t>
      </w:r>
      <w:r w:rsidR="005B5F63" w:rsidRPr="00D91A77">
        <w:rPr>
          <w:rFonts w:ascii="Open Sans" w:hAnsi="Open Sans" w:cs="Open Sans"/>
        </w:rPr>
        <w:t xml:space="preserve">For example, under option </w:t>
      </w:r>
      <w:r w:rsidR="00E7030C" w:rsidRPr="00D91A77">
        <w:rPr>
          <w:rFonts w:ascii="Open Sans" w:hAnsi="Open Sans" w:cs="Open Sans"/>
        </w:rPr>
        <w:t>two</w:t>
      </w:r>
      <w:r w:rsidR="00C80968">
        <w:rPr>
          <w:rFonts w:ascii="Open Sans" w:hAnsi="Open Sans" w:cs="Open Sans"/>
        </w:rPr>
        <w:t>,</w:t>
      </w:r>
      <w:r w:rsidR="005B5F63" w:rsidRPr="00D91A77">
        <w:rPr>
          <w:rFonts w:ascii="Open Sans" w:hAnsi="Open Sans" w:cs="Open Sans"/>
        </w:rPr>
        <w:t xml:space="preserve"> emitters will have the option to buy ETS or GGR allowances</w:t>
      </w:r>
      <w:r w:rsidR="00D25974" w:rsidRPr="00D91A77">
        <w:rPr>
          <w:rFonts w:ascii="Open Sans" w:hAnsi="Open Sans" w:cs="Open Sans"/>
        </w:rPr>
        <w:t xml:space="preserve">. In the future, the purchase of GGRs could be made a mandatory </w:t>
      </w:r>
      <w:r w:rsidR="00D34985" w:rsidRPr="00D91A77">
        <w:rPr>
          <w:rFonts w:ascii="Open Sans" w:hAnsi="Open Sans" w:cs="Open Sans"/>
        </w:rPr>
        <w:t>requirement</w:t>
      </w:r>
      <w:r w:rsidR="00D25974" w:rsidRPr="00D91A77">
        <w:rPr>
          <w:rFonts w:ascii="Open Sans" w:hAnsi="Open Sans" w:cs="Open Sans"/>
        </w:rPr>
        <w:t xml:space="preserve"> of meeting </w:t>
      </w:r>
      <w:r w:rsidR="00995929" w:rsidRPr="00D91A77">
        <w:rPr>
          <w:rFonts w:ascii="Open Sans" w:hAnsi="Open Sans" w:cs="Open Sans"/>
        </w:rPr>
        <w:t>emissions obligations and</w:t>
      </w:r>
      <w:r w:rsidR="00D34985" w:rsidRPr="00D91A77">
        <w:rPr>
          <w:rFonts w:ascii="Open Sans" w:hAnsi="Open Sans" w:cs="Open Sans"/>
        </w:rPr>
        <w:t xml:space="preserve"> could increase over time. This </w:t>
      </w:r>
      <w:r w:rsidR="00995929" w:rsidRPr="00D91A77">
        <w:rPr>
          <w:rFonts w:ascii="Open Sans" w:hAnsi="Open Sans" w:cs="Open Sans"/>
        </w:rPr>
        <w:t xml:space="preserve">could be particularly important if there are still some sectors that </w:t>
      </w:r>
      <w:r w:rsidR="00C72096" w:rsidRPr="00D91A77">
        <w:rPr>
          <w:rFonts w:ascii="Open Sans" w:hAnsi="Open Sans" w:cs="Open Sans"/>
        </w:rPr>
        <w:t>have not</w:t>
      </w:r>
      <w:r w:rsidR="00995929" w:rsidRPr="00D91A77">
        <w:rPr>
          <w:rFonts w:ascii="Open Sans" w:hAnsi="Open Sans" w:cs="Open Sans"/>
        </w:rPr>
        <w:t xml:space="preserve"> been integrated into the UK ETS.</w:t>
      </w:r>
      <w:r w:rsidR="00D34985" w:rsidRPr="00D91A77">
        <w:rPr>
          <w:rFonts w:ascii="Open Sans" w:hAnsi="Open Sans" w:cs="Open Sans"/>
        </w:rPr>
        <w:t xml:space="preserve"> </w:t>
      </w:r>
      <w:r w:rsidR="00010F8B" w:rsidRPr="00D91A77">
        <w:rPr>
          <w:rFonts w:ascii="Open Sans" w:hAnsi="Open Sans" w:cs="Open Sans"/>
        </w:rPr>
        <w:t xml:space="preserve">Ensuring there is a clear plan of transition between option </w:t>
      </w:r>
      <w:r w:rsidR="00BD1644">
        <w:rPr>
          <w:rFonts w:ascii="Open Sans" w:hAnsi="Open Sans" w:cs="Open Sans"/>
        </w:rPr>
        <w:t>two</w:t>
      </w:r>
      <w:r w:rsidR="00010F8B" w:rsidRPr="00D91A77">
        <w:rPr>
          <w:rFonts w:ascii="Open Sans" w:hAnsi="Open Sans" w:cs="Open Sans"/>
        </w:rPr>
        <w:t xml:space="preserve"> and </w:t>
      </w:r>
      <w:r w:rsidR="00BD1644">
        <w:rPr>
          <w:rFonts w:ascii="Open Sans" w:hAnsi="Open Sans" w:cs="Open Sans"/>
        </w:rPr>
        <w:t>three</w:t>
      </w:r>
      <w:r w:rsidR="00010F8B" w:rsidRPr="00D91A77">
        <w:rPr>
          <w:rFonts w:ascii="Open Sans" w:hAnsi="Open Sans" w:cs="Open Sans"/>
        </w:rPr>
        <w:t xml:space="preserve"> (if that is the chosen option in future) </w:t>
      </w:r>
      <w:r w:rsidR="00F17A96" w:rsidRPr="00D91A77">
        <w:rPr>
          <w:rFonts w:ascii="Open Sans" w:hAnsi="Open Sans" w:cs="Open Sans"/>
        </w:rPr>
        <w:t xml:space="preserve">will also help build confidence in both current and future market design. </w:t>
      </w:r>
    </w:p>
    <w:p w14:paraId="55CDE540" w14:textId="77777777" w:rsidR="00F501FD" w:rsidRPr="00D91A77" w:rsidRDefault="00F501FD" w:rsidP="00C558AA">
      <w:pPr>
        <w:rPr>
          <w:rFonts w:ascii="Open Sans" w:hAnsi="Open Sans" w:cs="Open Sans"/>
        </w:rPr>
      </w:pPr>
    </w:p>
    <w:p w14:paraId="03065DB4" w14:textId="4AC17530" w:rsidR="00637A18" w:rsidRPr="00D91A77" w:rsidRDefault="001301C6" w:rsidP="00C558AA">
      <w:pPr>
        <w:rPr>
          <w:rFonts w:ascii="Open Sans" w:hAnsi="Open Sans" w:cs="Open Sans"/>
        </w:rPr>
      </w:pPr>
      <w:r w:rsidRPr="00D91A77">
        <w:rPr>
          <w:rFonts w:ascii="Open Sans" w:hAnsi="Open Sans" w:cs="Open Sans"/>
        </w:rPr>
        <w:t>In addition, and as set</w:t>
      </w:r>
      <w:r w:rsidR="00F538FE" w:rsidRPr="00D91A77">
        <w:rPr>
          <w:rFonts w:ascii="Open Sans" w:hAnsi="Open Sans" w:cs="Open Sans"/>
        </w:rPr>
        <w:t xml:space="preserve"> out in response to question 1, </w:t>
      </w:r>
      <w:r w:rsidR="00B6378D" w:rsidRPr="00D91A77">
        <w:rPr>
          <w:rFonts w:ascii="Open Sans" w:hAnsi="Open Sans" w:cs="Open Sans"/>
        </w:rPr>
        <w:t xml:space="preserve">initial integration of GGRs into the UK ETS </w:t>
      </w:r>
      <w:r w:rsidR="007C00D8" w:rsidRPr="00D91A77">
        <w:rPr>
          <w:rFonts w:ascii="Open Sans" w:hAnsi="Open Sans" w:cs="Open Sans"/>
        </w:rPr>
        <w:t xml:space="preserve">must align </w:t>
      </w:r>
      <w:r w:rsidR="00B6378D" w:rsidRPr="00D91A77">
        <w:rPr>
          <w:rFonts w:ascii="Open Sans" w:hAnsi="Open Sans" w:cs="Open Sans"/>
        </w:rPr>
        <w:t xml:space="preserve">with the design of the </w:t>
      </w:r>
      <w:r w:rsidR="00860E26" w:rsidRPr="00D91A77">
        <w:rPr>
          <w:rFonts w:ascii="Open Sans" w:hAnsi="Open Sans" w:cs="Open Sans"/>
        </w:rPr>
        <w:t>GGR, Power</w:t>
      </w:r>
      <w:r w:rsidR="00B6378D" w:rsidRPr="00D91A77">
        <w:rPr>
          <w:rFonts w:ascii="Open Sans" w:hAnsi="Open Sans" w:cs="Open Sans"/>
        </w:rPr>
        <w:t xml:space="preserve"> BECCS</w:t>
      </w:r>
      <w:r w:rsidR="00FA1077" w:rsidRPr="00D91A77">
        <w:rPr>
          <w:rFonts w:ascii="Open Sans" w:hAnsi="Open Sans" w:cs="Open Sans"/>
        </w:rPr>
        <w:t xml:space="preserve">, </w:t>
      </w:r>
      <w:r w:rsidR="00C72096" w:rsidRPr="00D91A77">
        <w:rPr>
          <w:rFonts w:ascii="Open Sans" w:hAnsi="Open Sans" w:cs="Open Sans"/>
        </w:rPr>
        <w:t>ICC,</w:t>
      </w:r>
      <w:r w:rsidR="00FA1077" w:rsidRPr="00D91A77">
        <w:rPr>
          <w:rFonts w:ascii="Open Sans" w:hAnsi="Open Sans" w:cs="Open Sans"/>
        </w:rPr>
        <w:t xml:space="preserve"> and </w:t>
      </w:r>
      <w:r w:rsidR="00E12AC8" w:rsidRPr="00D91A77">
        <w:rPr>
          <w:rFonts w:ascii="Open Sans" w:hAnsi="Open Sans" w:cs="Open Sans"/>
        </w:rPr>
        <w:t>hydrogen</w:t>
      </w:r>
      <w:r w:rsidR="00B6378D" w:rsidRPr="00D91A77">
        <w:rPr>
          <w:rFonts w:ascii="Open Sans" w:hAnsi="Open Sans" w:cs="Open Sans"/>
        </w:rPr>
        <w:t xml:space="preserve"> </w:t>
      </w:r>
      <w:r w:rsidR="007C00D8" w:rsidRPr="00D91A77">
        <w:rPr>
          <w:rFonts w:ascii="Open Sans" w:hAnsi="Open Sans" w:cs="Open Sans"/>
        </w:rPr>
        <w:t>b</w:t>
      </w:r>
      <w:r w:rsidR="00B6378D" w:rsidRPr="00D91A77">
        <w:rPr>
          <w:rFonts w:ascii="Open Sans" w:hAnsi="Open Sans" w:cs="Open Sans"/>
        </w:rPr>
        <w:t xml:space="preserve">usiness </w:t>
      </w:r>
      <w:r w:rsidR="007C00D8" w:rsidRPr="00D91A77">
        <w:rPr>
          <w:rFonts w:ascii="Open Sans" w:hAnsi="Open Sans" w:cs="Open Sans"/>
        </w:rPr>
        <w:t>mo</w:t>
      </w:r>
      <w:r w:rsidR="00B6378D" w:rsidRPr="00D91A77">
        <w:rPr>
          <w:rFonts w:ascii="Open Sans" w:hAnsi="Open Sans" w:cs="Open Sans"/>
        </w:rPr>
        <w:t>del</w:t>
      </w:r>
      <w:r w:rsidR="007C00D8" w:rsidRPr="00D91A77">
        <w:rPr>
          <w:rFonts w:ascii="Open Sans" w:hAnsi="Open Sans" w:cs="Open Sans"/>
        </w:rPr>
        <w:t>s</w:t>
      </w:r>
      <w:r w:rsidR="00B6378D" w:rsidRPr="00D91A77">
        <w:rPr>
          <w:rFonts w:ascii="Open Sans" w:hAnsi="Open Sans" w:cs="Open Sans"/>
        </w:rPr>
        <w:t>. Developing the right structures to ensure the efficient functioning of interrelated market mechanisms is crucial to support the investment and development of large-scale GGR projects</w:t>
      </w:r>
      <w:r w:rsidR="00637A18" w:rsidRPr="00D91A77">
        <w:rPr>
          <w:rFonts w:ascii="Open Sans" w:hAnsi="Open Sans" w:cs="Open Sans"/>
        </w:rPr>
        <w:t xml:space="preserve">. </w:t>
      </w:r>
    </w:p>
    <w:p w14:paraId="4A3BAF46" w14:textId="77777777" w:rsidR="00637A18" w:rsidRPr="00D91A77" w:rsidRDefault="00637A18" w:rsidP="00C558AA">
      <w:pPr>
        <w:rPr>
          <w:rFonts w:ascii="Open Sans" w:hAnsi="Open Sans" w:cs="Open Sans"/>
        </w:rPr>
      </w:pPr>
    </w:p>
    <w:p w14:paraId="3F957D08" w14:textId="60547E95" w:rsidR="00C558AA" w:rsidRPr="00D91A77" w:rsidRDefault="00637A18" w:rsidP="00C558AA">
      <w:pPr>
        <w:rPr>
          <w:rFonts w:ascii="Open Sans" w:hAnsi="Open Sans" w:cs="Open Sans"/>
        </w:rPr>
      </w:pPr>
      <w:r w:rsidRPr="00D91A77">
        <w:rPr>
          <w:rFonts w:ascii="Open Sans" w:hAnsi="Open Sans" w:cs="Open Sans"/>
        </w:rPr>
        <w:lastRenderedPageBreak/>
        <w:t>Similarly, w</w:t>
      </w:r>
      <w:r w:rsidR="003035B0" w:rsidRPr="00D91A77">
        <w:rPr>
          <w:rFonts w:ascii="Open Sans" w:hAnsi="Open Sans" w:cs="Open Sans"/>
        </w:rPr>
        <w:t>e believe careful integration with the VCM would help to create more competition</w:t>
      </w:r>
      <w:r w:rsidR="00AA6F4D" w:rsidRPr="00D91A77">
        <w:rPr>
          <w:rFonts w:ascii="Open Sans" w:hAnsi="Open Sans" w:cs="Open Sans"/>
        </w:rPr>
        <w:t xml:space="preserve"> and</w:t>
      </w:r>
      <w:r w:rsidR="003035B0" w:rsidRPr="00D91A77">
        <w:rPr>
          <w:rFonts w:ascii="Open Sans" w:hAnsi="Open Sans" w:cs="Open Sans"/>
        </w:rPr>
        <w:t xml:space="preserve"> encourage more international trading opportunitie</w:t>
      </w:r>
      <w:r w:rsidR="00AA6F4D" w:rsidRPr="00D91A77">
        <w:rPr>
          <w:rFonts w:ascii="Open Sans" w:hAnsi="Open Sans" w:cs="Open Sans"/>
        </w:rPr>
        <w:t>s. However, we recognise the</w:t>
      </w:r>
      <w:r w:rsidR="00474D5C" w:rsidRPr="00D91A77">
        <w:rPr>
          <w:rFonts w:ascii="Open Sans" w:hAnsi="Open Sans" w:cs="Open Sans"/>
        </w:rPr>
        <w:t>re will be a large number of non-obligated parties wishing to buy</w:t>
      </w:r>
      <w:r w:rsidR="00275299" w:rsidRPr="00D91A77">
        <w:rPr>
          <w:rFonts w:ascii="Open Sans" w:hAnsi="Open Sans" w:cs="Open Sans"/>
        </w:rPr>
        <w:t xml:space="preserve"> carbon removals so integration must be done carefully, to ensure there is no double counting of GGRs</w:t>
      </w:r>
      <w:r w:rsidR="00F46E9F" w:rsidRPr="00D91A77">
        <w:rPr>
          <w:rFonts w:ascii="Open Sans" w:hAnsi="Open Sans" w:cs="Open Sans"/>
        </w:rPr>
        <w:t xml:space="preserve"> and </w:t>
      </w:r>
      <w:r w:rsidR="00C72096" w:rsidRPr="00D91A77">
        <w:rPr>
          <w:rFonts w:ascii="Open Sans" w:hAnsi="Open Sans" w:cs="Open Sans"/>
        </w:rPr>
        <w:t>does not</w:t>
      </w:r>
      <w:r w:rsidR="00F46E9F" w:rsidRPr="00D91A77">
        <w:rPr>
          <w:rFonts w:ascii="Open Sans" w:hAnsi="Open Sans" w:cs="Open Sans"/>
        </w:rPr>
        <w:t xml:space="preserve"> undermine the ability of obligated parties to meet their obligations</w:t>
      </w:r>
      <w:r w:rsidR="00275299" w:rsidRPr="00D91A77">
        <w:rPr>
          <w:rFonts w:ascii="Open Sans" w:hAnsi="Open Sans" w:cs="Open Sans"/>
        </w:rPr>
        <w:t xml:space="preserve">. </w:t>
      </w:r>
      <w:r w:rsidR="00C558AA" w:rsidRPr="00D91A77">
        <w:rPr>
          <w:rFonts w:ascii="Open Sans" w:hAnsi="Open Sans" w:cs="Open Sans"/>
        </w:rPr>
        <w:t xml:space="preserve">In recent years, several standards </w:t>
      </w:r>
      <w:r w:rsidR="004E16B7" w:rsidRPr="00D91A77">
        <w:rPr>
          <w:rFonts w:ascii="Open Sans" w:hAnsi="Open Sans" w:cs="Open Sans"/>
        </w:rPr>
        <w:t>for the</w:t>
      </w:r>
      <w:r w:rsidR="00C558AA" w:rsidRPr="00D91A77">
        <w:rPr>
          <w:rFonts w:ascii="Open Sans" w:hAnsi="Open Sans" w:cs="Open Sans"/>
        </w:rPr>
        <w:t xml:space="preserve"> verification of carbon removals within the voluntary carbon market</w:t>
      </w:r>
      <w:r w:rsidR="004E16B7" w:rsidRPr="00D91A77">
        <w:rPr>
          <w:rFonts w:ascii="Open Sans" w:hAnsi="Open Sans" w:cs="Open Sans"/>
        </w:rPr>
        <w:t xml:space="preserve"> have developed</w:t>
      </w:r>
      <w:r w:rsidR="00C558AA" w:rsidRPr="00D91A77">
        <w:rPr>
          <w:rFonts w:ascii="Open Sans" w:hAnsi="Open Sans" w:cs="Open Sans"/>
        </w:rPr>
        <w:t>. For the most part these are set by recognised and independent carbon credit standards setters such as the Gold Standard, CCS+ and Verra. This includes the development of MRV protocols for these markets</w:t>
      </w:r>
      <w:r w:rsidR="00C72096" w:rsidRPr="00D91A77">
        <w:rPr>
          <w:rFonts w:ascii="Open Sans" w:hAnsi="Open Sans" w:cs="Open Sans"/>
        </w:rPr>
        <w:t xml:space="preserve">. </w:t>
      </w:r>
    </w:p>
    <w:p w14:paraId="64EA6CAD" w14:textId="77777777" w:rsidR="00C558AA" w:rsidRPr="00D91A77" w:rsidRDefault="00C558AA" w:rsidP="00C558AA">
      <w:pPr>
        <w:rPr>
          <w:rFonts w:ascii="Open Sans" w:hAnsi="Open Sans" w:cs="Open Sans"/>
        </w:rPr>
      </w:pPr>
    </w:p>
    <w:p w14:paraId="105821B6" w14:textId="54DE3409" w:rsidR="00C558AA" w:rsidRPr="00D91A77" w:rsidRDefault="00C558AA" w:rsidP="00C558AA">
      <w:pPr>
        <w:rPr>
          <w:rFonts w:ascii="Open Sans" w:hAnsi="Open Sans" w:cs="Open Sans"/>
        </w:rPr>
      </w:pPr>
      <w:r w:rsidRPr="00D91A77">
        <w:rPr>
          <w:rFonts w:ascii="Open Sans" w:hAnsi="Open Sans" w:cs="Open Sans"/>
        </w:rPr>
        <w:t>Th</w:t>
      </w:r>
      <w:r w:rsidR="00256324" w:rsidRPr="00D91A77">
        <w:rPr>
          <w:rFonts w:ascii="Open Sans" w:hAnsi="Open Sans" w:cs="Open Sans"/>
        </w:rPr>
        <w:t>is work has provided a useful starter for ten</w:t>
      </w:r>
      <w:r w:rsidR="00D279ED" w:rsidRPr="00D91A77">
        <w:rPr>
          <w:rFonts w:ascii="Open Sans" w:hAnsi="Open Sans" w:cs="Open Sans"/>
        </w:rPr>
        <w:t xml:space="preserve"> for the UK ETS. </w:t>
      </w:r>
      <w:r w:rsidRPr="00D91A77">
        <w:rPr>
          <w:rFonts w:ascii="Open Sans" w:hAnsi="Open Sans" w:cs="Open Sans"/>
        </w:rPr>
        <w:t xml:space="preserve">However, </w:t>
      </w:r>
      <w:r w:rsidR="00D279ED" w:rsidRPr="00D91A77">
        <w:rPr>
          <w:rFonts w:ascii="Open Sans" w:hAnsi="Open Sans" w:cs="Open Sans"/>
        </w:rPr>
        <w:t xml:space="preserve">as </w:t>
      </w:r>
      <w:r w:rsidRPr="00D91A77">
        <w:rPr>
          <w:rFonts w:ascii="Open Sans" w:hAnsi="Open Sans" w:cs="Open Sans"/>
        </w:rPr>
        <w:t xml:space="preserve">a government backed mechanism, it is essential that GGR methodologies used </w:t>
      </w:r>
      <w:r w:rsidR="00D279ED" w:rsidRPr="00D91A77">
        <w:rPr>
          <w:rFonts w:ascii="Open Sans" w:hAnsi="Open Sans" w:cs="Open Sans"/>
        </w:rPr>
        <w:t xml:space="preserve">in the UK ETS </w:t>
      </w:r>
      <w:r w:rsidRPr="00D91A77">
        <w:rPr>
          <w:rFonts w:ascii="Open Sans" w:hAnsi="Open Sans" w:cs="Open Sans"/>
        </w:rPr>
        <w:t xml:space="preserve">are both rigorous and appropriate to the sector they are serving. </w:t>
      </w:r>
      <w:r w:rsidR="006C6FE2" w:rsidRPr="00D91A77">
        <w:rPr>
          <w:rFonts w:ascii="Open Sans" w:hAnsi="Open Sans" w:cs="Open Sans"/>
        </w:rPr>
        <w:t>W</w:t>
      </w:r>
      <w:r w:rsidRPr="00D91A77">
        <w:rPr>
          <w:rFonts w:ascii="Open Sans" w:hAnsi="Open Sans" w:cs="Open Sans"/>
        </w:rPr>
        <w:t xml:space="preserve">hat is set out by Government will also influence </w:t>
      </w:r>
      <w:r w:rsidR="00516DFF" w:rsidRPr="00D91A77">
        <w:rPr>
          <w:rFonts w:ascii="Open Sans" w:hAnsi="Open Sans" w:cs="Open Sans"/>
        </w:rPr>
        <w:t>and provide</w:t>
      </w:r>
      <w:r w:rsidRPr="00D91A77">
        <w:rPr>
          <w:rFonts w:ascii="Open Sans" w:hAnsi="Open Sans" w:cs="Open Sans"/>
        </w:rPr>
        <w:t xml:space="preserve"> greater rigour to the voluntary market, </w:t>
      </w:r>
      <w:r w:rsidR="006C6FE2" w:rsidRPr="00D91A77">
        <w:rPr>
          <w:rFonts w:ascii="Open Sans" w:hAnsi="Open Sans" w:cs="Open Sans"/>
        </w:rPr>
        <w:t xml:space="preserve">setting the benchmark for </w:t>
      </w:r>
      <w:r w:rsidR="00582700" w:rsidRPr="00D91A77">
        <w:rPr>
          <w:rFonts w:ascii="Open Sans" w:hAnsi="Open Sans" w:cs="Open Sans"/>
        </w:rPr>
        <w:t xml:space="preserve">standards </w:t>
      </w:r>
      <w:r w:rsidRPr="00D91A77">
        <w:rPr>
          <w:rFonts w:ascii="Open Sans" w:hAnsi="Open Sans" w:cs="Open Sans"/>
        </w:rPr>
        <w:t xml:space="preserve">in the UK and likely influencing the development of </w:t>
      </w:r>
      <w:r w:rsidR="00582700" w:rsidRPr="00D91A77">
        <w:rPr>
          <w:rFonts w:ascii="Open Sans" w:hAnsi="Open Sans" w:cs="Open Sans"/>
        </w:rPr>
        <w:t>international</w:t>
      </w:r>
      <w:r w:rsidRPr="00D91A77">
        <w:rPr>
          <w:rFonts w:ascii="Open Sans" w:hAnsi="Open Sans" w:cs="Open Sans"/>
        </w:rPr>
        <w:t xml:space="preserve"> GGR markets. </w:t>
      </w:r>
    </w:p>
    <w:p w14:paraId="2011F612" w14:textId="77777777" w:rsidR="00C558AA" w:rsidRPr="00D91A77" w:rsidRDefault="00C558AA" w:rsidP="00C558AA">
      <w:pPr>
        <w:rPr>
          <w:rFonts w:ascii="Open Sans" w:hAnsi="Open Sans" w:cs="Open Sans"/>
        </w:rPr>
      </w:pPr>
    </w:p>
    <w:p w14:paraId="626F0521" w14:textId="584996C1" w:rsidR="00F538FE" w:rsidRDefault="00F9040F" w:rsidP="00C558AA">
      <w:pPr>
        <w:rPr>
          <w:rFonts w:ascii="Open Sans" w:hAnsi="Open Sans" w:cs="Open Sans"/>
        </w:rPr>
      </w:pPr>
      <w:r w:rsidRPr="00D91A77">
        <w:rPr>
          <w:rFonts w:ascii="Open Sans" w:hAnsi="Open Sans" w:cs="Open Sans"/>
        </w:rPr>
        <w:t xml:space="preserve">As such, creating </w:t>
      </w:r>
      <w:r w:rsidR="00C558AA" w:rsidRPr="00D91A77">
        <w:rPr>
          <w:rFonts w:ascii="Open Sans" w:hAnsi="Open Sans" w:cs="Open Sans"/>
        </w:rPr>
        <w:t>opportunities for UK ETS market participants to interact with the voluntary market</w:t>
      </w:r>
      <w:r w:rsidR="00286C38" w:rsidRPr="00D91A77">
        <w:rPr>
          <w:rFonts w:ascii="Open Sans" w:hAnsi="Open Sans" w:cs="Open Sans"/>
        </w:rPr>
        <w:t xml:space="preserve"> is critical</w:t>
      </w:r>
      <w:r w:rsidR="00C558AA" w:rsidRPr="00D91A77">
        <w:rPr>
          <w:rFonts w:ascii="Open Sans" w:hAnsi="Open Sans" w:cs="Open Sans"/>
        </w:rPr>
        <w:t xml:space="preserve">. </w:t>
      </w:r>
      <w:r w:rsidR="00286C38" w:rsidRPr="00D91A77">
        <w:rPr>
          <w:rFonts w:ascii="Open Sans" w:hAnsi="Open Sans" w:cs="Open Sans"/>
        </w:rPr>
        <w:t>However, t</w:t>
      </w:r>
      <w:r w:rsidR="00C558AA" w:rsidRPr="00D91A77">
        <w:rPr>
          <w:rFonts w:ascii="Open Sans" w:hAnsi="Open Sans" w:cs="Open Sans"/>
        </w:rPr>
        <w:t xml:space="preserve">his will need careful accounting and likely require the establishment of suitable registers of credits to ensure that there is no double counting between markets. The design of GGRs within the UK ETS should set the expectation from the start that in the medium to long term it aims to interact with other GGR markets. </w:t>
      </w:r>
    </w:p>
    <w:p w14:paraId="42BAA706" w14:textId="5B2A75E3" w:rsidR="00F90867" w:rsidRPr="00F90867" w:rsidRDefault="00F90867" w:rsidP="00F90867">
      <w:pPr>
        <w:pStyle w:val="Heading1"/>
        <w:rPr>
          <w:rFonts w:ascii="Open Sans" w:hAnsi="Open Sans" w:cs="Open Sans"/>
          <w:sz w:val="24"/>
          <w:szCs w:val="24"/>
        </w:rPr>
      </w:pPr>
      <w:bookmarkStart w:id="2" w:name="_Allowance_design_for"/>
      <w:bookmarkEnd w:id="2"/>
      <w:r w:rsidRPr="00F90867">
        <w:rPr>
          <w:rFonts w:ascii="Open Sans" w:hAnsi="Open Sans" w:cs="Open Sans"/>
          <w:sz w:val="24"/>
          <w:szCs w:val="24"/>
        </w:rPr>
        <w:t xml:space="preserve">Allowance design for GGRs </w:t>
      </w:r>
    </w:p>
    <w:p w14:paraId="5C3B0E23" w14:textId="77777777" w:rsidR="00062CA2" w:rsidRPr="00D91A77" w:rsidRDefault="00062CA2" w:rsidP="00F538FE">
      <w:pPr>
        <w:rPr>
          <w:rFonts w:ascii="Open Sans" w:hAnsi="Open Sans" w:cs="Open Sans"/>
        </w:rPr>
      </w:pPr>
    </w:p>
    <w:p w14:paraId="18F49330" w14:textId="1AD04721" w:rsidR="00C67D06" w:rsidRPr="00D91A77" w:rsidRDefault="00BD1FA9" w:rsidP="00C67D06">
      <w:pPr>
        <w:pStyle w:val="ListParagraph"/>
        <w:numPr>
          <w:ilvl w:val="0"/>
          <w:numId w:val="38"/>
        </w:numPr>
        <w:rPr>
          <w:rFonts w:ascii="Open Sans" w:hAnsi="Open Sans" w:cs="Open Sans"/>
          <w:b/>
          <w:bCs/>
        </w:rPr>
      </w:pPr>
      <w:r w:rsidRPr="00D91A77">
        <w:rPr>
          <w:rFonts w:ascii="Open Sans" w:hAnsi="Open Sans" w:cs="Open Sans"/>
          <w:b/>
          <w:bCs/>
        </w:rPr>
        <w:t>Do you agree that GGR allowances in the UK ETS should be issued ex-post (i.e. after the removal has taken place and been verified)? Please explain your answer.</w:t>
      </w:r>
    </w:p>
    <w:p w14:paraId="5965BD7F" w14:textId="2572663E" w:rsidR="00C67D06" w:rsidRPr="00D91A77" w:rsidRDefault="00C67D06" w:rsidP="00C67D06">
      <w:pPr>
        <w:rPr>
          <w:rFonts w:ascii="Open Sans" w:hAnsi="Open Sans" w:cs="Open Sans"/>
          <w:b/>
          <w:bCs/>
        </w:rPr>
      </w:pPr>
    </w:p>
    <w:p w14:paraId="2E39D284" w14:textId="199FD622" w:rsidR="00C67D06" w:rsidRPr="00D91A77" w:rsidRDefault="002A5181" w:rsidP="00C67D06">
      <w:pPr>
        <w:rPr>
          <w:rFonts w:ascii="Open Sans" w:hAnsi="Open Sans" w:cs="Open Sans"/>
        </w:rPr>
      </w:pPr>
      <w:r w:rsidRPr="00D91A77">
        <w:rPr>
          <w:rFonts w:ascii="Open Sans" w:hAnsi="Open Sans" w:cs="Open Sans"/>
        </w:rPr>
        <w:t xml:space="preserve">Yes. </w:t>
      </w:r>
      <w:r w:rsidR="00C67D06" w:rsidRPr="00D91A77">
        <w:rPr>
          <w:rFonts w:ascii="Open Sans" w:hAnsi="Open Sans" w:cs="Open Sans"/>
        </w:rPr>
        <w:t>We agree with the government position that ex-post is preferrable, particularly as</w:t>
      </w:r>
      <w:r w:rsidR="00673F5B" w:rsidRPr="00D91A77">
        <w:rPr>
          <w:rFonts w:ascii="Open Sans" w:hAnsi="Open Sans" w:cs="Open Sans"/>
        </w:rPr>
        <w:t xml:space="preserve"> this will</w:t>
      </w:r>
      <w:r w:rsidR="00C67D06" w:rsidRPr="00D91A77">
        <w:rPr>
          <w:rFonts w:ascii="Open Sans" w:hAnsi="Open Sans" w:cs="Open Sans"/>
        </w:rPr>
        <w:t xml:space="preserve"> build confidence in the market and </w:t>
      </w:r>
      <w:r w:rsidR="005C3374" w:rsidRPr="00D91A77">
        <w:rPr>
          <w:rFonts w:ascii="Open Sans" w:hAnsi="Open Sans" w:cs="Open Sans"/>
        </w:rPr>
        <w:t>provid</w:t>
      </w:r>
      <w:r w:rsidR="00673F5B" w:rsidRPr="00D91A77">
        <w:rPr>
          <w:rFonts w:ascii="Open Sans" w:hAnsi="Open Sans" w:cs="Open Sans"/>
        </w:rPr>
        <w:t>e</w:t>
      </w:r>
      <w:r w:rsidR="005C3374" w:rsidRPr="00D91A77">
        <w:rPr>
          <w:rFonts w:ascii="Open Sans" w:hAnsi="Open Sans" w:cs="Open Sans"/>
        </w:rPr>
        <w:t xml:space="preserve"> transparency to consumers</w:t>
      </w:r>
      <w:r w:rsidR="00673F5B" w:rsidRPr="00D91A77">
        <w:rPr>
          <w:rFonts w:ascii="Open Sans" w:hAnsi="Open Sans" w:cs="Open Sans"/>
        </w:rPr>
        <w:t xml:space="preserve">, which </w:t>
      </w:r>
      <w:r w:rsidR="005C3374" w:rsidRPr="00D91A77">
        <w:rPr>
          <w:rFonts w:ascii="Open Sans" w:hAnsi="Open Sans" w:cs="Open Sans"/>
        </w:rPr>
        <w:t xml:space="preserve">is critical if we are to integrate GGRs successfully and </w:t>
      </w:r>
      <w:r w:rsidR="00673F5B" w:rsidRPr="00D91A77">
        <w:rPr>
          <w:rFonts w:ascii="Open Sans" w:hAnsi="Open Sans" w:cs="Open Sans"/>
        </w:rPr>
        <w:t>develop the market</w:t>
      </w:r>
      <w:r w:rsidR="005C3374" w:rsidRPr="00D91A77">
        <w:rPr>
          <w:rFonts w:ascii="Open Sans" w:hAnsi="Open Sans" w:cs="Open Sans"/>
        </w:rPr>
        <w:t>.</w:t>
      </w:r>
      <w:r w:rsidR="003C4506" w:rsidRPr="00D91A77">
        <w:rPr>
          <w:rFonts w:ascii="Open Sans" w:hAnsi="Open Sans" w:cs="Open Sans"/>
        </w:rPr>
        <w:t xml:space="preserve"> </w:t>
      </w:r>
      <w:r w:rsidR="004A6313" w:rsidRPr="00D91A77">
        <w:rPr>
          <w:rFonts w:ascii="Open Sans" w:hAnsi="Open Sans" w:cs="Open Sans"/>
        </w:rPr>
        <w:t>We also agree that</w:t>
      </w:r>
      <w:r w:rsidR="00DE7AF2" w:rsidRPr="00D91A77">
        <w:rPr>
          <w:rFonts w:ascii="Open Sans" w:hAnsi="Open Sans" w:cs="Open Sans"/>
        </w:rPr>
        <w:t xml:space="preserve"> being able to verify the </w:t>
      </w:r>
      <w:r w:rsidR="009B09F7" w:rsidRPr="00D91A77">
        <w:rPr>
          <w:rFonts w:ascii="Open Sans" w:hAnsi="Open Sans" w:cs="Open Sans"/>
        </w:rPr>
        <w:t>removal</w:t>
      </w:r>
      <w:r w:rsidR="0071052C" w:rsidRPr="00D91A77">
        <w:rPr>
          <w:rFonts w:ascii="Open Sans" w:hAnsi="Open Sans" w:cs="Open Sans"/>
        </w:rPr>
        <w:t xml:space="preserve"> or reduction has happened is more environmentally robust. </w:t>
      </w:r>
    </w:p>
    <w:p w14:paraId="58A1FC81" w14:textId="77777777" w:rsidR="00BF0B48" w:rsidRPr="00D91A77" w:rsidRDefault="00BF0B48" w:rsidP="00C67D06">
      <w:pPr>
        <w:rPr>
          <w:rFonts w:ascii="Open Sans" w:hAnsi="Open Sans" w:cs="Open Sans"/>
        </w:rPr>
      </w:pPr>
    </w:p>
    <w:p w14:paraId="7162A07B" w14:textId="704A275D" w:rsidR="00BF0B48" w:rsidRPr="00D91A77" w:rsidRDefault="00EF1732" w:rsidP="00C67D06">
      <w:pPr>
        <w:rPr>
          <w:rFonts w:ascii="Open Sans" w:hAnsi="Open Sans" w:cs="Open Sans"/>
        </w:rPr>
      </w:pPr>
      <w:r w:rsidRPr="00D91A77">
        <w:rPr>
          <w:rFonts w:ascii="Open Sans" w:hAnsi="Open Sans" w:cs="Open Sans"/>
        </w:rPr>
        <w:t xml:space="preserve">However, </w:t>
      </w:r>
      <w:r w:rsidR="00E02CCB" w:rsidRPr="00D91A77">
        <w:rPr>
          <w:rFonts w:ascii="Open Sans" w:hAnsi="Open Sans" w:cs="Open Sans"/>
        </w:rPr>
        <w:t xml:space="preserve">it is likely that future </w:t>
      </w:r>
      <w:r w:rsidR="00E10411" w:rsidRPr="00D91A77">
        <w:rPr>
          <w:rFonts w:ascii="Open Sans" w:hAnsi="Open Sans" w:cs="Open Sans"/>
        </w:rPr>
        <w:t xml:space="preserve">GGR projects </w:t>
      </w:r>
      <w:r w:rsidR="00B80E32" w:rsidRPr="00D91A77">
        <w:rPr>
          <w:rFonts w:ascii="Open Sans" w:hAnsi="Open Sans" w:cs="Open Sans"/>
        </w:rPr>
        <w:t xml:space="preserve">will have long-term contracts </w:t>
      </w:r>
      <w:r w:rsidR="0011276A">
        <w:rPr>
          <w:rFonts w:ascii="Open Sans" w:hAnsi="Open Sans" w:cs="Open Sans"/>
        </w:rPr>
        <w:t xml:space="preserve">with </w:t>
      </w:r>
      <w:r w:rsidR="00894E6F" w:rsidRPr="00D91A77">
        <w:rPr>
          <w:rFonts w:ascii="Open Sans" w:hAnsi="Open Sans" w:cs="Open Sans"/>
        </w:rPr>
        <w:t xml:space="preserve">purchasers </w:t>
      </w:r>
      <w:r w:rsidR="00D14E3C" w:rsidRPr="00D91A77">
        <w:rPr>
          <w:rFonts w:ascii="Open Sans" w:hAnsi="Open Sans" w:cs="Open Sans"/>
        </w:rPr>
        <w:t xml:space="preserve">at a specified GGR price. The ex-post approach does therefore introduce some risk </w:t>
      </w:r>
      <w:r w:rsidR="003A7138" w:rsidRPr="00D91A77">
        <w:rPr>
          <w:rFonts w:ascii="Open Sans" w:hAnsi="Open Sans" w:cs="Open Sans"/>
        </w:rPr>
        <w:t>for developers</w:t>
      </w:r>
      <w:r w:rsidR="00A71C7A" w:rsidRPr="00D91A77">
        <w:rPr>
          <w:rFonts w:ascii="Open Sans" w:hAnsi="Open Sans" w:cs="Open Sans"/>
        </w:rPr>
        <w:t xml:space="preserve">, should their GGRs be </w:t>
      </w:r>
      <w:r w:rsidR="004433F7" w:rsidRPr="00D91A77">
        <w:rPr>
          <w:rFonts w:ascii="Open Sans" w:hAnsi="Open Sans" w:cs="Open Sans"/>
        </w:rPr>
        <w:t xml:space="preserve">later </w:t>
      </w:r>
      <w:r w:rsidR="00A71C7A" w:rsidRPr="00D91A77">
        <w:rPr>
          <w:rFonts w:ascii="Open Sans" w:hAnsi="Open Sans" w:cs="Open Sans"/>
        </w:rPr>
        <w:t xml:space="preserve">deemed </w:t>
      </w:r>
      <w:r w:rsidR="004433F7" w:rsidRPr="00D91A77">
        <w:rPr>
          <w:rFonts w:ascii="Open Sans" w:hAnsi="Open Sans" w:cs="Open Sans"/>
        </w:rPr>
        <w:t>in</w:t>
      </w:r>
      <w:r w:rsidR="00A71C7A" w:rsidRPr="00D91A77">
        <w:rPr>
          <w:rFonts w:ascii="Open Sans" w:hAnsi="Open Sans" w:cs="Open Sans"/>
        </w:rPr>
        <w:t>eligible for inclusion in the UK ETS</w:t>
      </w:r>
      <w:r w:rsidR="004433F7" w:rsidRPr="00D91A77">
        <w:rPr>
          <w:rFonts w:ascii="Open Sans" w:hAnsi="Open Sans" w:cs="Open Sans"/>
        </w:rPr>
        <w:t>. This risk will need to be carefully considered in contracts</w:t>
      </w:r>
      <w:r w:rsidRPr="00D91A77">
        <w:rPr>
          <w:rFonts w:ascii="Open Sans" w:hAnsi="Open Sans" w:cs="Open Sans"/>
        </w:rPr>
        <w:t>. O</w:t>
      </w:r>
      <w:r w:rsidR="00FB2287" w:rsidRPr="00D91A77">
        <w:rPr>
          <w:rFonts w:ascii="Open Sans" w:hAnsi="Open Sans" w:cs="Open Sans"/>
        </w:rPr>
        <w:t>ne option might be to guarantee eligibility criteria and standards for a</w:t>
      </w:r>
      <w:r w:rsidR="0020114D" w:rsidRPr="00D91A77">
        <w:rPr>
          <w:rFonts w:ascii="Open Sans" w:hAnsi="Open Sans" w:cs="Open Sans"/>
        </w:rPr>
        <w:t>n appropriate duration, to allow developers t</w:t>
      </w:r>
      <w:r w:rsidR="001C0D5B" w:rsidRPr="00D91A77">
        <w:rPr>
          <w:rFonts w:ascii="Open Sans" w:hAnsi="Open Sans" w:cs="Open Sans"/>
        </w:rPr>
        <w:t>o sell their GGRs and give them time to transition should any changes be introduced in future. A second option might be</w:t>
      </w:r>
      <w:r w:rsidR="009A41EA" w:rsidRPr="00D91A77">
        <w:rPr>
          <w:rFonts w:ascii="Open Sans" w:hAnsi="Open Sans" w:cs="Open Sans"/>
        </w:rPr>
        <w:t xml:space="preserve"> for the GGR operator to deliver ex-post GGRs to government</w:t>
      </w:r>
      <w:r w:rsidR="00040587" w:rsidRPr="00D91A77">
        <w:rPr>
          <w:rFonts w:ascii="Open Sans" w:hAnsi="Open Sans" w:cs="Open Sans"/>
        </w:rPr>
        <w:t xml:space="preserve">, removing the risk from the developer and purchaser entirely. Government could </w:t>
      </w:r>
      <w:r w:rsidR="00CB03DC" w:rsidRPr="00D91A77">
        <w:rPr>
          <w:rFonts w:ascii="Open Sans" w:hAnsi="Open Sans" w:cs="Open Sans"/>
        </w:rPr>
        <w:t xml:space="preserve">choose to hold the GGRs for future use or use them as the underlying basis for </w:t>
      </w:r>
      <w:r w:rsidR="00C201BE">
        <w:rPr>
          <w:rFonts w:ascii="Open Sans" w:hAnsi="Open Sans" w:cs="Open Sans"/>
        </w:rPr>
        <w:t xml:space="preserve">auctioning </w:t>
      </w:r>
      <w:r w:rsidR="00CB03DC" w:rsidRPr="00D91A77">
        <w:rPr>
          <w:rFonts w:ascii="Open Sans" w:hAnsi="Open Sans" w:cs="Open Sans"/>
        </w:rPr>
        <w:t xml:space="preserve">UK removals. </w:t>
      </w:r>
      <w:r w:rsidR="003478FB" w:rsidRPr="00D91A77">
        <w:rPr>
          <w:rFonts w:ascii="Open Sans" w:hAnsi="Open Sans" w:cs="Open Sans"/>
        </w:rPr>
        <w:t xml:space="preserve">At the same time, the GGR generator should still be able to sell in the VCM, should it wish to do so. </w:t>
      </w:r>
    </w:p>
    <w:p w14:paraId="06A79EC2" w14:textId="77777777" w:rsidR="00BD1FA9" w:rsidRPr="00D91A77" w:rsidRDefault="00BD1FA9" w:rsidP="00BD1FA9">
      <w:pPr>
        <w:rPr>
          <w:rFonts w:ascii="Open Sans" w:hAnsi="Open Sans" w:cs="Open Sans"/>
          <w:b/>
          <w:bCs/>
        </w:rPr>
      </w:pPr>
    </w:p>
    <w:p w14:paraId="325BF12B" w14:textId="16C8F4F9" w:rsidR="00BD1FA9" w:rsidRPr="00D91A77" w:rsidRDefault="00BD1FA9" w:rsidP="00C618D0">
      <w:pPr>
        <w:pStyle w:val="ListParagraph"/>
        <w:numPr>
          <w:ilvl w:val="0"/>
          <w:numId w:val="38"/>
        </w:numPr>
        <w:rPr>
          <w:rFonts w:ascii="Open Sans" w:hAnsi="Open Sans" w:cs="Open Sans"/>
          <w:b/>
          <w:bCs/>
        </w:rPr>
      </w:pPr>
      <w:r w:rsidRPr="00D91A77">
        <w:rPr>
          <w:rFonts w:ascii="Open Sans" w:hAnsi="Open Sans" w:cs="Open Sans"/>
          <w:b/>
          <w:bCs/>
        </w:rPr>
        <w:t>Does the Authority need to consider any additional measures for the UK ETS to ensure GGR operators are able to arrange offtake agreements? If yes, please provide specific details of which measures should be considered.</w:t>
      </w:r>
    </w:p>
    <w:p w14:paraId="7D8FC741" w14:textId="77777777" w:rsidR="00BD1FA9" w:rsidRPr="00D91A77" w:rsidRDefault="00BD1FA9" w:rsidP="00BD1FA9">
      <w:pPr>
        <w:rPr>
          <w:rFonts w:ascii="Open Sans" w:hAnsi="Open Sans" w:cs="Open Sans"/>
          <w:b/>
          <w:bCs/>
        </w:rPr>
      </w:pPr>
    </w:p>
    <w:p w14:paraId="24E87B8A" w14:textId="2B6FE13D" w:rsidR="00CE2040" w:rsidRPr="00D91A77" w:rsidRDefault="00CE2040" w:rsidP="00BD1FA9">
      <w:pPr>
        <w:rPr>
          <w:rFonts w:ascii="Open Sans" w:hAnsi="Open Sans" w:cs="Open Sans"/>
        </w:rPr>
      </w:pPr>
      <w:r w:rsidRPr="00D91A77">
        <w:rPr>
          <w:rFonts w:ascii="Open Sans" w:hAnsi="Open Sans" w:cs="Open Sans"/>
        </w:rPr>
        <w:t xml:space="preserve">As above, one option is for the government to act as an intermediary </w:t>
      </w:r>
      <w:r w:rsidR="00016F35" w:rsidRPr="00D91A77">
        <w:rPr>
          <w:rFonts w:ascii="Open Sans" w:hAnsi="Open Sans" w:cs="Open Sans"/>
        </w:rPr>
        <w:t xml:space="preserve">acting as an off taker in the open GGR market prior to any auctioning of </w:t>
      </w:r>
      <w:r w:rsidR="00BA79A3" w:rsidRPr="00D91A77">
        <w:rPr>
          <w:rFonts w:ascii="Open Sans" w:hAnsi="Open Sans" w:cs="Open Sans"/>
        </w:rPr>
        <w:t>GGR</w:t>
      </w:r>
      <w:r w:rsidR="00016F35" w:rsidRPr="00D91A77">
        <w:rPr>
          <w:rFonts w:ascii="Open Sans" w:hAnsi="Open Sans" w:cs="Open Sans"/>
        </w:rPr>
        <w:t xml:space="preserve">s in the </w:t>
      </w:r>
      <w:r w:rsidR="00BA79A3" w:rsidRPr="00D91A77">
        <w:rPr>
          <w:rFonts w:ascii="Open Sans" w:hAnsi="Open Sans" w:cs="Open Sans"/>
        </w:rPr>
        <w:t>ETS. This would p</w:t>
      </w:r>
      <w:r w:rsidR="00016F35" w:rsidRPr="00D91A77">
        <w:rPr>
          <w:rFonts w:ascii="Open Sans" w:hAnsi="Open Sans" w:cs="Open Sans"/>
        </w:rPr>
        <w:t>rovid</w:t>
      </w:r>
      <w:r w:rsidR="00BA79A3" w:rsidRPr="00D91A77">
        <w:rPr>
          <w:rFonts w:ascii="Open Sans" w:hAnsi="Open Sans" w:cs="Open Sans"/>
        </w:rPr>
        <w:t>e</w:t>
      </w:r>
      <w:r w:rsidR="00016F35" w:rsidRPr="00D91A77">
        <w:rPr>
          <w:rFonts w:ascii="Open Sans" w:hAnsi="Open Sans" w:cs="Open Sans"/>
        </w:rPr>
        <w:t xml:space="preserve"> a </w:t>
      </w:r>
      <w:r w:rsidR="00BA79A3" w:rsidRPr="00D91A77">
        <w:rPr>
          <w:rFonts w:ascii="Open Sans" w:hAnsi="Open Sans" w:cs="Open Sans"/>
        </w:rPr>
        <w:t xml:space="preserve">strong </w:t>
      </w:r>
      <w:r w:rsidR="00016F35" w:rsidRPr="00D91A77">
        <w:rPr>
          <w:rFonts w:ascii="Open Sans" w:hAnsi="Open Sans" w:cs="Open Sans"/>
        </w:rPr>
        <w:t>demand signal for other off takers</w:t>
      </w:r>
      <w:r w:rsidR="00BA79A3" w:rsidRPr="00D91A77">
        <w:rPr>
          <w:rFonts w:ascii="Open Sans" w:hAnsi="Open Sans" w:cs="Open Sans"/>
        </w:rPr>
        <w:t xml:space="preserve"> </w:t>
      </w:r>
      <w:r w:rsidR="00016F35" w:rsidRPr="00D91A77">
        <w:rPr>
          <w:rFonts w:ascii="Open Sans" w:hAnsi="Open Sans" w:cs="Open Sans"/>
        </w:rPr>
        <w:t>to engage with GGR developers.</w:t>
      </w:r>
    </w:p>
    <w:p w14:paraId="7B2FB642" w14:textId="77777777" w:rsidR="00BA79A3" w:rsidRPr="00D91A77" w:rsidRDefault="00BA79A3" w:rsidP="00BD1FA9">
      <w:pPr>
        <w:rPr>
          <w:rFonts w:ascii="Open Sans" w:hAnsi="Open Sans" w:cs="Open Sans"/>
        </w:rPr>
      </w:pPr>
    </w:p>
    <w:p w14:paraId="707E482C" w14:textId="1A9F89B8" w:rsidR="00310B8B" w:rsidRPr="00D91A77" w:rsidRDefault="00310B8B" w:rsidP="00310B8B">
      <w:pPr>
        <w:rPr>
          <w:rFonts w:ascii="Open Sans" w:hAnsi="Open Sans" w:cs="Open Sans"/>
        </w:rPr>
      </w:pPr>
      <w:r w:rsidRPr="00D91A77">
        <w:rPr>
          <w:rFonts w:ascii="Open Sans" w:hAnsi="Open Sans" w:cs="Open Sans"/>
        </w:rPr>
        <w:t xml:space="preserve">The Authority should also consider </w:t>
      </w:r>
      <w:r w:rsidR="00DA39EE" w:rsidRPr="00D91A77">
        <w:rPr>
          <w:rFonts w:ascii="Open Sans" w:hAnsi="Open Sans" w:cs="Open Sans"/>
        </w:rPr>
        <w:t>how</w:t>
      </w:r>
      <w:r w:rsidR="004D36C7" w:rsidRPr="00D91A77">
        <w:rPr>
          <w:rFonts w:ascii="Open Sans" w:hAnsi="Open Sans" w:cs="Open Sans"/>
        </w:rPr>
        <w:t xml:space="preserve"> the</w:t>
      </w:r>
      <w:r w:rsidR="00DA39EE" w:rsidRPr="00D91A77">
        <w:rPr>
          <w:rFonts w:ascii="Open Sans" w:hAnsi="Open Sans" w:cs="Open Sans"/>
        </w:rPr>
        <w:t xml:space="preserve"> </w:t>
      </w:r>
      <w:r w:rsidR="000848AE" w:rsidRPr="00D91A77">
        <w:rPr>
          <w:rFonts w:ascii="Open Sans" w:hAnsi="Open Sans" w:cs="Open Sans"/>
        </w:rPr>
        <w:t>negative emissions market is likely to develop in some sectors,</w:t>
      </w:r>
      <w:r w:rsidR="00D41E44" w:rsidRPr="00D91A77">
        <w:rPr>
          <w:rFonts w:ascii="Open Sans" w:hAnsi="Open Sans" w:cs="Open Sans"/>
        </w:rPr>
        <w:t xml:space="preserve"> with options for carbon </w:t>
      </w:r>
      <w:r w:rsidR="00611E19" w:rsidRPr="00D91A77">
        <w:rPr>
          <w:rFonts w:ascii="Open Sans" w:hAnsi="Open Sans" w:cs="Open Sans"/>
        </w:rPr>
        <w:t xml:space="preserve">capture and </w:t>
      </w:r>
      <w:r w:rsidR="00D41E44" w:rsidRPr="00D91A77">
        <w:rPr>
          <w:rFonts w:ascii="Open Sans" w:hAnsi="Open Sans" w:cs="Open Sans"/>
        </w:rPr>
        <w:t xml:space="preserve">utilisation potentially </w:t>
      </w:r>
      <w:r w:rsidR="002B5172" w:rsidRPr="00D91A77">
        <w:rPr>
          <w:rFonts w:ascii="Open Sans" w:hAnsi="Open Sans" w:cs="Open Sans"/>
        </w:rPr>
        <w:t>coming before storage</w:t>
      </w:r>
      <w:r w:rsidR="00A40EA3" w:rsidRPr="00D91A77">
        <w:rPr>
          <w:rFonts w:ascii="Open Sans" w:hAnsi="Open Sans" w:cs="Open Sans"/>
        </w:rPr>
        <w:t>, providing early and important offtake agreement</w:t>
      </w:r>
      <w:r w:rsidR="007D01B2" w:rsidRPr="00D91A77">
        <w:rPr>
          <w:rFonts w:ascii="Open Sans" w:hAnsi="Open Sans" w:cs="Open Sans"/>
        </w:rPr>
        <w:t>s</w:t>
      </w:r>
      <w:r w:rsidR="002B5172" w:rsidRPr="00D91A77">
        <w:rPr>
          <w:rFonts w:ascii="Open Sans" w:hAnsi="Open Sans" w:cs="Open Sans"/>
        </w:rPr>
        <w:t>.</w:t>
      </w:r>
      <w:r w:rsidR="00611E19" w:rsidRPr="00D91A77">
        <w:rPr>
          <w:rFonts w:ascii="Open Sans" w:hAnsi="Open Sans" w:cs="Open Sans"/>
        </w:rPr>
        <w:t xml:space="preserve"> The ETS should be aware of this and support such projects given the potential to help establish the market and deliver more storage options. For </w:t>
      </w:r>
      <w:r w:rsidR="00CA4E54" w:rsidRPr="00D91A77">
        <w:rPr>
          <w:rFonts w:ascii="Open Sans" w:hAnsi="Open Sans" w:cs="Open Sans"/>
        </w:rPr>
        <w:t>example,</w:t>
      </w:r>
      <w:r w:rsidR="00611E19" w:rsidRPr="00D91A77">
        <w:rPr>
          <w:rFonts w:ascii="Open Sans" w:hAnsi="Open Sans" w:cs="Open Sans"/>
        </w:rPr>
        <w:t xml:space="preserve"> carbon utilisation within </w:t>
      </w:r>
      <w:r w:rsidR="00D345EB" w:rsidRPr="00D91A77">
        <w:rPr>
          <w:rFonts w:ascii="Open Sans" w:hAnsi="Open Sans" w:cs="Open Sans"/>
        </w:rPr>
        <w:t>building materials has a high permanence and could</w:t>
      </w:r>
      <w:r w:rsidR="003E703A" w:rsidRPr="00D91A77">
        <w:rPr>
          <w:rFonts w:ascii="Open Sans" w:hAnsi="Open Sans" w:cs="Open Sans"/>
        </w:rPr>
        <w:t xml:space="preserve"> be rewarded a GGR credit, </w:t>
      </w:r>
      <w:r w:rsidR="007D01B2" w:rsidRPr="00D91A77">
        <w:rPr>
          <w:rFonts w:ascii="Open Sans" w:hAnsi="Open Sans" w:cs="Open Sans"/>
        </w:rPr>
        <w:t xml:space="preserve">enabling </w:t>
      </w:r>
      <w:r w:rsidR="004D36C7" w:rsidRPr="00D91A77">
        <w:rPr>
          <w:rFonts w:ascii="Open Sans" w:hAnsi="Open Sans" w:cs="Open Sans"/>
        </w:rPr>
        <w:t>development</w:t>
      </w:r>
      <w:r w:rsidR="007D01B2" w:rsidRPr="00D91A77">
        <w:rPr>
          <w:rFonts w:ascii="Open Sans" w:hAnsi="Open Sans" w:cs="Open Sans"/>
        </w:rPr>
        <w:t xml:space="preserve"> of the sector, albeit possibly with a suitable </w:t>
      </w:r>
      <w:r w:rsidR="00CA4E54" w:rsidRPr="00D91A77">
        <w:rPr>
          <w:rFonts w:ascii="Open Sans" w:hAnsi="Open Sans" w:cs="Open Sans"/>
        </w:rPr>
        <w:t>equivalence</w:t>
      </w:r>
      <w:r w:rsidR="007D01B2" w:rsidRPr="00D91A77">
        <w:rPr>
          <w:rFonts w:ascii="Open Sans" w:hAnsi="Open Sans" w:cs="Open Sans"/>
        </w:rPr>
        <w:t xml:space="preserve"> ratio determining the value of the credit. </w:t>
      </w:r>
      <w:r w:rsidR="003E703A" w:rsidRPr="00D91A77">
        <w:rPr>
          <w:rFonts w:ascii="Open Sans" w:hAnsi="Open Sans" w:cs="Open Sans"/>
        </w:rPr>
        <w:t xml:space="preserve"> </w:t>
      </w:r>
      <w:r w:rsidR="00DA39EE" w:rsidRPr="00D91A77">
        <w:rPr>
          <w:rFonts w:ascii="Open Sans" w:hAnsi="Open Sans" w:cs="Open Sans"/>
        </w:rPr>
        <w:t xml:space="preserve"> </w:t>
      </w:r>
    </w:p>
    <w:p w14:paraId="47733F90" w14:textId="77777777" w:rsidR="00D034B2" w:rsidRPr="00D91A77" w:rsidRDefault="00D034B2" w:rsidP="00BD1FA9">
      <w:pPr>
        <w:rPr>
          <w:rFonts w:ascii="Open Sans" w:hAnsi="Open Sans" w:cs="Open Sans"/>
          <w:b/>
          <w:bCs/>
        </w:rPr>
      </w:pPr>
    </w:p>
    <w:p w14:paraId="636D862D" w14:textId="65206AFE" w:rsidR="00B83452" w:rsidRPr="00D91A77" w:rsidRDefault="004F5066" w:rsidP="00BD1FA9">
      <w:pPr>
        <w:rPr>
          <w:rFonts w:ascii="Open Sans" w:hAnsi="Open Sans" w:cs="Open Sans"/>
        </w:rPr>
      </w:pPr>
      <w:r w:rsidRPr="00D91A77">
        <w:rPr>
          <w:rFonts w:ascii="Open Sans" w:hAnsi="Open Sans" w:cs="Open Sans"/>
        </w:rPr>
        <w:t>Given that methane is a far more potent greenhouse gas than CO</w:t>
      </w:r>
      <w:r w:rsidRPr="00D91A77">
        <w:rPr>
          <w:rFonts w:ascii="Cambria Math" w:hAnsi="Cambria Math" w:cs="Cambria Math"/>
        </w:rPr>
        <w:t>₂</w:t>
      </w:r>
      <w:r w:rsidRPr="00D91A77">
        <w:rPr>
          <w:rStyle w:val="FootnoteReference"/>
          <w:rFonts w:ascii="Open Sans" w:hAnsi="Open Sans" w:cs="Open Sans"/>
        </w:rPr>
        <w:footnoteReference w:id="2"/>
      </w:r>
      <w:r w:rsidRPr="00D91A77">
        <w:rPr>
          <w:rFonts w:ascii="Open Sans" w:hAnsi="Open Sans" w:cs="Open Sans"/>
        </w:rPr>
        <w:t>, t</w:t>
      </w:r>
      <w:r w:rsidR="005663E8" w:rsidRPr="00D91A77">
        <w:rPr>
          <w:rFonts w:ascii="Open Sans" w:hAnsi="Open Sans" w:cs="Open Sans"/>
        </w:rPr>
        <w:t xml:space="preserve">he Authority </w:t>
      </w:r>
      <w:r w:rsidRPr="00D91A77">
        <w:rPr>
          <w:rFonts w:ascii="Open Sans" w:hAnsi="Open Sans" w:cs="Open Sans"/>
        </w:rPr>
        <w:t xml:space="preserve">may also want to consider </w:t>
      </w:r>
      <w:r w:rsidR="00990C4F" w:rsidRPr="00D91A77">
        <w:rPr>
          <w:rFonts w:ascii="Open Sans" w:hAnsi="Open Sans" w:cs="Open Sans"/>
        </w:rPr>
        <w:t xml:space="preserve">paying a higher price for </w:t>
      </w:r>
      <w:r w:rsidRPr="00D91A77">
        <w:rPr>
          <w:rFonts w:ascii="Open Sans" w:hAnsi="Open Sans" w:cs="Open Sans"/>
        </w:rPr>
        <w:t xml:space="preserve">technologies </w:t>
      </w:r>
      <w:r w:rsidR="00990C4F" w:rsidRPr="00D91A77">
        <w:rPr>
          <w:rFonts w:ascii="Open Sans" w:hAnsi="Open Sans" w:cs="Open Sans"/>
        </w:rPr>
        <w:t>offering greater abatement, for example methane abatement. This would also help to establish a market for that.</w:t>
      </w:r>
      <w:r w:rsidR="000B7C4D" w:rsidRPr="00D91A77">
        <w:rPr>
          <w:rFonts w:ascii="Open Sans" w:hAnsi="Open Sans" w:cs="Open Sans"/>
        </w:rPr>
        <w:t xml:space="preserve"> </w:t>
      </w:r>
      <w:r w:rsidR="006F6B92" w:rsidRPr="00D91A77">
        <w:rPr>
          <w:rFonts w:ascii="Open Sans" w:hAnsi="Open Sans" w:cs="Open Sans"/>
        </w:rPr>
        <w:t>A</w:t>
      </w:r>
      <w:r w:rsidR="006F6B92">
        <w:rPr>
          <w:rFonts w:ascii="Open Sans" w:hAnsi="Open Sans" w:cs="Open Sans"/>
        </w:rPr>
        <w:t>gain,</w:t>
      </w:r>
      <w:r w:rsidR="009F0A6E">
        <w:rPr>
          <w:rFonts w:ascii="Open Sans" w:hAnsi="Open Sans" w:cs="Open Sans"/>
        </w:rPr>
        <w:t xml:space="preserve"> a</w:t>
      </w:r>
      <w:r w:rsidR="006F6B92">
        <w:rPr>
          <w:rFonts w:ascii="Open Sans" w:hAnsi="Open Sans" w:cs="Open Sans"/>
        </w:rPr>
        <w:t xml:space="preserve"> suitable equiv</w:t>
      </w:r>
      <w:r w:rsidR="000B7C4D" w:rsidRPr="00D91A77">
        <w:rPr>
          <w:rFonts w:ascii="Open Sans" w:hAnsi="Open Sans" w:cs="Open Sans"/>
        </w:rPr>
        <w:t>alence ratio may work well in this instance</w:t>
      </w:r>
      <w:r w:rsidR="00FD5968" w:rsidRPr="00D91A77">
        <w:rPr>
          <w:rFonts w:ascii="Open Sans" w:hAnsi="Open Sans" w:cs="Open Sans"/>
        </w:rPr>
        <w:t xml:space="preserve">. </w:t>
      </w:r>
    </w:p>
    <w:p w14:paraId="7720EB0D" w14:textId="77777777" w:rsidR="000B42C5" w:rsidRPr="00D91A77" w:rsidRDefault="000B42C5" w:rsidP="00BD1FA9">
      <w:pPr>
        <w:rPr>
          <w:rFonts w:ascii="Open Sans" w:hAnsi="Open Sans" w:cs="Open Sans"/>
        </w:rPr>
      </w:pPr>
    </w:p>
    <w:p w14:paraId="01050E3F" w14:textId="25C3B3AF" w:rsidR="000B42C5" w:rsidRPr="00D91A77" w:rsidRDefault="000B42C5" w:rsidP="000B42C5">
      <w:pPr>
        <w:rPr>
          <w:rFonts w:ascii="Open Sans" w:hAnsi="Open Sans" w:cs="Open Sans"/>
        </w:rPr>
      </w:pPr>
      <w:r w:rsidRPr="00D91A77">
        <w:rPr>
          <w:rFonts w:ascii="Open Sans" w:hAnsi="Open Sans" w:cs="Open Sans"/>
        </w:rPr>
        <w:t xml:space="preserve">In addition, the Authority should provide detailed guidance to obligated parties about the differences between GGRs and UK Allowances (UKA) and how to use both. </w:t>
      </w:r>
      <w:r w:rsidR="006F6B92">
        <w:rPr>
          <w:rFonts w:ascii="Open Sans" w:hAnsi="Open Sans" w:cs="Open Sans"/>
        </w:rPr>
        <w:t>E</w:t>
      </w:r>
      <w:r w:rsidRPr="00D91A77">
        <w:rPr>
          <w:rFonts w:ascii="Open Sans" w:hAnsi="Open Sans" w:cs="Open Sans"/>
        </w:rPr>
        <w:t xml:space="preserve">arly modelling on market price should </w:t>
      </w:r>
      <w:r w:rsidR="006F6B92">
        <w:rPr>
          <w:rFonts w:ascii="Open Sans" w:hAnsi="Open Sans" w:cs="Open Sans"/>
        </w:rPr>
        <w:t xml:space="preserve">also </w:t>
      </w:r>
      <w:r w:rsidRPr="00D91A77">
        <w:rPr>
          <w:rFonts w:ascii="Open Sans" w:hAnsi="Open Sans" w:cs="Open Sans"/>
        </w:rPr>
        <w:t>be undertaken as soon as practicable, as this will impact both developers and obligated parties.</w:t>
      </w:r>
    </w:p>
    <w:p w14:paraId="73559514" w14:textId="77777777" w:rsidR="00FD5968" w:rsidRPr="00D91A77" w:rsidRDefault="00FD5968" w:rsidP="00BD1FA9">
      <w:pPr>
        <w:rPr>
          <w:rFonts w:ascii="Open Sans" w:hAnsi="Open Sans" w:cs="Open Sans"/>
        </w:rPr>
      </w:pPr>
    </w:p>
    <w:p w14:paraId="065AE7AE" w14:textId="61A9601E" w:rsidR="00BD1FA9" w:rsidRPr="00D91A77" w:rsidRDefault="00BD1FA9" w:rsidP="00970D7F">
      <w:pPr>
        <w:pStyle w:val="ListParagraph"/>
        <w:numPr>
          <w:ilvl w:val="0"/>
          <w:numId w:val="38"/>
        </w:numPr>
        <w:rPr>
          <w:rFonts w:ascii="Open Sans" w:hAnsi="Open Sans" w:cs="Open Sans"/>
          <w:b/>
          <w:bCs/>
        </w:rPr>
      </w:pPr>
      <w:r w:rsidRPr="00D91A77">
        <w:rPr>
          <w:rFonts w:ascii="Open Sans" w:hAnsi="Open Sans" w:cs="Open Sans"/>
          <w:b/>
          <w:bCs/>
        </w:rPr>
        <w:t>Does the Authority need to consider any specific measures for smaller scale GGR operators, including smaller scale landowners if woodland is included in the scheme? If yes, please provide specific details of which measures should be considered.</w:t>
      </w:r>
    </w:p>
    <w:p w14:paraId="09F518CD" w14:textId="77777777" w:rsidR="00A04265" w:rsidRPr="00D91A77" w:rsidRDefault="00A04265" w:rsidP="00A04265">
      <w:pPr>
        <w:rPr>
          <w:rFonts w:ascii="Open Sans" w:hAnsi="Open Sans" w:cs="Open Sans"/>
          <w:b/>
          <w:bCs/>
        </w:rPr>
      </w:pPr>
    </w:p>
    <w:p w14:paraId="6B1C5AF2" w14:textId="6C0C4858" w:rsidR="00A04265" w:rsidRPr="00D91A77" w:rsidRDefault="00C561C7" w:rsidP="00A04265">
      <w:pPr>
        <w:rPr>
          <w:rFonts w:ascii="Open Sans" w:hAnsi="Open Sans" w:cs="Open Sans"/>
        </w:rPr>
      </w:pPr>
      <w:r w:rsidRPr="00D91A77">
        <w:rPr>
          <w:rFonts w:ascii="Open Sans" w:hAnsi="Open Sans" w:cs="Open Sans"/>
        </w:rPr>
        <w:t>Yes. T</w:t>
      </w:r>
      <w:r w:rsidR="00A04265" w:rsidRPr="00D91A77">
        <w:rPr>
          <w:rFonts w:ascii="Open Sans" w:hAnsi="Open Sans" w:cs="Open Sans"/>
        </w:rPr>
        <w:t>he Authority should provide a clear route to market for smaller scale operators</w:t>
      </w:r>
      <w:r w:rsidR="007A6E52" w:rsidRPr="00D91A77">
        <w:rPr>
          <w:rFonts w:ascii="Open Sans" w:hAnsi="Open Sans" w:cs="Open Sans"/>
        </w:rPr>
        <w:t xml:space="preserve"> to sell GGRs to obligated parties</w:t>
      </w:r>
      <w:r w:rsidR="003853B9" w:rsidRPr="00D91A77">
        <w:rPr>
          <w:rFonts w:ascii="Open Sans" w:hAnsi="Open Sans" w:cs="Open Sans"/>
        </w:rPr>
        <w:t xml:space="preserve">. For </w:t>
      </w:r>
      <w:r w:rsidR="00D12B53" w:rsidRPr="00D91A77">
        <w:rPr>
          <w:rFonts w:ascii="Open Sans" w:hAnsi="Open Sans" w:cs="Open Sans"/>
        </w:rPr>
        <w:t>example,</w:t>
      </w:r>
      <w:r w:rsidR="003853B9" w:rsidRPr="00D91A77">
        <w:rPr>
          <w:rFonts w:ascii="Open Sans" w:hAnsi="Open Sans" w:cs="Open Sans"/>
        </w:rPr>
        <w:t xml:space="preserve"> this could include</w:t>
      </w:r>
      <w:r w:rsidR="007A6E52" w:rsidRPr="00D91A77">
        <w:rPr>
          <w:rFonts w:ascii="Open Sans" w:hAnsi="Open Sans" w:cs="Open Sans"/>
        </w:rPr>
        <w:t xml:space="preserve"> </w:t>
      </w:r>
      <w:r w:rsidR="00382BC4" w:rsidRPr="00D91A77">
        <w:rPr>
          <w:rFonts w:ascii="Open Sans" w:hAnsi="Open Sans" w:cs="Open Sans"/>
        </w:rPr>
        <w:t>auction-based</w:t>
      </w:r>
      <w:r w:rsidR="007A6E52" w:rsidRPr="00D91A77">
        <w:rPr>
          <w:rFonts w:ascii="Open Sans" w:hAnsi="Open Sans" w:cs="Open Sans"/>
        </w:rPr>
        <w:t xml:space="preserve"> mechanisms, while recognising that these smaller operators are unlikely to have taken part in auctions previously and may not have trading desks. </w:t>
      </w:r>
    </w:p>
    <w:p w14:paraId="362CFA83" w14:textId="77777777" w:rsidR="00083A5D" w:rsidRPr="00D91A77" w:rsidRDefault="00083A5D" w:rsidP="00A04265">
      <w:pPr>
        <w:rPr>
          <w:rFonts w:ascii="Open Sans" w:hAnsi="Open Sans" w:cs="Open Sans"/>
        </w:rPr>
      </w:pPr>
    </w:p>
    <w:p w14:paraId="0514F8AC" w14:textId="1A93344C" w:rsidR="00083A5D" w:rsidRPr="00D91A77" w:rsidRDefault="00083A5D" w:rsidP="00A04265">
      <w:pPr>
        <w:rPr>
          <w:rFonts w:ascii="Open Sans" w:hAnsi="Open Sans" w:cs="Open Sans"/>
        </w:rPr>
      </w:pPr>
      <w:r w:rsidRPr="00D91A77">
        <w:rPr>
          <w:rFonts w:ascii="Open Sans" w:hAnsi="Open Sans" w:cs="Open Sans"/>
        </w:rPr>
        <w:t xml:space="preserve">Equally, as mentioned in question 5, smaller scale GGR operators may </w:t>
      </w:r>
      <w:r w:rsidR="001C5C41" w:rsidRPr="00D91A77">
        <w:rPr>
          <w:rFonts w:ascii="Open Sans" w:hAnsi="Open Sans" w:cs="Open Sans"/>
        </w:rPr>
        <w:t xml:space="preserve">seek </w:t>
      </w:r>
      <w:r w:rsidR="00194878" w:rsidRPr="00D91A77">
        <w:rPr>
          <w:rFonts w:ascii="Open Sans" w:hAnsi="Open Sans" w:cs="Open Sans"/>
        </w:rPr>
        <w:t xml:space="preserve">a </w:t>
      </w:r>
      <w:r w:rsidR="001C5C41" w:rsidRPr="00D91A77">
        <w:rPr>
          <w:rFonts w:ascii="Open Sans" w:hAnsi="Open Sans" w:cs="Open Sans"/>
        </w:rPr>
        <w:t xml:space="preserve">carbon </w:t>
      </w:r>
      <w:r w:rsidR="00916328" w:rsidRPr="00D91A77">
        <w:rPr>
          <w:rFonts w:ascii="Open Sans" w:hAnsi="Open Sans" w:cs="Open Sans"/>
        </w:rPr>
        <w:t>utilisation</w:t>
      </w:r>
      <w:r w:rsidR="001C5C41" w:rsidRPr="00D91A77">
        <w:rPr>
          <w:rFonts w:ascii="Open Sans" w:hAnsi="Open Sans" w:cs="Open Sans"/>
        </w:rPr>
        <w:t xml:space="preserve"> </w:t>
      </w:r>
      <w:r w:rsidR="00184431" w:rsidRPr="00D91A77">
        <w:rPr>
          <w:rFonts w:ascii="Open Sans" w:hAnsi="Open Sans" w:cs="Open Sans"/>
        </w:rPr>
        <w:t>pathway</w:t>
      </w:r>
      <w:r w:rsidR="001C5C41" w:rsidRPr="00D91A77">
        <w:rPr>
          <w:rFonts w:ascii="Open Sans" w:hAnsi="Open Sans" w:cs="Open Sans"/>
        </w:rPr>
        <w:t xml:space="preserve"> initially</w:t>
      </w:r>
      <w:r w:rsidR="00916328" w:rsidRPr="00D91A77">
        <w:rPr>
          <w:rFonts w:ascii="Open Sans" w:hAnsi="Open Sans" w:cs="Open Sans"/>
        </w:rPr>
        <w:t xml:space="preserve">, </w:t>
      </w:r>
      <w:r w:rsidR="001C5C41" w:rsidRPr="00D91A77">
        <w:rPr>
          <w:rFonts w:ascii="Open Sans" w:hAnsi="Open Sans" w:cs="Open Sans"/>
        </w:rPr>
        <w:t xml:space="preserve">as geological storage options become more established. </w:t>
      </w:r>
      <w:r w:rsidR="00D752D4" w:rsidRPr="00D91A77">
        <w:rPr>
          <w:rFonts w:ascii="Open Sans" w:hAnsi="Open Sans" w:cs="Open Sans"/>
        </w:rPr>
        <w:t>We encourage government to c</w:t>
      </w:r>
      <w:r w:rsidR="001C5C41" w:rsidRPr="00D91A77">
        <w:rPr>
          <w:rFonts w:ascii="Open Sans" w:hAnsi="Open Sans" w:cs="Open Sans"/>
        </w:rPr>
        <w:t>onsider what forms of carbon utilisation</w:t>
      </w:r>
      <w:r w:rsidR="00390717" w:rsidRPr="00D91A77">
        <w:rPr>
          <w:rFonts w:ascii="Open Sans" w:hAnsi="Open Sans" w:cs="Open Sans"/>
        </w:rPr>
        <w:t xml:space="preserve"> where some form of permanence is achieved</w:t>
      </w:r>
      <w:r w:rsidR="001C5C41" w:rsidRPr="00D91A77">
        <w:rPr>
          <w:rFonts w:ascii="Open Sans" w:hAnsi="Open Sans" w:cs="Open Sans"/>
        </w:rPr>
        <w:t xml:space="preserve">, such as biochar or </w:t>
      </w:r>
      <w:r w:rsidR="00015D1D" w:rsidRPr="00D91A77">
        <w:rPr>
          <w:rFonts w:ascii="Open Sans" w:hAnsi="Open Sans" w:cs="Open Sans"/>
        </w:rPr>
        <w:t xml:space="preserve">carbon locked in building materials, </w:t>
      </w:r>
      <w:r w:rsidR="00015D1D" w:rsidRPr="00D91A77">
        <w:rPr>
          <w:rFonts w:ascii="Open Sans" w:hAnsi="Open Sans" w:cs="Open Sans"/>
        </w:rPr>
        <w:lastRenderedPageBreak/>
        <w:t>could also be rewarded some level of GGR credit</w:t>
      </w:r>
      <w:r w:rsidR="00307658" w:rsidRPr="00D91A77">
        <w:rPr>
          <w:rFonts w:ascii="Open Sans" w:hAnsi="Open Sans" w:cs="Open Sans"/>
        </w:rPr>
        <w:t xml:space="preserve">. This </w:t>
      </w:r>
      <w:r w:rsidR="00916328" w:rsidRPr="00D91A77">
        <w:rPr>
          <w:rFonts w:ascii="Open Sans" w:hAnsi="Open Sans" w:cs="Open Sans"/>
        </w:rPr>
        <w:t xml:space="preserve">would support these capture routes and ensure their early involvement in the ETS. </w:t>
      </w:r>
    </w:p>
    <w:p w14:paraId="1FB6F592" w14:textId="77777777" w:rsidR="00D12B53" w:rsidRPr="00D91A77" w:rsidRDefault="00D12B53" w:rsidP="00A04265">
      <w:pPr>
        <w:rPr>
          <w:rFonts w:ascii="Open Sans" w:hAnsi="Open Sans" w:cs="Open Sans"/>
        </w:rPr>
      </w:pPr>
    </w:p>
    <w:p w14:paraId="0EABC133" w14:textId="4D579000" w:rsidR="00B658A9" w:rsidRPr="00D91A77" w:rsidRDefault="00B658A9" w:rsidP="00A04265">
      <w:pPr>
        <w:rPr>
          <w:rFonts w:ascii="Open Sans" w:hAnsi="Open Sans" w:cs="Open Sans"/>
        </w:rPr>
      </w:pPr>
      <w:r w:rsidRPr="00D91A77">
        <w:rPr>
          <w:rFonts w:ascii="Open Sans" w:hAnsi="Open Sans" w:cs="Open Sans"/>
        </w:rPr>
        <w:t xml:space="preserve">Finally, alignment between the </w:t>
      </w:r>
      <w:r w:rsidR="00307658" w:rsidRPr="00D91A77">
        <w:rPr>
          <w:rFonts w:ascii="Open Sans" w:hAnsi="Open Sans" w:cs="Open Sans"/>
        </w:rPr>
        <w:t>development</w:t>
      </w:r>
      <w:r w:rsidRPr="00D91A77">
        <w:rPr>
          <w:rFonts w:ascii="Open Sans" w:hAnsi="Open Sans" w:cs="Open Sans"/>
        </w:rPr>
        <w:t xml:space="preserve"> of Non-</w:t>
      </w:r>
      <w:r w:rsidR="00D12B53" w:rsidRPr="00D91A77">
        <w:rPr>
          <w:rFonts w:ascii="Open Sans" w:hAnsi="Open Sans" w:cs="Open Sans"/>
        </w:rPr>
        <w:t>P</w:t>
      </w:r>
      <w:r w:rsidRPr="00D91A77">
        <w:rPr>
          <w:rFonts w:ascii="Open Sans" w:hAnsi="Open Sans" w:cs="Open Sans"/>
        </w:rPr>
        <w:t xml:space="preserve">ipeline Transport and GGR ETS policy, especially on issues like MRV is required. We would encourage DESNZ to ensure there is joined up thinking between these related consultations. </w:t>
      </w:r>
    </w:p>
    <w:p w14:paraId="25CB839C" w14:textId="77777777" w:rsidR="00BD1FA9" w:rsidRPr="00D91A77" w:rsidRDefault="00BD1FA9" w:rsidP="00BD1FA9">
      <w:pPr>
        <w:rPr>
          <w:rFonts w:ascii="Open Sans" w:hAnsi="Open Sans" w:cs="Open Sans"/>
          <w:b/>
          <w:bCs/>
        </w:rPr>
      </w:pPr>
    </w:p>
    <w:p w14:paraId="2E6B8903" w14:textId="634E554E" w:rsidR="00BD1FA9" w:rsidRPr="00D91A77" w:rsidRDefault="00BD1FA9" w:rsidP="0032556E">
      <w:pPr>
        <w:pStyle w:val="ListParagraph"/>
        <w:numPr>
          <w:ilvl w:val="0"/>
          <w:numId w:val="38"/>
        </w:numPr>
        <w:rPr>
          <w:rFonts w:ascii="Open Sans" w:hAnsi="Open Sans" w:cs="Open Sans"/>
          <w:b/>
          <w:bCs/>
        </w:rPr>
      </w:pPr>
      <w:r w:rsidRPr="00D91A77">
        <w:rPr>
          <w:rFonts w:ascii="Open Sans" w:hAnsi="Open Sans" w:cs="Open Sans"/>
          <w:b/>
          <w:bCs/>
        </w:rPr>
        <w:t>Who should receive the GGR allowance? Please consider whether this would also apply for GGRs that involve multiple actors in the value chain and provide examples.</w:t>
      </w:r>
    </w:p>
    <w:p w14:paraId="6F50C7E6" w14:textId="77777777" w:rsidR="00BD6A58" w:rsidRPr="00D91A77" w:rsidRDefault="00BD6A58" w:rsidP="005F5F7B">
      <w:pPr>
        <w:rPr>
          <w:rFonts w:ascii="Open Sans" w:hAnsi="Open Sans" w:cs="Open Sans"/>
          <w:b/>
          <w:bCs/>
        </w:rPr>
      </w:pPr>
    </w:p>
    <w:p w14:paraId="3A63C22B" w14:textId="77777777" w:rsidR="00F41A31" w:rsidRPr="00D91A77" w:rsidRDefault="000E240C" w:rsidP="005F5F7B">
      <w:pPr>
        <w:rPr>
          <w:rFonts w:ascii="Open Sans" w:hAnsi="Open Sans" w:cs="Open Sans"/>
        </w:rPr>
      </w:pPr>
      <w:r w:rsidRPr="00D91A77">
        <w:rPr>
          <w:rFonts w:ascii="Open Sans" w:hAnsi="Open Sans" w:cs="Open Sans"/>
        </w:rPr>
        <w:t>This will largely depend on the market structure adopted by the Authority</w:t>
      </w:r>
      <w:r w:rsidR="00510B9B" w:rsidRPr="00D91A77">
        <w:rPr>
          <w:rFonts w:ascii="Open Sans" w:hAnsi="Open Sans" w:cs="Open Sans"/>
        </w:rPr>
        <w:t>, but we suggest that f</w:t>
      </w:r>
      <w:r w:rsidR="005F5F7B" w:rsidRPr="00D91A77">
        <w:rPr>
          <w:rFonts w:ascii="Open Sans" w:hAnsi="Open Sans" w:cs="Open Sans"/>
        </w:rPr>
        <w:t>or removals</w:t>
      </w:r>
      <w:r w:rsidR="00BD6A58" w:rsidRPr="00D91A77">
        <w:rPr>
          <w:rFonts w:ascii="Open Sans" w:hAnsi="Open Sans" w:cs="Open Sans"/>
        </w:rPr>
        <w:t xml:space="preserve"> like BECCS and Biochar</w:t>
      </w:r>
      <w:r w:rsidR="005F5F7B" w:rsidRPr="00D91A77">
        <w:rPr>
          <w:rFonts w:ascii="Open Sans" w:hAnsi="Open Sans" w:cs="Open Sans"/>
        </w:rPr>
        <w:t>,</w:t>
      </w:r>
      <w:r w:rsidR="007A7AD1" w:rsidRPr="00D91A77">
        <w:rPr>
          <w:rFonts w:ascii="Open Sans" w:hAnsi="Open Sans" w:cs="Open Sans"/>
        </w:rPr>
        <w:t xml:space="preserve"> it would be most appropriate for</w:t>
      </w:r>
      <w:r w:rsidR="005F5F7B" w:rsidRPr="00D91A77">
        <w:rPr>
          <w:rFonts w:ascii="Open Sans" w:hAnsi="Open Sans" w:cs="Open Sans"/>
        </w:rPr>
        <w:t xml:space="preserve"> the </w:t>
      </w:r>
      <w:r w:rsidR="00F41A31" w:rsidRPr="00D91A77">
        <w:rPr>
          <w:rFonts w:ascii="Open Sans" w:hAnsi="Open Sans" w:cs="Open Sans"/>
        </w:rPr>
        <w:t>operator/develope</w:t>
      </w:r>
      <w:r w:rsidR="00B658A9" w:rsidRPr="00D91A77">
        <w:rPr>
          <w:rFonts w:ascii="Open Sans" w:hAnsi="Open Sans" w:cs="Open Sans"/>
        </w:rPr>
        <w:t>r</w:t>
      </w:r>
      <w:r w:rsidR="005F5F7B" w:rsidRPr="00D91A77">
        <w:rPr>
          <w:rFonts w:ascii="Open Sans" w:hAnsi="Open Sans" w:cs="Open Sans"/>
        </w:rPr>
        <w:t xml:space="preserve"> </w:t>
      </w:r>
      <w:r w:rsidR="00B658A9" w:rsidRPr="00D91A77">
        <w:rPr>
          <w:rFonts w:ascii="Open Sans" w:hAnsi="Open Sans" w:cs="Open Sans"/>
        </w:rPr>
        <w:t xml:space="preserve">of </w:t>
      </w:r>
      <w:r w:rsidR="00F41A31" w:rsidRPr="00D91A77">
        <w:rPr>
          <w:rFonts w:ascii="Open Sans" w:hAnsi="Open Sans" w:cs="Open Sans"/>
        </w:rPr>
        <w:t xml:space="preserve">the </w:t>
      </w:r>
      <w:r w:rsidR="00B658A9" w:rsidRPr="00D91A77">
        <w:rPr>
          <w:rFonts w:ascii="Open Sans" w:hAnsi="Open Sans" w:cs="Open Sans"/>
        </w:rPr>
        <w:t>ca</w:t>
      </w:r>
      <w:r w:rsidR="00741FAB" w:rsidRPr="00D91A77">
        <w:rPr>
          <w:rFonts w:ascii="Open Sans" w:hAnsi="Open Sans" w:cs="Open Sans"/>
        </w:rPr>
        <w:t>pture asset</w:t>
      </w:r>
      <w:r w:rsidR="005F5F7B" w:rsidRPr="00D91A77">
        <w:rPr>
          <w:rFonts w:ascii="Open Sans" w:hAnsi="Open Sans" w:cs="Open Sans"/>
        </w:rPr>
        <w:t xml:space="preserve"> </w:t>
      </w:r>
      <w:r w:rsidR="007A7AD1" w:rsidRPr="00D91A77">
        <w:rPr>
          <w:rFonts w:ascii="Open Sans" w:hAnsi="Open Sans" w:cs="Open Sans"/>
        </w:rPr>
        <w:t>to</w:t>
      </w:r>
      <w:r w:rsidR="005F5F7B" w:rsidRPr="00D91A77">
        <w:rPr>
          <w:rFonts w:ascii="Open Sans" w:hAnsi="Open Sans" w:cs="Open Sans"/>
        </w:rPr>
        <w:t xml:space="preserve"> receive the allowance</w:t>
      </w:r>
      <w:r w:rsidR="00741FAB" w:rsidRPr="00D91A77">
        <w:rPr>
          <w:rFonts w:ascii="Open Sans" w:hAnsi="Open Sans" w:cs="Open Sans"/>
        </w:rPr>
        <w:t>, against certified removals</w:t>
      </w:r>
      <w:r w:rsidR="005F5F7B" w:rsidRPr="00D91A77">
        <w:rPr>
          <w:rFonts w:ascii="Open Sans" w:hAnsi="Open Sans" w:cs="Open Sans"/>
        </w:rPr>
        <w:t xml:space="preserve">. </w:t>
      </w:r>
    </w:p>
    <w:p w14:paraId="0A51973C" w14:textId="77777777" w:rsidR="00F41A31" w:rsidRPr="00D91A77" w:rsidRDefault="00F41A31" w:rsidP="005F5F7B">
      <w:pPr>
        <w:rPr>
          <w:rFonts w:ascii="Open Sans" w:hAnsi="Open Sans" w:cs="Open Sans"/>
        </w:rPr>
      </w:pPr>
    </w:p>
    <w:p w14:paraId="045131FA" w14:textId="63B503B9" w:rsidR="005F5F7B" w:rsidRPr="00D91A77" w:rsidRDefault="00BD6A58" w:rsidP="005F5F7B">
      <w:pPr>
        <w:rPr>
          <w:rFonts w:ascii="Open Sans" w:hAnsi="Open Sans" w:cs="Open Sans"/>
        </w:rPr>
      </w:pPr>
      <w:r w:rsidRPr="00D91A77">
        <w:rPr>
          <w:rFonts w:ascii="Open Sans" w:hAnsi="Open Sans" w:cs="Open Sans"/>
        </w:rPr>
        <w:t xml:space="preserve">For land-based capture – for example, enhanced rock weathering – the landowner or farmer using the products </w:t>
      </w:r>
      <w:r w:rsidR="00765455" w:rsidRPr="00D91A77">
        <w:rPr>
          <w:rFonts w:ascii="Open Sans" w:hAnsi="Open Sans" w:cs="Open Sans"/>
        </w:rPr>
        <w:t>would likely be the mols appropriate to</w:t>
      </w:r>
      <w:r w:rsidRPr="00D91A77">
        <w:rPr>
          <w:rFonts w:ascii="Open Sans" w:hAnsi="Open Sans" w:cs="Open Sans"/>
        </w:rPr>
        <w:t xml:space="preserve"> receive the </w:t>
      </w:r>
      <w:r w:rsidR="00765455" w:rsidRPr="00D91A77">
        <w:rPr>
          <w:rFonts w:ascii="Open Sans" w:hAnsi="Open Sans" w:cs="Open Sans"/>
        </w:rPr>
        <w:t>product</w:t>
      </w:r>
      <w:r w:rsidRPr="00D91A77">
        <w:rPr>
          <w:rFonts w:ascii="Open Sans" w:hAnsi="Open Sans" w:cs="Open Sans"/>
        </w:rPr>
        <w:t xml:space="preserve">. </w:t>
      </w:r>
    </w:p>
    <w:p w14:paraId="29DAC0ED" w14:textId="77777777" w:rsidR="00BD1FA9" w:rsidRPr="00D91A77" w:rsidRDefault="00BD1FA9" w:rsidP="00BD1FA9">
      <w:pPr>
        <w:rPr>
          <w:rFonts w:ascii="Open Sans" w:hAnsi="Open Sans" w:cs="Open Sans"/>
          <w:b/>
          <w:bCs/>
        </w:rPr>
      </w:pPr>
    </w:p>
    <w:p w14:paraId="6E7413CD" w14:textId="6A250918" w:rsidR="00BD1FA9" w:rsidRPr="00D91A77" w:rsidRDefault="00BD1FA9" w:rsidP="00BD1FA9">
      <w:pPr>
        <w:pStyle w:val="ListParagraph"/>
        <w:numPr>
          <w:ilvl w:val="0"/>
          <w:numId w:val="38"/>
        </w:numPr>
        <w:rPr>
          <w:rFonts w:ascii="Open Sans" w:hAnsi="Open Sans" w:cs="Open Sans"/>
          <w:b/>
          <w:bCs/>
        </w:rPr>
      </w:pPr>
      <w:r w:rsidRPr="00D91A77">
        <w:rPr>
          <w:rFonts w:ascii="Open Sans" w:hAnsi="Open Sans" w:cs="Open Sans"/>
          <w:b/>
          <w:bCs/>
        </w:rPr>
        <w:t>Should allowances from GGRs be differentiated from UKAs and, if so, how?</w:t>
      </w:r>
    </w:p>
    <w:p w14:paraId="069C6BBF" w14:textId="4E38A14C" w:rsidR="00FF2068" w:rsidRPr="00D91A77" w:rsidRDefault="00FF2068" w:rsidP="00FF2068">
      <w:pPr>
        <w:rPr>
          <w:rFonts w:ascii="Open Sans" w:hAnsi="Open Sans" w:cs="Open Sans"/>
          <w:b/>
          <w:bCs/>
        </w:rPr>
      </w:pPr>
    </w:p>
    <w:p w14:paraId="7305909B" w14:textId="7BE1F8F3" w:rsidR="00C649B3" w:rsidRPr="00D91A77" w:rsidRDefault="003C4567" w:rsidP="00FF2068">
      <w:pPr>
        <w:rPr>
          <w:rFonts w:ascii="Open Sans" w:hAnsi="Open Sans" w:cs="Open Sans"/>
        </w:rPr>
      </w:pPr>
      <w:r w:rsidRPr="00D91A77">
        <w:rPr>
          <w:rFonts w:ascii="Open Sans" w:hAnsi="Open Sans" w:cs="Open Sans"/>
        </w:rPr>
        <w:t>Yes, some level of differentiation should be introduced</w:t>
      </w:r>
      <w:r w:rsidR="007B0145" w:rsidRPr="00D91A77">
        <w:rPr>
          <w:rFonts w:ascii="Open Sans" w:hAnsi="Open Sans" w:cs="Open Sans"/>
        </w:rPr>
        <w:t xml:space="preserve">, recognising that ultimately a tonne of carbon removed from the atmosphere is fundamentally different from a tonne reduced. </w:t>
      </w:r>
    </w:p>
    <w:p w14:paraId="30A24BC9" w14:textId="77777777" w:rsidR="00C649B3" w:rsidRPr="00D91A77" w:rsidRDefault="00C649B3" w:rsidP="00FF2068">
      <w:pPr>
        <w:rPr>
          <w:rFonts w:ascii="Open Sans" w:hAnsi="Open Sans" w:cs="Open Sans"/>
        </w:rPr>
      </w:pPr>
    </w:p>
    <w:p w14:paraId="64871CDC" w14:textId="7156C269" w:rsidR="00B965DA" w:rsidRPr="00D91A77" w:rsidRDefault="002E437E" w:rsidP="00FF2068">
      <w:pPr>
        <w:rPr>
          <w:rFonts w:ascii="Open Sans" w:hAnsi="Open Sans" w:cs="Open Sans"/>
        </w:rPr>
      </w:pPr>
      <w:r w:rsidRPr="00D91A77">
        <w:rPr>
          <w:rFonts w:ascii="Open Sans" w:hAnsi="Open Sans" w:cs="Open Sans"/>
        </w:rPr>
        <w:t xml:space="preserve">As such, </w:t>
      </w:r>
      <w:r w:rsidR="007B0145" w:rsidRPr="00D91A77">
        <w:rPr>
          <w:rFonts w:ascii="Open Sans" w:hAnsi="Open Sans" w:cs="Open Sans"/>
        </w:rPr>
        <w:t>we believe</w:t>
      </w:r>
      <w:r w:rsidR="00B965DA" w:rsidRPr="00D91A77">
        <w:rPr>
          <w:rFonts w:ascii="Open Sans" w:hAnsi="Open Sans" w:cs="Open Sans"/>
        </w:rPr>
        <w:t xml:space="preserve"> the second option – generic GGR allowance – could be used initially, to </w:t>
      </w:r>
      <w:r w:rsidR="00C40950" w:rsidRPr="00D91A77">
        <w:rPr>
          <w:rFonts w:ascii="Open Sans" w:hAnsi="Open Sans" w:cs="Open Sans"/>
        </w:rPr>
        <w:t xml:space="preserve">help get the market going and build confidence </w:t>
      </w:r>
      <w:r w:rsidR="00AE492F" w:rsidRPr="00D91A77">
        <w:rPr>
          <w:rFonts w:ascii="Open Sans" w:hAnsi="Open Sans" w:cs="Open Sans"/>
        </w:rPr>
        <w:t xml:space="preserve">amongst obligated parties. </w:t>
      </w:r>
      <w:r w:rsidR="00C82C96" w:rsidRPr="00D91A77">
        <w:rPr>
          <w:rFonts w:ascii="Open Sans" w:hAnsi="Open Sans" w:cs="Open Sans"/>
        </w:rPr>
        <w:t>Differentiating down to the level of specific technologies is likely to fragment and reduce liquidity in the market</w:t>
      </w:r>
      <w:r w:rsidR="00394E86" w:rsidRPr="00D91A77">
        <w:rPr>
          <w:rFonts w:ascii="Open Sans" w:hAnsi="Open Sans" w:cs="Open Sans"/>
        </w:rPr>
        <w:t xml:space="preserve">, at least </w:t>
      </w:r>
      <w:r w:rsidR="001373E6" w:rsidRPr="00D91A77">
        <w:rPr>
          <w:rFonts w:ascii="Open Sans" w:hAnsi="Open Sans" w:cs="Open Sans"/>
        </w:rPr>
        <w:t>initially</w:t>
      </w:r>
      <w:r w:rsidR="00C82C96" w:rsidRPr="00D91A77">
        <w:rPr>
          <w:rFonts w:ascii="Open Sans" w:hAnsi="Open Sans" w:cs="Open Sans"/>
        </w:rPr>
        <w:t xml:space="preserve">. Differentiating between </w:t>
      </w:r>
      <w:r w:rsidR="00D25F83" w:rsidRPr="00D91A77">
        <w:rPr>
          <w:rFonts w:ascii="Open Sans" w:hAnsi="Open Sans" w:cs="Open Sans"/>
        </w:rPr>
        <w:t>removals</w:t>
      </w:r>
      <w:r w:rsidR="00C82C96" w:rsidRPr="00D91A77">
        <w:rPr>
          <w:rFonts w:ascii="Open Sans" w:hAnsi="Open Sans" w:cs="Open Sans"/>
        </w:rPr>
        <w:t xml:space="preserve"> and UKA sends </w:t>
      </w:r>
      <w:r w:rsidR="004C68A0" w:rsidRPr="00D91A77">
        <w:rPr>
          <w:rFonts w:ascii="Open Sans" w:hAnsi="Open Sans" w:cs="Open Sans"/>
        </w:rPr>
        <w:t>a clear</w:t>
      </w:r>
      <w:r w:rsidR="00C82C96" w:rsidRPr="00D91A77">
        <w:rPr>
          <w:rFonts w:ascii="Open Sans" w:hAnsi="Open Sans" w:cs="Open Sans"/>
        </w:rPr>
        <w:t xml:space="preserve"> signal to the VCM </w:t>
      </w:r>
      <w:r w:rsidR="009079D8" w:rsidRPr="00D91A77">
        <w:rPr>
          <w:rFonts w:ascii="Open Sans" w:hAnsi="Open Sans" w:cs="Open Sans"/>
        </w:rPr>
        <w:t>that</w:t>
      </w:r>
      <w:r w:rsidR="00C82C96" w:rsidRPr="00D91A77">
        <w:rPr>
          <w:rFonts w:ascii="Open Sans" w:hAnsi="Open Sans" w:cs="Open Sans"/>
        </w:rPr>
        <w:t xml:space="preserve"> removals are clear, distinct, and valuable.</w:t>
      </w:r>
      <w:r w:rsidR="007346B2" w:rsidRPr="00D91A77">
        <w:rPr>
          <w:rFonts w:ascii="Open Sans" w:hAnsi="Open Sans" w:cs="Open Sans"/>
        </w:rPr>
        <w:t xml:space="preserve"> This differentiation </w:t>
      </w:r>
      <w:r w:rsidR="000B433D" w:rsidRPr="00D91A77">
        <w:rPr>
          <w:rFonts w:ascii="Open Sans" w:hAnsi="Open Sans" w:cs="Open Sans"/>
        </w:rPr>
        <w:t xml:space="preserve">would also make it easier to transition to </w:t>
      </w:r>
      <w:r w:rsidR="002568C8">
        <w:rPr>
          <w:rFonts w:ascii="Open Sans" w:hAnsi="Open Sans" w:cs="Open Sans"/>
        </w:rPr>
        <w:t>o</w:t>
      </w:r>
      <w:r w:rsidR="000B433D" w:rsidRPr="00D91A77">
        <w:rPr>
          <w:rFonts w:ascii="Open Sans" w:hAnsi="Open Sans" w:cs="Open Sans"/>
        </w:rPr>
        <w:t xml:space="preserve">ption </w:t>
      </w:r>
      <w:r w:rsidR="002568C8">
        <w:rPr>
          <w:rFonts w:ascii="Open Sans" w:hAnsi="Open Sans" w:cs="Open Sans"/>
        </w:rPr>
        <w:t>three</w:t>
      </w:r>
      <w:r w:rsidR="000B433D" w:rsidRPr="00D91A77">
        <w:rPr>
          <w:rFonts w:ascii="Open Sans" w:hAnsi="Open Sans" w:cs="Open Sans"/>
        </w:rPr>
        <w:t xml:space="preserve"> or similar in future. </w:t>
      </w:r>
    </w:p>
    <w:p w14:paraId="27C593B3" w14:textId="77777777" w:rsidR="00BD1FA9" w:rsidRPr="00D91A77" w:rsidRDefault="00BD1FA9" w:rsidP="00BD1FA9">
      <w:pPr>
        <w:rPr>
          <w:rFonts w:ascii="Open Sans" w:hAnsi="Open Sans" w:cs="Open Sans"/>
          <w:b/>
          <w:bCs/>
        </w:rPr>
      </w:pPr>
    </w:p>
    <w:p w14:paraId="6E143A43" w14:textId="2C42D7DB" w:rsidR="00BD1FA9" w:rsidRPr="00D91A77" w:rsidRDefault="00BD1FA9" w:rsidP="00FC2E5E">
      <w:pPr>
        <w:pStyle w:val="ListParagraph"/>
        <w:numPr>
          <w:ilvl w:val="0"/>
          <w:numId w:val="38"/>
        </w:numPr>
        <w:rPr>
          <w:rFonts w:ascii="Open Sans" w:hAnsi="Open Sans" w:cs="Open Sans"/>
          <w:b/>
          <w:bCs/>
        </w:rPr>
      </w:pPr>
      <w:r w:rsidRPr="00D91A77">
        <w:rPr>
          <w:rFonts w:ascii="Open Sans" w:hAnsi="Open Sans" w:cs="Open Sans"/>
          <w:b/>
          <w:bCs/>
        </w:rPr>
        <w:t>Do you think that differentiated GGR allowances would attract a higher price than existing emissions allowances and why? To what extent does this depend on the degree of differentiation (e.g. a generic GGR allowance versus a technology specific GGR allowance)?</w:t>
      </w:r>
    </w:p>
    <w:p w14:paraId="6C3C5693" w14:textId="77777777" w:rsidR="003D7DC1" w:rsidRPr="00D91A77" w:rsidRDefault="003D7DC1" w:rsidP="00BD1FA9">
      <w:pPr>
        <w:rPr>
          <w:rFonts w:ascii="Open Sans" w:hAnsi="Open Sans" w:cs="Open Sans"/>
          <w:b/>
          <w:bCs/>
        </w:rPr>
      </w:pPr>
    </w:p>
    <w:p w14:paraId="005786B6" w14:textId="707E43E0" w:rsidR="00043BBD" w:rsidRPr="00D91A77" w:rsidRDefault="000B3627" w:rsidP="00BD1FA9">
      <w:pPr>
        <w:rPr>
          <w:rFonts w:ascii="Open Sans" w:hAnsi="Open Sans" w:cs="Open Sans"/>
        </w:rPr>
      </w:pPr>
      <w:r w:rsidRPr="00D91A77">
        <w:rPr>
          <w:rFonts w:ascii="Open Sans" w:hAnsi="Open Sans" w:cs="Open Sans"/>
        </w:rPr>
        <w:t>Y</w:t>
      </w:r>
      <w:r w:rsidR="00D16F33" w:rsidRPr="00D91A77">
        <w:rPr>
          <w:rFonts w:ascii="Open Sans" w:hAnsi="Open Sans" w:cs="Open Sans"/>
        </w:rPr>
        <w:t>es</w:t>
      </w:r>
      <w:r w:rsidR="00E40362" w:rsidRPr="00D91A77">
        <w:rPr>
          <w:rFonts w:ascii="Open Sans" w:hAnsi="Open Sans" w:cs="Open Sans"/>
        </w:rPr>
        <w:t xml:space="preserve">. </w:t>
      </w:r>
      <w:r w:rsidR="00EC7F05" w:rsidRPr="00D91A77">
        <w:rPr>
          <w:rFonts w:ascii="Open Sans" w:hAnsi="Open Sans" w:cs="Open Sans"/>
        </w:rPr>
        <w:t>We believe i</w:t>
      </w:r>
      <w:r w:rsidR="006D5E42" w:rsidRPr="00D91A77">
        <w:rPr>
          <w:rFonts w:ascii="Open Sans" w:hAnsi="Open Sans" w:cs="Open Sans"/>
        </w:rPr>
        <w:t>t is important to differentiate between removal</w:t>
      </w:r>
      <w:r w:rsidR="00D73C20" w:rsidRPr="00D91A77">
        <w:rPr>
          <w:rFonts w:ascii="Open Sans" w:hAnsi="Open Sans" w:cs="Open Sans"/>
        </w:rPr>
        <w:t xml:space="preserve"> and</w:t>
      </w:r>
      <w:r w:rsidR="006D5E42" w:rsidRPr="00D91A77">
        <w:rPr>
          <w:rFonts w:ascii="Open Sans" w:hAnsi="Open Sans" w:cs="Open Sans"/>
        </w:rPr>
        <w:t xml:space="preserve"> </w:t>
      </w:r>
      <w:r w:rsidR="0048702C" w:rsidRPr="00D91A77">
        <w:rPr>
          <w:rFonts w:ascii="Open Sans" w:hAnsi="Open Sans" w:cs="Open Sans"/>
        </w:rPr>
        <w:t>reduction</w:t>
      </w:r>
      <w:r w:rsidR="00ED6863" w:rsidRPr="00D91A77">
        <w:rPr>
          <w:rFonts w:ascii="Open Sans" w:hAnsi="Open Sans" w:cs="Open Sans"/>
        </w:rPr>
        <w:t xml:space="preserve">, as well as </w:t>
      </w:r>
      <w:r w:rsidR="00D73C20" w:rsidRPr="00D91A77">
        <w:rPr>
          <w:rFonts w:ascii="Open Sans" w:hAnsi="Open Sans" w:cs="Open Sans"/>
        </w:rPr>
        <w:t xml:space="preserve">different levels of </w:t>
      </w:r>
      <w:r w:rsidR="006D5E42" w:rsidRPr="00D91A77">
        <w:rPr>
          <w:rFonts w:ascii="Open Sans" w:hAnsi="Open Sans" w:cs="Open Sans"/>
        </w:rPr>
        <w:t>permanence</w:t>
      </w:r>
      <w:r w:rsidR="0055010A" w:rsidRPr="00D91A77">
        <w:rPr>
          <w:rFonts w:ascii="Open Sans" w:hAnsi="Open Sans" w:cs="Open Sans"/>
        </w:rPr>
        <w:t>, which</w:t>
      </w:r>
      <w:r w:rsidR="00055C85" w:rsidRPr="00D91A77">
        <w:rPr>
          <w:rFonts w:ascii="Open Sans" w:hAnsi="Open Sans" w:cs="Open Sans"/>
        </w:rPr>
        <w:t xml:space="preserve"> </w:t>
      </w:r>
      <w:r w:rsidR="0055010A" w:rsidRPr="00D91A77">
        <w:rPr>
          <w:rFonts w:ascii="Open Sans" w:hAnsi="Open Sans" w:cs="Open Sans"/>
        </w:rPr>
        <w:t xml:space="preserve">could be achieved by </w:t>
      </w:r>
      <w:r w:rsidR="00536ED6" w:rsidRPr="00D91A77">
        <w:rPr>
          <w:rFonts w:ascii="Open Sans" w:hAnsi="Open Sans" w:cs="Open Sans"/>
        </w:rPr>
        <w:t xml:space="preserve">some form </w:t>
      </w:r>
      <w:r w:rsidR="009B6BF2" w:rsidRPr="00D91A77">
        <w:rPr>
          <w:rFonts w:ascii="Open Sans" w:hAnsi="Open Sans" w:cs="Open Sans"/>
        </w:rPr>
        <w:t>of banding</w:t>
      </w:r>
      <w:r w:rsidR="00536ED6" w:rsidRPr="00D91A77">
        <w:rPr>
          <w:rFonts w:ascii="Open Sans" w:hAnsi="Open Sans" w:cs="Open Sans"/>
        </w:rPr>
        <w:t>/</w:t>
      </w:r>
      <w:r w:rsidR="009B6BF2" w:rsidRPr="00D91A77">
        <w:rPr>
          <w:rFonts w:ascii="Open Sans" w:hAnsi="Open Sans" w:cs="Open Sans"/>
        </w:rPr>
        <w:t>equivalence</w:t>
      </w:r>
      <w:r w:rsidR="00536ED6" w:rsidRPr="00D91A77">
        <w:rPr>
          <w:rFonts w:ascii="Open Sans" w:hAnsi="Open Sans" w:cs="Open Sans"/>
        </w:rPr>
        <w:t xml:space="preserve"> ratio </w:t>
      </w:r>
      <w:r w:rsidR="00BF4E2C" w:rsidRPr="00D91A77">
        <w:rPr>
          <w:rFonts w:ascii="Open Sans" w:hAnsi="Open Sans" w:cs="Open Sans"/>
        </w:rPr>
        <w:t>of</w:t>
      </w:r>
      <w:r w:rsidR="0055010A" w:rsidRPr="00D91A77">
        <w:rPr>
          <w:rFonts w:ascii="Open Sans" w:hAnsi="Open Sans" w:cs="Open Sans"/>
        </w:rPr>
        <w:t xml:space="preserve"> </w:t>
      </w:r>
      <w:r w:rsidR="00055C85" w:rsidRPr="00D91A77">
        <w:rPr>
          <w:rFonts w:ascii="Open Sans" w:hAnsi="Open Sans" w:cs="Open Sans"/>
        </w:rPr>
        <w:t>GGR allowances.</w:t>
      </w:r>
      <w:r w:rsidR="00BF7CB1" w:rsidRPr="00D91A77">
        <w:rPr>
          <w:rFonts w:ascii="Open Sans" w:hAnsi="Open Sans" w:cs="Open Sans"/>
        </w:rPr>
        <w:t xml:space="preserve"> </w:t>
      </w:r>
      <w:r w:rsidR="00F71D58" w:rsidRPr="00D91A77">
        <w:rPr>
          <w:rFonts w:ascii="Open Sans" w:hAnsi="Open Sans" w:cs="Open Sans"/>
        </w:rPr>
        <w:t xml:space="preserve">Without </w:t>
      </w:r>
      <w:r w:rsidR="00592242" w:rsidRPr="00D91A77">
        <w:rPr>
          <w:rFonts w:ascii="Open Sans" w:hAnsi="Open Sans" w:cs="Open Sans"/>
        </w:rPr>
        <w:t xml:space="preserve">this level of </w:t>
      </w:r>
      <w:r w:rsidR="00F71D58" w:rsidRPr="00D91A77">
        <w:rPr>
          <w:rFonts w:ascii="Open Sans" w:hAnsi="Open Sans" w:cs="Open Sans"/>
        </w:rPr>
        <w:t xml:space="preserve">differentiation, it is likely that projects will look to enter bilateral agreements, outside the </w:t>
      </w:r>
      <w:r w:rsidR="00592242" w:rsidRPr="00D91A77">
        <w:rPr>
          <w:rFonts w:ascii="Open Sans" w:hAnsi="Open Sans" w:cs="Open Sans"/>
        </w:rPr>
        <w:t>auction</w:t>
      </w:r>
      <w:r w:rsidR="00F71D58" w:rsidRPr="00D91A77">
        <w:rPr>
          <w:rFonts w:ascii="Open Sans" w:hAnsi="Open Sans" w:cs="Open Sans"/>
        </w:rPr>
        <w:t xml:space="preserve"> process. </w:t>
      </w:r>
      <w:r w:rsidR="00592242" w:rsidRPr="00D91A77">
        <w:rPr>
          <w:rFonts w:ascii="Open Sans" w:hAnsi="Open Sans" w:cs="Open Sans"/>
        </w:rPr>
        <w:t xml:space="preserve">Ultimately, there’s a balance to be struck between providing as much transparency as possible, </w:t>
      </w:r>
      <w:r w:rsidR="00840ACB" w:rsidRPr="00D91A77">
        <w:rPr>
          <w:rFonts w:ascii="Open Sans" w:hAnsi="Open Sans" w:cs="Open Sans"/>
        </w:rPr>
        <w:t>without creating barriers or adding complexity to a nascent market</w:t>
      </w:r>
      <w:r w:rsidR="002211F9" w:rsidRPr="00D91A77">
        <w:rPr>
          <w:rFonts w:ascii="Open Sans" w:hAnsi="Open Sans" w:cs="Open Sans"/>
        </w:rPr>
        <w:t xml:space="preserve">. As such, a further consideration might be to </w:t>
      </w:r>
      <w:r w:rsidR="001A05DF" w:rsidRPr="00D91A77">
        <w:rPr>
          <w:rFonts w:ascii="Open Sans" w:hAnsi="Open Sans" w:cs="Open Sans"/>
        </w:rPr>
        <w:t xml:space="preserve">provide </w:t>
      </w:r>
      <w:r w:rsidR="00462A05" w:rsidRPr="00D91A77">
        <w:rPr>
          <w:rFonts w:ascii="Open Sans" w:hAnsi="Open Sans" w:cs="Open Sans"/>
        </w:rPr>
        <w:t xml:space="preserve">guidance on what </w:t>
      </w:r>
      <w:r w:rsidRPr="00D91A77">
        <w:rPr>
          <w:rFonts w:ascii="Open Sans" w:hAnsi="Open Sans" w:cs="Open Sans"/>
        </w:rPr>
        <w:t xml:space="preserve">other </w:t>
      </w:r>
      <w:r w:rsidR="00462A05" w:rsidRPr="00D91A77">
        <w:rPr>
          <w:rFonts w:ascii="Open Sans" w:hAnsi="Open Sans" w:cs="Open Sans"/>
        </w:rPr>
        <w:t xml:space="preserve">information should be attached to GGRs, for example any biodiversity benefits. </w:t>
      </w:r>
    </w:p>
    <w:p w14:paraId="3C52E05E" w14:textId="77777777" w:rsidR="00462A05" w:rsidRPr="00D91A77" w:rsidRDefault="00462A05" w:rsidP="00BD1FA9">
      <w:pPr>
        <w:rPr>
          <w:rFonts w:ascii="Open Sans" w:hAnsi="Open Sans" w:cs="Open Sans"/>
        </w:rPr>
      </w:pPr>
    </w:p>
    <w:p w14:paraId="0197E28D" w14:textId="2EACC32B" w:rsidR="00BD1FA9" w:rsidRPr="00D91A77" w:rsidRDefault="00B251C1" w:rsidP="00BD1FA9">
      <w:pPr>
        <w:rPr>
          <w:rFonts w:ascii="Open Sans" w:hAnsi="Open Sans" w:cs="Open Sans"/>
        </w:rPr>
      </w:pPr>
      <w:r w:rsidRPr="00D91A77">
        <w:rPr>
          <w:rFonts w:ascii="Open Sans" w:hAnsi="Open Sans" w:cs="Open Sans"/>
        </w:rPr>
        <w:lastRenderedPageBreak/>
        <w:t>I</w:t>
      </w:r>
      <w:r w:rsidR="00BF7CB1" w:rsidRPr="00D91A77">
        <w:rPr>
          <w:rFonts w:ascii="Open Sans" w:hAnsi="Open Sans" w:cs="Open Sans"/>
        </w:rPr>
        <w:t>f the permanence framework is designed to support the integration of removals with geological storage, which generally have higher capex costs compared to nature-based removals</w:t>
      </w:r>
      <w:r w:rsidR="00471A82" w:rsidRPr="00D91A77">
        <w:rPr>
          <w:rFonts w:ascii="Open Sans" w:hAnsi="Open Sans" w:cs="Open Sans"/>
        </w:rPr>
        <w:t>, then there should be a price differentiation. Without one,</w:t>
      </w:r>
      <w:r w:rsidR="0051348E" w:rsidRPr="00D91A77">
        <w:rPr>
          <w:rFonts w:ascii="Open Sans" w:hAnsi="Open Sans" w:cs="Open Sans"/>
        </w:rPr>
        <w:t xml:space="preserve"> there is a risk of unintentionally making industry less competitive by inflating the price of UKAs</w:t>
      </w:r>
      <w:r w:rsidR="00407E2B" w:rsidRPr="00D91A77">
        <w:rPr>
          <w:rFonts w:ascii="Open Sans" w:hAnsi="Open Sans" w:cs="Open Sans"/>
        </w:rPr>
        <w:t xml:space="preserve">. </w:t>
      </w:r>
    </w:p>
    <w:p w14:paraId="7F1A0596" w14:textId="77777777" w:rsidR="00D16F33" w:rsidRPr="00D91A77" w:rsidRDefault="00D16F33" w:rsidP="00BD1FA9">
      <w:pPr>
        <w:rPr>
          <w:rFonts w:ascii="Open Sans" w:hAnsi="Open Sans" w:cs="Open Sans"/>
          <w:b/>
          <w:bCs/>
        </w:rPr>
      </w:pPr>
    </w:p>
    <w:p w14:paraId="7D4E993E" w14:textId="648B0C10" w:rsidR="00BD1FA9" w:rsidRPr="00D91A77" w:rsidRDefault="00BD1FA9" w:rsidP="00B77431">
      <w:pPr>
        <w:pStyle w:val="ListParagraph"/>
        <w:numPr>
          <w:ilvl w:val="0"/>
          <w:numId w:val="38"/>
        </w:numPr>
        <w:rPr>
          <w:rFonts w:ascii="Open Sans" w:hAnsi="Open Sans" w:cs="Open Sans"/>
          <w:b/>
          <w:bCs/>
        </w:rPr>
      </w:pPr>
      <w:r w:rsidRPr="00D91A77">
        <w:rPr>
          <w:rFonts w:ascii="Open Sans" w:hAnsi="Open Sans" w:cs="Open Sans"/>
          <w:b/>
          <w:bCs/>
        </w:rPr>
        <w:t>Will differentiated GGR allowances encourage non-compliance or non-trading entities to purchase these allowances?</w:t>
      </w:r>
    </w:p>
    <w:p w14:paraId="2AA67026" w14:textId="77777777" w:rsidR="008413B6" w:rsidRPr="00D91A77" w:rsidRDefault="008413B6" w:rsidP="008413B6">
      <w:pPr>
        <w:pStyle w:val="ListParagraph"/>
        <w:rPr>
          <w:rFonts w:ascii="Open Sans" w:hAnsi="Open Sans" w:cs="Open Sans"/>
          <w:b/>
          <w:bCs/>
        </w:rPr>
      </w:pPr>
    </w:p>
    <w:p w14:paraId="03EAF0EC" w14:textId="35FF2E39" w:rsidR="00562497" w:rsidRPr="00D91A77" w:rsidRDefault="00544A2A" w:rsidP="00BD1FA9">
      <w:pPr>
        <w:rPr>
          <w:rFonts w:ascii="Open Sans" w:hAnsi="Open Sans" w:cs="Open Sans"/>
        </w:rPr>
      </w:pPr>
      <w:r w:rsidRPr="00D91A77">
        <w:rPr>
          <w:rFonts w:ascii="Open Sans" w:hAnsi="Open Sans" w:cs="Open Sans"/>
        </w:rPr>
        <w:t>Integrating GGR</w:t>
      </w:r>
      <w:r w:rsidR="005466C2">
        <w:rPr>
          <w:rFonts w:ascii="Open Sans" w:hAnsi="Open Sans" w:cs="Open Sans"/>
        </w:rPr>
        <w:t>s</w:t>
      </w:r>
      <w:r w:rsidRPr="00D91A77">
        <w:rPr>
          <w:rFonts w:ascii="Open Sans" w:hAnsi="Open Sans" w:cs="Open Sans"/>
        </w:rPr>
        <w:t xml:space="preserve"> into the UK ETS, accompanied by clear criteria for approving robust removals and an </w:t>
      </w:r>
      <w:r w:rsidR="00FF27B1" w:rsidRPr="00D91A77">
        <w:rPr>
          <w:rFonts w:ascii="Open Sans" w:hAnsi="Open Sans" w:cs="Open Sans"/>
        </w:rPr>
        <w:t>ex-post</w:t>
      </w:r>
      <w:r w:rsidRPr="00D91A77">
        <w:rPr>
          <w:rFonts w:ascii="Open Sans" w:hAnsi="Open Sans" w:cs="Open Sans"/>
        </w:rPr>
        <w:t xml:space="preserve"> verification process, will </w:t>
      </w:r>
      <w:r w:rsidR="00951A0B" w:rsidRPr="00D91A77">
        <w:rPr>
          <w:rFonts w:ascii="Open Sans" w:hAnsi="Open Sans" w:cs="Open Sans"/>
        </w:rPr>
        <w:t>help strengthen the market</w:t>
      </w:r>
      <w:r w:rsidRPr="00D91A77">
        <w:rPr>
          <w:rFonts w:ascii="Open Sans" w:hAnsi="Open Sans" w:cs="Open Sans"/>
        </w:rPr>
        <w:t xml:space="preserve">. </w:t>
      </w:r>
      <w:r w:rsidR="00951A0B" w:rsidRPr="00D91A77">
        <w:rPr>
          <w:rFonts w:ascii="Open Sans" w:hAnsi="Open Sans" w:cs="Open Sans"/>
        </w:rPr>
        <w:t>However, i</w:t>
      </w:r>
      <w:r w:rsidR="000B76EB" w:rsidRPr="00D91A77">
        <w:rPr>
          <w:rFonts w:ascii="Open Sans" w:hAnsi="Open Sans" w:cs="Open Sans"/>
        </w:rPr>
        <w:t xml:space="preserve">t is important that generators </w:t>
      </w:r>
      <w:r w:rsidR="003F6F8C" w:rsidRPr="00D91A77">
        <w:rPr>
          <w:rFonts w:ascii="Open Sans" w:hAnsi="Open Sans" w:cs="Open Sans"/>
        </w:rPr>
        <w:t>can</w:t>
      </w:r>
      <w:r w:rsidR="000B76EB" w:rsidRPr="00D91A77">
        <w:rPr>
          <w:rFonts w:ascii="Open Sans" w:hAnsi="Open Sans" w:cs="Open Sans"/>
        </w:rPr>
        <w:t xml:space="preserve"> trade credits and GGR allowances in both the UK ETS and a carefully integrated VCM, provided there are checks and balances in place to ensure no double counting can take place. </w:t>
      </w:r>
      <w:r w:rsidR="008D110D" w:rsidRPr="00D91A77">
        <w:rPr>
          <w:rFonts w:ascii="Open Sans" w:hAnsi="Open Sans" w:cs="Open Sans"/>
        </w:rPr>
        <w:t xml:space="preserve">We recognise that integration with the VCM could </w:t>
      </w:r>
      <w:r w:rsidR="00B80CAB" w:rsidRPr="00D91A77">
        <w:rPr>
          <w:rFonts w:ascii="Open Sans" w:hAnsi="Open Sans" w:cs="Open Sans"/>
        </w:rPr>
        <w:t xml:space="preserve">result in more non-trading entities trading in a non-compliant way, but if integration is </w:t>
      </w:r>
      <w:r w:rsidR="00641E6B" w:rsidRPr="00D91A77">
        <w:rPr>
          <w:rFonts w:ascii="Open Sans" w:hAnsi="Open Sans" w:cs="Open Sans"/>
        </w:rPr>
        <w:t>handled</w:t>
      </w:r>
      <w:r w:rsidR="00B80CAB" w:rsidRPr="00D91A77">
        <w:rPr>
          <w:rFonts w:ascii="Open Sans" w:hAnsi="Open Sans" w:cs="Open Sans"/>
        </w:rPr>
        <w:t xml:space="preserve"> carefully, </w:t>
      </w:r>
      <w:r w:rsidR="00EF6C98" w:rsidRPr="00D91A77">
        <w:rPr>
          <w:rFonts w:ascii="Open Sans" w:hAnsi="Open Sans" w:cs="Open Sans"/>
        </w:rPr>
        <w:t>this</w:t>
      </w:r>
      <w:r w:rsidR="00B80CAB" w:rsidRPr="00D91A77">
        <w:rPr>
          <w:rFonts w:ascii="Open Sans" w:hAnsi="Open Sans" w:cs="Open Sans"/>
        </w:rPr>
        <w:t xml:space="preserve"> can be avoided</w:t>
      </w:r>
      <w:r w:rsidR="00DC705D" w:rsidRPr="00D91A77">
        <w:rPr>
          <w:rFonts w:ascii="Open Sans" w:hAnsi="Open Sans" w:cs="Open Sans"/>
        </w:rPr>
        <w:t xml:space="preserve">. </w:t>
      </w:r>
      <w:r w:rsidR="008771B0" w:rsidRPr="00D91A77">
        <w:rPr>
          <w:rFonts w:ascii="Open Sans" w:hAnsi="Open Sans" w:cs="Open Sans"/>
        </w:rPr>
        <w:t>This can also be managed by it being clear that</w:t>
      </w:r>
      <w:r w:rsidR="00982494" w:rsidRPr="00D91A77">
        <w:rPr>
          <w:rFonts w:ascii="Open Sans" w:hAnsi="Open Sans" w:cs="Open Sans"/>
        </w:rPr>
        <w:t xml:space="preserve"> the</w:t>
      </w:r>
      <w:r w:rsidR="008771B0" w:rsidRPr="00D91A77">
        <w:rPr>
          <w:rFonts w:ascii="Open Sans" w:hAnsi="Open Sans" w:cs="Open Sans"/>
        </w:rPr>
        <w:t xml:space="preserve"> GGR ETS credit is</w:t>
      </w:r>
      <w:r w:rsidR="00982494" w:rsidRPr="00D91A77">
        <w:rPr>
          <w:rFonts w:ascii="Open Sans" w:hAnsi="Open Sans" w:cs="Open Sans"/>
        </w:rPr>
        <w:t xml:space="preserve"> either granted or validated</w:t>
      </w:r>
      <w:r w:rsidR="008771B0" w:rsidRPr="00D91A77">
        <w:rPr>
          <w:rFonts w:ascii="Open Sans" w:hAnsi="Open Sans" w:cs="Open Sans"/>
        </w:rPr>
        <w:t xml:space="preserve"> at the point that it is sold into </w:t>
      </w:r>
      <w:r w:rsidR="00DB2E66" w:rsidRPr="00D91A77">
        <w:rPr>
          <w:rFonts w:ascii="Open Sans" w:hAnsi="Open Sans" w:cs="Open Sans"/>
        </w:rPr>
        <w:t xml:space="preserve">the ETS market, and not before. </w:t>
      </w:r>
      <w:r w:rsidR="00982494" w:rsidRPr="00D91A77">
        <w:rPr>
          <w:rFonts w:ascii="Open Sans" w:hAnsi="Open Sans" w:cs="Open Sans"/>
        </w:rPr>
        <w:t>This will mean non-compliance or non-trading entities are free to buy the credit without direct impact on the ETS</w:t>
      </w:r>
      <w:r w:rsidR="00B44DD9" w:rsidRPr="00D91A77">
        <w:rPr>
          <w:rFonts w:ascii="Open Sans" w:hAnsi="Open Sans" w:cs="Open Sans"/>
        </w:rPr>
        <w:t xml:space="preserve"> volumes</w:t>
      </w:r>
      <w:r w:rsidR="00982494" w:rsidRPr="00D91A77">
        <w:rPr>
          <w:rFonts w:ascii="Open Sans" w:hAnsi="Open Sans" w:cs="Open Sans"/>
        </w:rPr>
        <w:t xml:space="preserve"> itself. </w:t>
      </w:r>
    </w:p>
    <w:p w14:paraId="35559F2D" w14:textId="77777777" w:rsidR="00562497" w:rsidRPr="00D91A77" w:rsidRDefault="00562497" w:rsidP="00BD1FA9">
      <w:pPr>
        <w:rPr>
          <w:rFonts w:ascii="Open Sans" w:hAnsi="Open Sans" w:cs="Open Sans"/>
        </w:rPr>
      </w:pPr>
    </w:p>
    <w:p w14:paraId="221EBB04" w14:textId="273B7BF2" w:rsidR="000B76EB" w:rsidRPr="00D91A77" w:rsidRDefault="00562497" w:rsidP="00BD1FA9">
      <w:pPr>
        <w:rPr>
          <w:rFonts w:ascii="Open Sans" w:hAnsi="Open Sans" w:cs="Open Sans"/>
        </w:rPr>
      </w:pPr>
      <w:r w:rsidRPr="00D91A77">
        <w:rPr>
          <w:rFonts w:ascii="Open Sans" w:hAnsi="Open Sans" w:cs="Open Sans"/>
        </w:rPr>
        <w:t xml:space="preserve">In </w:t>
      </w:r>
      <w:r w:rsidR="00C92EF2" w:rsidRPr="00D91A77">
        <w:rPr>
          <w:rFonts w:ascii="Open Sans" w:hAnsi="Open Sans" w:cs="Open Sans"/>
        </w:rPr>
        <w:t>addition, to</w:t>
      </w:r>
      <w:r w:rsidR="00FE2F4A" w:rsidRPr="00D91A77">
        <w:rPr>
          <w:rFonts w:ascii="Open Sans" w:hAnsi="Open Sans" w:cs="Open Sans"/>
        </w:rPr>
        <w:t xml:space="preserve"> develop this market in the first place, </w:t>
      </w:r>
      <w:r w:rsidR="00562E18" w:rsidRPr="00D91A77">
        <w:rPr>
          <w:rFonts w:ascii="Open Sans" w:hAnsi="Open Sans" w:cs="Open Sans"/>
        </w:rPr>
        <w:t xml:space="preserve">investors need confidence in the supply </w:t>
      </w:r>
      <w:r w:rsidR="0025448F" w:rsidRPr="00D91A77">
        <w:rPr>
          <w:rFonts w:ascii="Open Sans" w:hAnsi="Open Sans" w:cs="Open Sans"/>
        </w:rPr>
        <w:t xml:space="preserve">of projects. </w:t>
      </w:r>
      <w:r w:rsidR="003E634C" w:rsidRPr="00D91A77">
        <w:rPr>
          <w:rFonts w:ascii="Open Sans" w:hAnsi="Open Sans" w:cs="Open Sans"/>
        </w:rPr>
        <w:t>Differentiating between removals and UKAs by either inflating the price of UK removals over UKAs or by setting a price floor for both</w:t>
      </w:r>
      <w:r w:rsidR="002C7D03" w:rsidRPr="00D91A77">
        <w:rPr>
          <w:rFonts w:ascii="Open Sans" w:hAnsi="Open Sans" w:cs="Open Sans"/>
        </w:rPr>
        <w:t xml:space="preserve"> </w:t>
      </w:r>
      <w:r w:rsidR="00D05730" w:rsidRPr="00D91A77">
        <w:rPr>
          <w:rFonts w:ascii="Open Sans" w:hAnsi="Open Sans" w:cs="Open Sans"/>
        </w:rPr>
        <w:t>could help</w:t>
      </w:r>
      <w:r w:rsidR="002C7D03" w:rsidRPr="00D91A77">
        <w:rPr>
          <w:rFonts w:ascii="Open Sans" w:hAnsi="Open Sans" w:cs="Open Sans"/>
        </w:rPr>
        <w:t xml:space="preserve"> drive demand and investment. </w:t>
      </w:r>
    </w:p>
    <w:p w14:paraId="7748FF42" w14:textId="77777777" w:rsidR="000B76EB" w:rsidRPr="00D91A77" w:rsidRDefault="000B76EB" w:rsidP="00BD1FA9">
      <w:pPr>
        <w:rPr>
          <w:rFonts w:ascii="Open Sans" w:hAnsi="Open Sans" w:cs="Open Sans"/>
          <w:b/>
          <w:bCs/>
        </w:rPr>
      </w:pPr>
    </w:p>
    <w:p w14:paraId="5019E936" w14:textId="70C55072" w:rsidR="00BD1FA9" w:rsidRPr="00D91A77" w:rsidRDefault="00BD1FA9" w:rsidP="00B9067E">
      <w:pPr>
        <w:pStyle w:val="ListParagraph"/>
        <w:numPr>
          <w:ilvl w:val="0"/>
          <w:numId w:val="38"/>
        </w:numPr>
        <w:rPr>
          <w:rFonts w:ascii="Open Sans" w:hAnsi="Open Sans" w:cs="Open Sans"/>
          <w:b/>
          <w:bCs/>
        </w:rPr>
      </w:pPr>
      <w:r w:rsidRPr="00D91A77">
        <w:rPr>
          <w:rFonts w:ascii="Open Sans" w:hAnsi="Open Sans" w:cs="Open Sans"/>
          <w:b/>
          <w:bCs/>
        </w:rPr>
        <w:t>What should the Authority’s role be in facilitating a route to market for allowances from GGRs?</w:t>
      </w:r>
    </w:p>
    <w:p w14:paraId="19EE0531" w14:textId="77777777" w:rsidR="00C90428" w:rsidRPr="00D91A77" w:rsidRDefault="00C90428" w:rsidP="00C90428">
      <w:pPr>
        <w:pStyle w:val="ListParagraph"/>
        <w:rPr>
          <w:rFonts w:ascii="Open Sans" w:hAnsi="Open Sans" w:cs="Open Sans"/>
          <w:b/>
          <w:bCs/>
        </w:rPr>
      </w:pPr>
    </w:p>
    <w:p w14:paraId="77D19CB7" w14:textId="31CDBEBD" w:rsidR="00C47FDA" w:rsidRPr="00D91A77" w:rsidRDefault="00C90428" w:rsidP="00976BCF">
      <w:pPr>
        <w:rPr>
          <w:rFonts w:ascii="Open Sans" w:hAnsi="Open Sans" w:cs="Open Sans"/>
        </w:rPr>
      </w:pPr>
      <w:r w:rsidRPr="00D91A77">
        <w:rPr>
          <w:rFonts w:ascii="Open Sans" w:hAnsi="Open Sans" w:cs="Open Sans"/>
        </w:rPr>
        <w:t>S</w:t>
      </w:r>
      <w:r w:rsidR="00976BCF" w:rsidRPr="00D91A77">
        <w:rPr>
          <w:rFonts w:ascii="Open Sans" w:hAnsi="Open Sans" w:cs="Open Sans"/>
        </w:rPr>
        <w:t xml:space="preserve">eparate auctions </w:t>
      </w:r>
      <w:r w:rsidR="00B72416" w:rsidRPr="00D91A77">
        <w:rPr>
          <w:rFonts w:ascii="Open Sans" w:hAnsi="Open Sans" w:cs="Open Sans"/>
        </w:rPr>
        <w:t xml:space="preserve">for </w:t>
      </w:r>
      <w:r w:rsidR="00DB5F53" w:rsidRPr="00D91A77">
        <w:rPr>
          <w:rFonts w:ascii="Open Sans" w:hAnsi="Open Sans" w:cs="Open Sans"/>
        </w:rPr>
        <w:t>generic</w:t>
      </w:r>
      <w:r w:rsidR="00B72416" w:rsidRPr="00D91A77">
        <w:rPr>
          <w:rFonts w:ascii="Open Sans" w:hAnsi="Open Sans" w:cs="Open Sans"/>
        </w:rPr>
        <w:t xml:space="preserve"> GGRs would help drive price discovery,</w:t>
      </w:r>
      <w:r w:rsidRPr="00D91A77">
        <w:rPr>
          <w:rFonts w:ascii="Open Sans" w:hAnsi="Open Sans" w:cs="Open Sans"/>
        </w:rPr>
        <w:t xml:space="preserve"> which is particularly important as the market is </w:t>
      </w:r>
      <w:r w:rsidR="00F64656" w:rsidRPr="00D91A77">
        <w:rPr>
          <w:rFonts w:ascii="Open Sans" w:hAnsi="Open Sans" w:cs="Open Sans"/>
        </w:rPr>
        <w:t>developing</w:t>
      </w:r>
      <w:r w:rsidRPr="00D91A77">
        <w:rPr>
          <w:rFonts w:ascii="Open Sans" w:hAnsi="Open Sans" w:cs="Open Sans"/>
        </w:rPr>
        <w:t>. However, we also think th</w:t>
      </w:r>
      <w:r w:rsidR="00B26E5D" w:rsidRPr="00D91A77">
        <w:rPr>
          <w:rFonts w:ascii="Open Sans" w:hAnsi="Open Sans" w:cs="Open Sans"/>
        </w:rPr>
        <w:t xml:space="preserve">at operators who meet the UK ETS requirements should be able to sell allowances to buyers on the secondary market. </w:t>
      </w:r>
      <w:r w:rsidR="00F64656" w:rsidRPr="00D91A77">
        <w:rPr>
          <w:rFonts w:ascii="Open Sans" w:hAnsi="Open Sans" w:cs="Open Sans"/>
        </w:rPr>
        <w:t>T</w:t>
      </w:r>
      <w:r w:rsidR="00B26E5D" w:rsidRPr="00D91A77">
        <w:rPr>
          <w:rFonts w:ascii="Open Sans" w:hAnsi="Open Sans" w:cs="Open Sans"/>
        </w:rPr>
        <w:t xml:space="preserve">hese options </w:t>
      </w:r>
      <w:r w:rsidR="00F64656" w:rsidRPr="00D91A77">
        <w:rPr>
          <w:rFonts w:ascii="Open Sans" w:hAnsi="Open Sans" w:cs="Open Sans"/>
        </w:rPr>
        <w:t xml:space="preserve">do not need to be </w:t>
      </w:r>
      <w:r w:rsidR="00B26E5D" w:rsidRPr="00D91A77">
        <w:rPr>
          <w:rFonts w:ascii="Open Sans" w:hAnsi="Open Sans" w:cs="Open Sans"/>
        </w:rPr>
        <w:t>mutually exclusive</w:t>
      </w:r>
      <w:r w:rsidR="00641E6B" w:rsidRPr="00D91A77">
        <w:rPr>
          <w:rFonts w:ascii="Open Sans" w:hAnsi="Open Sans" w:cs="Open Sans"/>
        </w:rPr>
        <w:t xml:space="preserve">. </w:t>
      </w:r>
    </w:p>
    <w:p w14:paraId="30B1E27E" w14:textId="77777777" w:rsidR="00C47FDA" w:rsidRPr="00D91A77" w:rsidRDefault="00C47FDA" w:rsidP="00976BCF">
      <w:pPr>
        <w:rPr>
          <w:rFonts w:ascii="Open Sans" w:hAnsi="Open Sans" w:cs="Open Sans"/>
        </w:rPr>
      </w:pPr>
    </w:p>
    <w:p w14:paraId="6AAEA2A6" w14:textId="13CBC20E" w:rsidR="00976BCF" w:rsidRPr="00D91A77" w:rsidRDefault="00C47FDA" w:rsidP="00976BCF">
      <w:pPr>
        <w:rPr>
          <w:rFonts w:ascii="Open Sans" w:hAnsi="Open Sans" w:cs="Open Sans"/>
        </w:rPr>
      </w:pPr>
      <w:r w:rsidRPr="00D91A77">
        <w:rPr>
          <w:rFonts w:ascii="Open Sans" w:hAnsi="Open Sans" w:cs="Open Sans"/>
        </w:rPr>
        <w:t>The Authority could also mandate that emitters purchase a set proportion of UK</w:t>
      </w:r>
      <w:r w:rsidR="00C44554" w:rsidRPr="00D91A77">
        <w:rPr>
          <w:rFonts w:ascii="Open Sans" w:hAnsi="Open Sans" w:cs="Open Sans"/>
        </w:rPr>
        <w:t xml:space="preserve"> removal</w:t>
      </w:r>
      <w:r w:rsidRPr="00D91A77">
        <w:rPr>
          <w:rFonts w:ascii="Open Sans" w:hAnsi="Open Sans" w:cs="Open Sans"/>
        </w:rPr>
        <w:t>s</w:t>
      </w:r>
      <w:r w:rsidR="00034464" w:rsidRPr="00D91A77">
        <w:rPr>
          <w:rFonts w:ascii="Open Sans" w:hAnsi="Open Sans" w:cs="Open Sans"/>
        </w:rPr>
        <w:t>,</w:t>
      </w:r>
      <w:r w:rsidRPr="00D91A77">
        <w:rPr>
          <w:rFonts w:ascii="Open Sans" w:hAnsi="Open Sans" w:cs="Open Sans"/>
        </w:rPr>
        <w:t xml:space="preserve"> set</w:t>
      </w:r>
      <w:r w:rsidR="00034464" w:rsidRPr="00D91A77">
        <w:rPr>
          <w:rFonts w:ascii="Open Sans" w:hAnsi="Open Sans" w:cs="Open Sans"/>
        </w:rPr>
        <w:t>tin</w:t>
      </w:r>
      <w:r w:rsidR="007C1248" w:rsidRPr="00D91A77">
        <w:rPr>
          <w:rFonts w:ascii="Open Sans" w:hAnsi="Open Sans" w:cs="Open Sans"/>
        </w:rPr>
        <w:t>g</w:t>
      </w:r>
      <w:r w:rsidRPr="00D91A77">
        <w:rPr>
          <w:rFonts w:ascii="Open Sans" w:hAnsi="Open Sans" w:cs="Open Sans"/>
        </w:rPr>
        <w:t xml:space="preserve"> the proportion at the same</w:t>
      </w:r>
      <w:r w:rsidR="001E595C" w:rsidRPr="00D91A77">
        <w:rPr>
          <w:rFonts w:ascii="Open Sans" w:hAnsi="Open Sans" w:cs="Open Sans"/>
        </w:rPr>
        <w:t xml:space="preserve"> rate</w:t>
      </w:r>
      <w:r w:rsidRPr="00D91A77">
        <w:rPr>
          <w:rFonts w:ascii="Open Sans" w:hAnsi="Open Sans" w:cs="Open Sans"/>
        </w:rPr>
        <w:t xml:space="preserve"> as the supply in the market and increase the requirements fo</w:t>
      </w:r>
      <w:r w:rsidR="001E595C" w:rsidRPr="00D91A77">
        <w:rPr>
          <w:rFonts w:ascii="Open Sans" w:hAnsi="Open Sans" w:cs="Open Sans"/>
        </w:rPr>
        <w:t>r UK removals</w:t>
      </w:r>
      <w:r w:rsidRPr="00D91A77">
        <w:rPr>
          <w:rFonts w:ascii="Open Sans" w:hAnsi="Open Sans" w:cs="Open Sans"/>
        </w:rPr>
        <w:t xml:space="preserve"> over time</w:t>
      </w:r>
      <w:r w:rsidR="00E50437" w:rsidRPr="00D91A77">
        <w:rPr>
          <w:rFonts w:ascii="Open Sans" w:hAnsi="Open Sans" w:cs="Open Sans"/>
        </w:rPr>
        <w:t xml:space="preserve"> and </w:t>
      </w:r>
      <w:r w:rsidRPr="00D91A77">
        <w:rPr>
          <w:rFonts w:ascii="Open Sans" w:hAnsi="Open Sans" w:cs="Open Sans"/>
        </w:rPr>
        <w:t>in line with the overall supply of GGRs in the UK ETS as the market develops.</w:t>
      </w:r>
    </w:p>
    <w:p w14:paraId="4BDE1B6E" w14:textId="77777777" w:rsidR="00BD1FA9" w:rsidRPr="00D91A77" w:rsidRDefault="00BD1FA9" w:rsidP="00BD1FA9">
      <w:pPr>
        <w:rPr>
          <w:rFonts w:ascii="Open Sans" w:hAnsi="Open Sans" w:cs="Open Sans"/>
          <w:b/>
          <w:bCs/>
        </w:rPr>
      </w:pPr>
    </w:p>
    <w:p w14:paraId="6D68F98B" w14:textId="33CCFE90" w:rsidR="00BD1FA9" w:rsidRPr="00D91A77" w:rsidRDefault="00BD1FA9" w:rsidP="00EE785E">
      <w:pPr>
        <w:pStyle w:val="ListParagraph"/>
        <w:numPr>
          <w:ilvl w:val="0"/>
          <w:numId w:val="38"/>
        </w:numPr>
        <w:rPr>
          <w:rFonts w:ascii="Open Sans" w:hAnsi="Open Sans" w:cs="Open Sans"/>
          <w:b/>
          <w:bCs/>
        </w:rPr>
      </w:pPr>
      <w:r w:rsidRPr="00D91A77">
        <w:rPr>
          <w:rFonts w:ascii="Open Sans" w:hAnsi="Open Sans" w:cs="Open Sans"/>
          <w:b/>
          <w:bCs/>
        </w:rPr>
        <w:t>Do you agree that allowances should only be awarded to UK-based GGRs? We welcome views from all stakeholders including sector-specific considerations. Please explain your answer.</w:t>
      </w:r>
    </w:p>
    <w:p w14:paraId="78D8F3B1" w14:textId="77777777" w:rsidR="00601606" w:rsidRPr="00D91A77" w:rsidRDefault="00601606" w:rsidP="00601606">
      <w:pPr>
        <w:rPr>
          <w:rFonts w:ascii="Open Sans" w:hAnsi="Open Sans" w:cs="Open Sans"/>
        </w:rPr>
      </w:pPr>
    </w:p>
    <w:p w14:paraId="7AFF5EC8" w14:textId="35F0EF4A" w:rsidR="00727350" w:rsidRPr="00D91A77" w:rsidRDefault="00727350" w:rsidP="00E0143E">
      <w:pPr>
        <w:rPr>
          <w:rFonts w:ascii="Open Sans" w:hAnsi="Open Sans" w:cs="Open Sans"/>
        </w:rPr>
      </w:pPr>
      <w:r w:rsidRPr="00D91A77">
        <w:rPr>
          <w:rFonts w:ascii="Open Sans" w:hAnsi="Open Sans" w:cs="Open Sans"/>
        </w:rPr>
        <w:t xml:space="preserve">The integration of GGRs into the UK ETS </w:t>
      </w:r>
      <w:r w:rsidR="008503C6" w:rsidRPr="00D91A77">
        <w:rPr>
          <w:rFonts w:ascii="Open Sans" w:hAnsi="Open Sans" w:cs="Open Sans"/>
        </w:rPr>
        <w:t>should align with and</w:t>
      </w:r>
      <w:r w:rsidRPr="00D91A77">
        <w:rPr>
          <w:rFonts w:ascii="Open Sans" w:hAnsi="Open Sans" w:cs="Open Sans"/>
        </w:rPr>
        <w:t xml:space="preserve"> complement the design of the BECCS Business Model. </w:t>
      </w:r>
      <w:r w:rsidR="00CC5862" w:rsidRPr="00D91A77">
        <w:rPr>
          <w:rFonts w:ascii="Open Sans" w:hAnsi="Open Sans" w:cs="Open Sans"/>
        </w:rPr>
        <w:t xml:space="preserve">As such, any </w:t>
      </w:r>
      <w:r w:rsidRPr="00D91A77">
        <w:rPr>
          <w:rFonts w:ascii="Open Sans" w:hAnsi="Open Sans" w:cs="Open Sans"/>
        </w:rPr>
        <w:t xml:space="preserve">cap allowance for UK removals </w:t>
      </w:r>
      <w:r w:rsidR="00CC5862" w:rsidRPr="00D91A77">
        <w:rPr>
          <w:rFonts w:ascii="Open Sans" w:hAnsi="Open Sans" w:cs="Open Sans"/>
        </w:rPr>
        <w:t>should be designed to</w:t>
      </w:r>
      <w:r w:rsidRPr="00D91A77">
        <w:rPr>
          <w:rFonts w:ascii="Open Sans" w:hAnsi="Open Sans" w:cs="Open Sans"/>
        </w:rPr>
        <w:t xml:space="preserve"> accommodate the volume of credits that will be coming online from 2030 that could be sold via the UK ETS. </w:t>
      </w:r>
    </w:p>
    <w:p w14:paraId="151F4B17" w14:textId="77777777" w:rsidR="00727350" w:rsidRPr="00D91A77" w:rsidRDefault="00727350" w:rsidP="00E0143E">
      <w:pPr>
        <w:rPr>
          <w:rFonts w:ascii="Open Sans" w:hAnsi="Open Sans" w:cs="Open Sans"/>
        </w:rPr>
      </w:pPr>
    </w:p>
    <w:p w14:paraId="65E711F4" w14:textId="29BE10A0" w:rsidR="00E0143E" w:rsidRDefault="00AD6BD2" w:rsidP="00E0143E">
      <w:pPr>
        <w:rPr>
          <w:rFonts w:ascii="Open Sans" w:hAnsi="Open Sans" w:cs="Open Sans"/>
        </w:rPr>
      </w:pPr>
      <w:r w:rsidRPr="00D91A77">
        <w:rPr>
          <w:rFonts w:ascii="Open Sans" w:hAnsi="Open Sans" w:cs="Open Sans"/>
        </w:rPr>
        <w:lastRenderedPageBreak/>
        <w:t xml:space="preserve">To drive the growth of the UK market, we agree that initial </w:t>
      </w:r>
      <w:r w:rsidR="00E0143E" w:rsidRPr="00D91A77">
        <w:rPr>
          <w:rFonts w:ascii="Open Sans" w:hAnsi="Open Sans" w:cs="Open Sans"/>
        </w:rPr>
        <w:t>eligibility</w:t>
      </w:r>
      <w:r w:rsidRPr="00D91A77">
        <w:rPr>
          <w:rFonts w:ascii="Open Sans" w:hAnsi="Open Sans" w:cs="Open Sans"/>
        </w:rPr>
        <w:t xml:space="preserve"> should be</w:t>
      </w:r>
      <w:r w:rsidR="00E0143E" w:rsidRPr="00D91A77">
        <w:rPr>
          <w:rFonts w:ascii="Open Sans" w:hAnsi="Open Sans" w:cs="Open Sans"/>
        </w:rPr>
        <w:t xml:space="preserve"> limited to domestic projects only, w</w:t>
      </w:r>
      <w:r w:rsidR="00346EF1" w:rsidRPr="00D91A77">
        <w:rPr>
          <w:rFonts w:ascii="Open Sans" w:hAnsi="Open Sans" w:cs="Open Sans"/>
        </w:rPr>
        <w:t>here</w:t>
      </w:r>
      <w:r w:rsidR="00E0143E" w:rsidRPr="00D91A77">
        <w:rPr>
          <w:rFonts w:ascii="Open Sans" w:hAnsi="Open Sans" w:cs="Open Sans"/>
        </w:rPr>
        <w:t xml:space="preserve"> capture and storage of CO2 tak</w:t>
      </w:r>
      <w:r w:rsidR="00346EF1" w:rsidRPr="00D91A77">
        <w:rPr>
          <w:rFonts w:ascii="Open Sans" w:hAnsi="Open Sans" w:cs="Open Sans"/>
        </w:rPr>
        <w:t>es</w:t>
      </w:r>
      <w:r w:rsidR="00E0143E" w:rsidRPr="00D91A77">
        <w:rPr>
          <w:rFonts w:ascii="Open Sans" w:hAnsi="Open Sans" w:cs="Open Sans"/>
        </w:rPr>
        <w:t xml:space="preserve"> place in the UK. </w:t>
      </w:r>
      <w:r w:rsidR="00B05DE0" w:rsidRPr="00D91A77">
        <w:rPr>
          <w:rFonts w:ascii="Open Sans" w:hAnsi="Open Sans" w:cs="Open Sans"/>
        </w:rPr>
        <w:t>That said, if there is disparity between the supply and demand of GGRs, then</w:t>
      </w:r>
      <w:r w:rsidR="00A545E5" w:rsidRPr="00D91A77">
        <w:rPr>
          <w:rFonts w:ascii="Open Sans" w:hAnsi="Open Sans" w:cs="Open Sans"/>
        </w:rPr>
        <w:t xml:space="preserve"> </w:t>
      </w:r>
      <w:r w:rsidR="0085394F" w:rsidRPr="00D91A77">
        <w:rPr>
          <w:rFonts w:ascii="Open Sans" w:hAnsi="Open Sans" w:cs="Open Sans"/>
        </w:rPr>
        <w:t xml:space="preserve">looking </w:t>
      </w:r>
      <w:r w:rsidR="00E95329" w:rsidRPr="00D91A77">
        <w:rPr>
          <w:rFonts w:ascii="Open Sans" w:hAnsi="Open Sans" w:cs="Open Sans"/>
        </w:rPr>
        <w:t xml:space="preserve">beyond the UK (provided the market has </w:t>
      </w:r>
      <w:r w:rsidR="00037C3B" w:rsidRPr="00D91A77">
        <w:rPr>
          <w:rFonts w:ascii="Open Sans" w:hAnsi="Open Sans" w:cs="Open Sans"/>
        </w:rPr>
        <w:t>robust</w:t>
      </w:r>
      <w:r w:rsidR="00E95329" w:rsidRPr="00D91A77">
        <w:rPr>
          <w:rFonts w:ascii="Open Sans" w:hAnsi="Open Sans" w:cs="Open Sans"/>
        </w:rPr>
        <w:t xml:space="preserve"> MRV </w:t>
      </w:r>
      <w:r w:rsidR="00037C3B" w:rsidRPr="00D91A77">
        <w:rPr>
          <w:rFonts w:ascii="Open Sans" w:hAnsi="Open Sans" w:cs="Open Sans"/>
        </w:rPr>
        <w:t xml:space="preserve">requirements in place) may help to meet UK demand. </w:t>
      </w:r>
      <w:r w:rsidR="00D73D6A" w:rsidRPr="00D91A77">
        <w:rPr>
          <w:rFonts w:ascii="Open Sans" w:hAnsi="Open Sans" w:cs="Open Sans"/>
        </w:rPr>
        <w:t>T</w:t>
      </w:r>
      <w:r w:rsidR="00C45B3A" w:rsidRPr="00D91A77">
        <w:rPr>
          <w:rFonts w:ascii="Open Sans" w:hAnsi="Open Sans" w:cs="Open Sans"/>
        </w:rPr>
        <w:t>he design of GGR integration in the UK ETS should be evolved over time, in collaboration with industry, as markets develop</w:t>
      </w:r>
      <w:r w:rsidR="0001028E" w:rsidRPr="00D91A77">
        <w:rPr>
          <w:rFonts w:ascii="Open Sans" w:hAnsi="Open Sans" w:cs="Open Sans"/>
        </w:rPr>
        <w:t xml:space="preserve">. For example, aligning with other, compliant markets like the EU ETS </w:t>
      </w:r>
      <w:r w:rsidR="00E0143E" w:rsidRPr="00D91A77">
        <w:rPr>
          <w:rFonts w:ascii="Open Sans" w:hAnsi="Open Sans" w:cs="Open Sans"/>
        </w:rPr>
        <w:t xml:space="preserve">should </w:t>
      </w:r>
      <w:r w:rsidR="0001028E" w:rsidRPr="00D91A77">
        <w:rPr>
          <w:rFonts w:ascii="Open Sans" w:hAnsi="Open Sans" w:cs="Open Sans"/>
        </w:rPr>
        <w:t>form</w:t>
      </w:r>
      <w:r w:rsidR="00E0143E" w:rsidRPr="00D91A77">
        <w:rPr>
          <w:rFonts w:ascii="Open Sans" w:hAnsi="Open Sans" w:cs="Open Sans"/>
        </w:rPr>
        <w:t xml:space="preserve"> </w:t>
      </w:r>
      <w:r w:rsidR="0001028E" w:rsidRPr="00D91A77">
        <w:rPr>
          <w:rFonts w:ascii="Open Sans" w:hAnsi="Open Sans" w:cs="Open Sans"/>
        </w:rPr>
        <w:t>future</w:t>
      </w:r>
      <w:r w:rsidR="00E0143E" w:rsidRPr="00D91A77">
        <w:rPr>
          <w:rFonts w:ascii="Open Sans" w:hAnsi="Open Sans" w:cs="Open Sans"/>
        </w:rPr>
        <w:t xml:space="preserve"> discussions and</w:t>
      </w:r>
      <w:r w:rsidR="0001028E" w:rsidRPr="00D91A77">
        <w:rPr>
          <w:rFonts w:ascii="Open Sans" w:hAnsi="Open Sans" w:cs="Open Sans"/>
        </w:rPr>
        <w:t xml:space="preserve"> be</w:t>
      </w:r>
      <w:r w:rsidR="00E0143E" w:rsidRPr="00D91A77">
        <w:rPr>
          <w:rFonts w:ascii="Open Sans" w:hAnsi="Open Sans" w:cs="Open Sans"/>
        </w:rPr>
        <w:t xml:space="preserve"> explored at the earliest opportunity</w:t>
      </w:r>
      <w:r w:rsidR="00DF4B45" w:rsidRPr="00D91A77">
        <w:rPr>
          <w:rFonts w:ascii="Open Sans" w:hAnsi="Open Sans" w:cs="Open Sans"/>
        </w:rPr>
        <w:t xml:space="preserve"> (likely to be after the European Commission concludes its work on integrating GGRs</w:t>
      </w:r>
      <w:r w:rsidR="003E0B35" w:rsidRPr="00D91A77">
        <w:rPr>
          <w:rFonts w:ascii="Open Sans" w:hAnsi="Open Sans" w:cs="Open Sans"/>
        </w:rPr>
        <w:t xml:space="preserve"> into the EU ETS).</w:t>
      </w:r>
    </w:p>
    <w:p w14:paraId="3D09D9C7" w14:textId="1F741AFF" w:rsidR="00F90867" w:rsidRPr="00F90867" w:rsidRDefault="00F90867" w:rsidP="00F90867">
      <w:pPr>
        <w:pStyle w:val="Heading1"/>
        <w:rPr>
          <w:rFonts w:ascii="Open Sans" w:hAnsi="Open Sans" w:cs="Open Sans"/>
          <w:sz w:val="24"/>
          <w:szCs w:val="24"/>
        </w:rPr>
      </w:pPr>
      <w:bookmarkStart w:id="3" w:name="_Permanence"/>
      <w:bookmarkEnd w:id="3"/>
      <w:r w:rsidRPr="00F90867">
        <w:rPr>
          <w:rFonts w:ascii="Open Sans" w:hAnsi="Open Sans" w:cs="Open Sans"/>
          <w:sz w:val="24"/>
          <w:szCs w:val="24"/>
        </w:rPr>
        <w:t>Permanence</w:t>
      </w:r>
    </w:p>
    <w:p w14:paraId="0121FB09" w14:textId="77777777" w:rsidR="00FB6660" w:rsidRPr="00D91A77" w:rsidRDefault="00FB6660" w:rsidP="00E0143E">
      <w:pPr>
        <w:rPr>
          <w:rFonts w:ascii="Open Sans" w:hAnsi="Open Sans" w:cs="Open Sans"/>
        </w:rPr>
      </w:pPr>
    </w:p>
    <w:p w14:paraId="29C2AE6E" w14:textId="1F105E87" w:rsidR="00BD1FA9" w:rsidRPr="00D91A77" w:rsidRDefault="00BD1FA9" w:rsidP="00AF1B5F">
      <w:pPr>
        <w:pStyle w:val="ListParagraph"/>
        <w:numPr>
          <w:ilvl w:val="0"/>
          <w:numId w:val="38"/>
        </w:numPr>
        <w:rPr>
          <w:rFonts w:ascii="Open Sans" w:hAnsi="Open Sans" w:cs="Open Sans"/>
          <w:b/>
          <w:bCs/>
        </w:rPr>
      </w:pPr>
      <w:r w:rsidRPr="00D91A77">
        <w:rPr>
          <w:rFonts w:ascii="Open Sans" w:hAnsi="Open Sans" w:cs="Open Sans"/>
          <w:b/>
          <w:bCs/>
        </w:rPr>
        <w:t>Do you agree with the proposed permanence framework of both a minimum storage period, a liability measure and a fungibility measure? Please explain your answer.</w:t>
      </w:r>
    </w:p>
    <w:p w14:paraId="1F136A0A" w14:textId="77777777" w:rsidR="00A421EB" w:rsidRPr="00D91A77" w:rsidRDefault="00A421EB" w:rsidP="00A421EB">
      <w:pPr>
        <w:ind w:left="360"/>
        <w:rPr>
          <w:rFonts w:ascii="Open Sans" w:hAnsi="Open Sans" w:cs="Open Sans"/>
          <w:b/>
          <w:bCs/>
        </w:rPr>
      </w:pPr>
    </w:p>
    <w:p w14:paraId="5DE692A4" w14:textId="76F42F2A" w:rsidR="00E03285" w:rsidRDefault="00476173" w:rsidP="00A05DD0">
      <w:pPr>
        <w:rPr>
          <w:rFonts w:ascii="Open Sans" w:hAnsi="Open Sans" w:cs="Open Sans"/>
        </w:rPr>
      </w:pPr>
      <w:r w:rsidRPr="00D91A77">
        <w:rPr>
          <w:rFonts w:ascii="Open Sans" w:hAnsi="Open Sans" w:cs="Open Sans"/>
        </w:rPr>
        <w:t>W</w:t>
      </w:r>
      <w:r w:rsidR="00144CE0" w:rsidRPr="00D91A77">
        <w:rPr>
          <w:rFonts w:ascii="Open Sans" w:hAnsi="Open Sans" w:cs="Open Sans"/>
        </w:rPr>
        <w:t>e broadly</w:t>
      </w:r>
      <w:r w:rsidR="002B48D7" w:rsidRPr="00D91A77">
        <w:rPr>
          <w:rFonts w:ascii="Open Sans" w:hAnsi="Open Sans" w:cs="Open Sans"/>
        </w:rPr>
        <w:t xml:space="preserve"> agree</w:t>
      </w:r>
      <w:r w:rsidR="0049517A" w:rsidRPr="00D91A77">
        <w:rPr>
          <w:rFonts w:ascii="Open Sans" w:hAnsi="Open Sans" w:cs="Open Sans"/>
        </w:rPr>
        <w:t xml:space="preserve"> with t</w:t>
      </w:r>
      <w:r w:rsidR="00D40940" w:rsidRPr="00D91A77">
        <w:rPr>
          <w:rFonts w:ascii="Open Sans" w:hAnsi="Open Sans" w:cs="Open Sans"/>
        </w:rPr>
        <w:t xml:space="preserve">he framework </w:t>
      </w:r>
      <w:r w:rsidR="00852180" w:rsidRPr="00D91A77">
        <w:rPr>
          <w:rFonts w:ascii="Open Sans" w:hAnsi="Open Sans" w:cs="Open Sans"/>
        </w:rPr>
        <w:t>on liability and fungibility measures</w:t>
      </w:r>
      <w:r w:rsidR="005E4960" w:rsidRPr="00D91A77">
        <w:rPr>
          <w:rFonts w:ascii="Open Sans" w:hAnsi="Open Sans" w:cs="Open Sans"/>
        </w:rPr>
        <w:t xml:space="preserve">, although more </w:t>
      </w:r>
      <w:r w:rsidR="000A41DC" w:rsidRPr="00D91A77">
        <w:rPr>
          <w:rFonts w:ascii="Open Sans" w:hAnsi="Open Sans" w:cs="Open Sans"/>
        </w:rPr>
        <w:t>clarification</w:t>
      </w:r>
      <w:r w:rsidR="005E4960" w:rsidRPr="00D91A77">
        <w:rPr>
          <w:rFonts w:ascii="Open Sans" w:hAnsi="Open Sans" w:cs="Open Sans"/>
        </w:rPr>
        <w:t xml:space="preserve"> is needed in relation to minimum storage periods. </w:t>
      </w:r>
      <w:r w:rsidR="00BB54E6" w:rsidRPr="00D91A77">
        <w:rPr>
          <w:rFonts w:ascii="Open Sans" w:hAnsi="Open Sans" w:cs="Open Sans"/>
        </w:rPr>
        <w:t xml:space="preserve">If the Authority sets a sufficiently high minimum storage period, this could negate the need for </w:t>
      </w:r>
      <w:r w:rsidR="00D55DF4" w:rsidRPr="00D91A77">
        <w:rPr>
          <w:rFonts w:ascii="Open Sans" w:hAnsi="Open Sans" w:cs="Open Sans"/>
        </w:rPr>
        <w:t xml:space="preserve">liability measures like buffer pools which are aimed at projects with higher risks of reversal. </w:t>
      </w:r>
      <w:r w:rsidR="00F44FE6" w:rsidRPr="00D91A77">
        <w:rPr>
          <w:rFonts w:ascii="Open Sans" w:hAnsi="Open Sans" w:cs="Open Sans"/>
        </w:rPr>
        <w:t xml:space="preserve">Equally, another option is to recognise the </w:t>
      </w:r>
      <w:r w:rsidR="00381F55" w:rsidRPr="00D91A77">
        <w:rPr>
          <w:rFonts w:ascii="Open Sans" w:hAnsi="Open Sans" w:cs="Open Sans"/>
        </w:rPr>
        <w:t xml:space="preserve">risk of reversal is significantly higher in </w:t>
      </w:r>
      <w:r w:rsidR="00344419" w:rsidRPr="00D91A77">
        <w:rPr>
          <w:rFonts w:ascii="Open Sans" w:hAnsi="Open Sans" w:cs="Open Sans"/>
        </w:rPr>
        <w:t>nature-based</w:t>
      </w:r>
      <w:r w:rsidR="00381F55" w:rsidRPr="00D91A77">
        <w:rPr>
          <w:rFonts w:ascii="Open Sans" w:hAnsi="Open Sans" w:cs="Open Sans"/>
        </w:rPr>
        <w:t xml:space="preserve"> solutions, than in engineered removals. </w:t>
      </w:r>
      <w:r w:rsidR="00E03285">
        <w:rPr>
          <w:rFonts w:ascii="Open Sans" w:hAnsi="Open Sans" w:cs="Open Sans"/>
        </w:rPr>
        <w:t>As such,</w:t>
      </w:r>
      <w:r w:rsidR="008A79EC" w:rsidRPr="00D91A77">
        <w:rPr>
          <w:rFonts w:ascii="Open Sans" w:hAnsi="Open Sans" w:cs="Open Sans"/>
        </w:rPr>
        <w:t xml:space="preserve"> </w:t>
      </w:r>
      <w:r w:rsidR="00344419" w:rsidRPr="00D91A77">
        <w:rPr>
          <w:rFonts w:ascii="Open Sans" w:hAnsi="Open Sans" w:cs="Open Sans"/>
        </w:rPr>
        <w:t>nature-based</w:t>
      </w:r>
      <w:r w:rsidR="008A79EC" w:rsidRPr="00D91A77">
        <w:rPr>
          <w:rFonts w:ascii="Open Sans" w:hAnsi="Open Sans" w:cs="Open Sans"/>
        </w:rPr>
        <w:t xml:space="preserve"> solutions included in the UK ETS could be subject to </w:t>
      </w:r>
      <w:r w:rsidR="00344419" w:rsidRPr="00D91A77">
        <w:rPr>
          <w:rFonts w:ascii="Open Sans" w:hAnsi="Open Sans" w:cs="Open Sans"/>
        </w:rPr>
        <w:t>a discount rate</w:t>
      </w:r>
      <w:r w:rsidR="00F20D72" w:rsidRPr="00D91A77">
        <w:rPr>
          <w:rFonts w:ascii="Open Sans" w:hAnsi="Open Sans" w:cs="Open Sans"/>
        </w:rPr>
        <w:t xml:space="preserve">. This would ensure those removals are recognised as robust </w:t>
      </w:r>
      <w:r w:rsidR="008D1FA4" w:rsidRPr="00D91A77">
        <w:rPr>
          <w:rFonts w:ascii="Open Sans" w:hAnsi="Open Sans" w:cs="Open Sans"/>
        </w:rPr>
        <w:t xml:space="preserve">and meaningful in the fight against climate </w:t>
      </w:r>
      <w:r w:rsidR="00A32934" w:rsidRPr="00D91A77">
        <w:rPr>
          <w:rFonts w:ascii="Open Sans" w:hAnsi="Open Sans" w:cs="Open Sans"/>
        </w:rPr>
        <w:t>change but</w:t>
      </w:r>
      <w:r w:rsidR="008D1FA4" w:rsidRPr="00D91A77">
        <w:rPr>
          <w:rFonts w:ascii="Open Sans" w:hAnsi="Open Sans" w:cs="Open Sans"/>
        </w:rPr>
        <w:t xml:space="preserve"> </w:t>
      </w:r>
      <w:r w:rsidR="00EA4865">
        <w:rPr>
          <w:rFonts w:ascii="Open Sans" w:hAnsi="Open Sans" w:cs="Open Sans"/>
        </w:rPr>
        <w:t xml:space="preserve">also </w:t>
      </w:r>
      <w:r w:rsidR="008D1FA4" w:rsidRPr="00D91A77">
        <w:rPr>
          <w:rFonts w:ascii="Open Sans" w:hAnsi="Open Sans" w:cs="Open Sans"/>
        </w:rPr>
        <w:t>account for the</w:t>
      </w:r>
      <w:r w:rsidR="00EA4865">
        <w:rPr>
          <w:rFonts w:ascii="Open Sans" w:hAnsi="Open Sans" w:cs="Open Sans"/>
        </w:rPr>
        <w:t xml:space="preserve"> higher</w:t>
      </w:r>
      <w:r w:rsidR="008D1FA4" w:rsidRPr="00D91A77">
        <w:rPr>
          <w:rFonts w:ascii="Open Sans" w:hAnsi="Open Sans" w:cs="Open Sans"/>
        </w:rPr>
        <w:t xml:space="preserve"> reversal risk. </w:t>
      </w:r>
    </w:p>
    <w:p w14:paraId="67F552B2" w14:textId="77777777" w:rsidR="00E03285" w:rsidRDefault="00E03285" w:rsidP="00A05DD0">
      <w:pPr>
        <w:rPr>
          <w:rFonts w:ascii="Open Sans" w:hAnsi="Open Sans" w:cs="Open Sans"/>
        </w:rPr>
      </w:pPr>
    </w:p>
    <w:p w14:paraId="30611BE9" w14:textId="71947910" w:rsidR="000A41DC" w:rsidRPr="00D91A77" w:rsidRDefault="009A0D6D" w:rsidP="00A05DD0">
      <w:pPr>
        <w:rPr>
          <w:rFonts w:ascii="Open Sans" w:hAnsi="Open Sans" w:cs="Open Sans"/>
        </w:rPr>
      </w:pPr>
      <w:r w:rsidRPr="00D91A77">
        <w:rPr>
          <w:rFonts w:ascii="Open Sans" w:hAnsi="Open Sans" w:cs="Open Sans"/>
        </w:rPr>
        <w:t xml:space="preserve">Another option may be </w:t>
      </w:r>
      <w:r w:rsidR="001C4AB5" w:rsidRPr="00D91A77">
        <w:rPr>
          <w:rFonts w:ascii="Open Sans" w:hAnsi="Open Sans" w:cs="Open Sans"/>
        </w:rPr>
        <w:t xml:space="preserve">to only integrate engineered removals initially (from 2028) recognising the added complexity of nature-based solutions, but with </w:t>
      </w:r>
      <w:r w:rsidR="00A16F09" w:rsidRPr="00D91A77">
        <w:rPr>
          <w:rFonts w:ascii="Open Sans" w:hAnsi="Open Sans" w:cs="Open Sans"/>
        </w:rPr>
        <w:t>a statement of intent</w:t>
      </w:r>
      <w:r w:rsidR="001C4AB5" w:rsidRPr="00D91A77">
        <w:rPr>
          <w:rFonts w:ascii="Open Sans" w:hAnsi="Open Sans" w:cs="Open Sans"/>
        </w:rPr>
        <w:t xml:space="preserve"> to integrating them </w:t>
      </w:r>
      <w:r w:rsidR="00384035" w:rsidRPr="00D91A77">
        <w:rPr>
          <w:rFonts w:ascii="Open Sans" w:hAnsi="Open Sans" w:cs="Open Sans"/>
        </w:rPr>
        <w:t xml:space="preserve">after a certain period, for example, five years. If the Authority takes this approach, a clear timeline will need to be provided to nature-based providers, to give them confidence of market integration in the early to mid-2030’s. </w:t>
      </w:r>
    </w:p>
    <w:p w14:paraId="64C1AD96" w14:textId="77777777" w:rsidR="000A41DC" w:rsidRPr="00D91A77" w:rsidRDefault="000A41DC" w:rsidP="00A05DD0">
      <w:pPr>
        <w:rPr>
          <w:rFonts w:ascii="Open Sans" w:hAnsi="Open Sans" w:cs="Open Sans"/>
        </w:rPr>
      </w:pPr>
    </w:p>
    <w:p w14:paraId="178A5D4A" w14:textId="33D12A22" w:rsidR="00540181" w:rsidRPr="00D91A77" w:rsidRDefault="00BD1FA9" w:rsidP="00540181">
      <w:pPr>
        <w:pStyle w:val="ListParagraph"/>
        <w:numPr>
          <w:ilvl w:val="0"/>
          <w:numId w:val="38"/>
        </w:numPr>
        <w:rPr>
          <w:rFonts w:ascii="Open Sans" w:hAnsi="Open Sans" w:cs="Open Sans"/>
          <w:b/>
          <w:bCs/>
        </w:rPr>
      </w:pPr>
      <w:r w:rsidRPr="00D91A77">
        <w:rPr>
          <w:rFonts w:ascii="Open Sans" w:hAnsi="Open Sans" w:cs="Open Sans"/>
          <w:b/>
          <w:bCs/>
        </w:rPr>
        <w:t>What minimum storage period duration should the Authority set for GGRs entering the UK ETS? Please explain your answer.</w:t>
      </w:r>
    </w:p>
    <w:p w14:paraId="0806B86A" w14:textId="77777777" w:rsidR="00540181" w:rsidRPr="00D91A77" w:rsidRDefault="00540181" w:rsidP="00540181">
      <w:pPr>
        <w:rPr>
          <w:rFonts w:ascii="Open Sans" w:hAnsi="Open Sans" w:cs="Open Sans"/>
          <w:b/>
          <w:bCs/>
          <w:highlight w:val="yellow"/>
        </w:rPr>
      </w:pPr>
    </w:p>
    <w:p w14:paraId="302665CD" w14:textId="52319597" w:rsidR="005701AF" w:rsidRPr="00D91A77" w:rsidRDefault="00F910EE" w:rsidP="00B022EB">
      <w:pPr>
        <w:rPr>
          <w:rFonts w:ascii="Open Sans" w:hAnsi="Open Sans" w:cs="Open Sans"/>
          <w:i/>
          <w:iCs/>
        </w:rPr>
      </w:pPr>
      <w:r w:rsidRPr="00D91A77">
        <w:rPr>
          <w:rFonts w:ascii="Open Sans" w:hAnsi="Open Sans" w:cs="Open Sans"/>
        </w:rPr>
        <w:t xml:space="preserve">As recognised in the </w:t>
      </w:r>
      <w:r w:rsidR="00540181" w:rsidRPr="00D91A77">
        <w:rPr>
          <w:rFonts w:ascii="Open Sans" w:hAnsi="Open Sans" w:cs="Open Sans"/>
        </w:rPr>
        <w:t>Oxford principles</w:t>
      </w:r>
      <w:r w:rsidRPr="00D91A77">
        <w:rPr>
          <w:rStyle w:val="FootnoteReference"/>
          <w:rFonts w:ascii="Open Sans" w:hAnsi="Open Sans" w:cs="Open Sans"/>
        </w:rPr>
        <w:footnoteReference w:id="3"/>
      </w:r>
      <w:r w:rsidRPr="00D91A77">
        <w:rPr>
          <w:rFonts w:ascii="Open Sans" w:hAnsi="Open Sans" w:cs="Open Sans"/>
        </w:rPr>
        <w:t xml:space="preserve">, offsets will </w:t>
      </w:r>
      <w:r w:rsidR="00FF11C5" w:rsidRPr="00D91A77">
        <w:rPr>
          <w:rFonts w:ascii="Open Sans" w:hAnsi="Open Sans" w:cs="Open Sans"/>
        </w:rPr>
        <w:t>increasingly</w:t>
      </w:r>
      <w:r w:rsidRPr="00D91A77">
        <w:rPr>
          <w:rFonts w:ascii="Open Sans" w:hAnsi="Open Sans" w:cs="Open Sans"/>
        </w:rPr>
        <w:t xml:space="preserve"> need to come from </w:t>
      </w:r>
      <w:r w:rsidR="00FF11C5" w:rsidRPr="00D91A77">
        <w:rPr>
          <w:rFonts w:ascii="Open Sans" w:hAnsi="Open Sans" w:cs="Open Sans"/>
        </w:rPr>
        <w:t>activities</w:t>
      </w:r>
      <w:r w:rsidRPr="00D91A77">
        <w:rPr>
          <w:rFonts w:ascii="Open Sans" w:hAnsi="Open Sans" w:cs="Open Sans"/>
        </w:rPr>
        <w:t xml:space="preserve"> that store carbon permanently, with very low risk of re-release into the atmosphere. </w:t>
      </w:r>
      <w:r w:rsidR="00133C98" w:rsidRPr="00D91A77">
        <w:rPr>
          <w:rFonts w:ascii="Open Sans" w:hAnsi="Open Sans" w:cs="Open Sans"/>
        </w:rPr>
        <w:t xml:space="preserve">In their paper, they define long-lived storage as </w:t>
      </w:r>
      <w:r w:rsidR="004E7BDC" w:rsidRPr="00D91A77">
        <w:rPr>
          <w:rFonts w:ascii="Open Sans" w:hAnsi="Open Sans" w:cs="Open Sans"/>
          <w:i/>
          <w:iCs/>
        </w:rPr>
        <w:t xml:space="preserve">“methods of storing carbon which have low risk of reversal over centuries to millennia.” </w:t>
      </w:r>
    </w:p>
    <w:p w14:paraId="6E9ABBEB" w14:textId="77777777" w:rsidR="005701AF" w:rsidRPr="00D91A77" w:rsidRDefault="005701AF" w:rsidP="00B022EB">
      <w:pPr>
        <w:rPr>
          <w:rFonts w:ascii="Open Sans" w:hAnsi="Open Sans" w:cs="Open Sans"/>
          <w:i/>
          <w:iCs/>
        </w:rPr>
      </w:pPr>
    </w:p>
    <w:p w14:paraId="113DAC2A" w14:textId="4CFF1D92" w:rsidR="000D50C6" w:rsidRPr="00D91A77" w:rsidRDefault="004E7BDC" w:rsidP="00B022EB">
      <w:pPr>
        <w:rPr>
          <w:rFonts w:ascii="Open Sans" w:hAnsi="Open Sans" w:cs="Open Sans"/>
        </w:rPr>
      </w:pPr>
      <w:r w:rsidRPr="00D91A77">
        <w:rPr>
          <w:rFonts w:ascii="Open Sans" w:hAnsi="Open Sans" w:cs="Open Sans"/>
        </w:rPr>
        <w:t xml:space="preserve">Therefore, we would propose a minimum storage duration of at least </w:t>
      </w:r>
      <w:r w:rsidR="00F73E05" w:rsidRPr="00D91A77">
        <w:rPr>
          <w:rFonts w:ascii="Open Sans" w:hAnsi="Open Sans" w:cs="Open Sans"/>
        </w:rPr>
        <w:t>2</w:t>
      </w:r>
      <w:r w:rsidRPr="00D91A77">
        <w:rPr>
          <w:rFonts w:ascii="Open Sans" w:hAnsi="Open Sans" w:cs="Open Sans"/>
        </w:rPr>
        <w:t>00 years</w:t>
      </w:r>
      <w:r w:rsidR="00F73E05" w:rsidRPr="00D91A77">
        <w:rPr>
          <w:rFonts w:ascii="Open Sans" w:hAnsi="Open Sans" w:cs="Open Sans"/>
        </w:rPr>
        <w:t xml:space="preserve">, as set out in the </w:t>
      </w:r>
      <w:r w:rsidR="00946F24" w:rsidRPr="00D91A77">
        <w:rPr>
          <w:rFonts w:ascii="Open Sans" w:hAnsi="Open Sans" w:cs="Open Sans"/>
        </w:rPr>
        <w:t>EU’s Carbon Removals and Carbon Farming (CRCF) Regulation</w:t>
      </w:r>
      <w:r w:rsidR="008F2F88" w:rsidRPr="00D91A77">
        <w:rPr>
          <w:rFonts w:ascii="Open Sans" w:hAnsi="Open Sans" w:cs="Open Sans"/>
        </w:rPr>
        <w:t xml:space="preserve">. </w:t>
      </w:r>
      <w:r w:rsidR="00B022EB" w:rsidRPr="00D91A77">
        <w:rPr>
          <w:rFonts w:ascii="Open Sans" w:hAnsi="Open Sans" w:cs="Open Sans"/>
        </w:rPr>
        <w:t>A net zero aligned portfolio of offsets must increase the portion of carbon removals over emission reductions, and the portion of long-lived storage over short-lived storage, over time.</w:t>
      </w:r>
      <w:r w:rsidR="00384035" w:rsidRPr="00D91A77">
        <w:rPr>
          <w:rFonts w:ascii="Open Sans" w:hAnsi="Open Sans" w:cs="Open Sans"/>
        </w:rPr>
        <w:t xml:space="preserve"> </w:t>
      </w:r>
    </w:p>
    <w:p w14:paraId="27289B9C" w14:textId="77777777" w:rsidR="000D50C6" w:rsidRPr="00D91A77" w:rsidRDefault="000D50C6" w:rsidP="00B022EB">
      <w:pPr>
        <w:rPr>
          <w:rFonts w:ascii="Open Sans" w:hAnsi="Open Sans" w:cs="Open Sans"/>
        </w:rPr>
      </w:pPr>
    </w:p>
    <w:p w14:paraId="0359CF91" w14:textId="17D95D49" w:rsidR="00F910EE" w:rsidRPr="00D91A77" w:rsidRDefault="00AA588D" w:rsidP="00B022EB">
      <w:pPr>
        <w:rPr>
          <w:rFonts w:ascii="Open Sans" w:hAnsi="Open Sans" w:cs="Open Sans"/>
        </w:rPr>
      </w:pPr>
      <w:r w:rsidRPr="00D91A77">
        <w:rPr>
          <w:rFonts w:ascii="Open Sans" w:hAnsi="Open Sans" w:cs="Open Sans"/>
        </w:rPr>
        <w:t xml:space="preserve">In addition to our response to question 13, </w:t>
      </w:r>
      <w:r w:rsidR="0091376F" w:rsidRPr="00D91A77">
        <w:rPr>
          <w:rFonts w:ascii="Open Sans" w:hAnsi="Open Sans" w:cs="Open Sans"/>
        </w:rPr>
        <w:t xml:space="preserve">if engineered and </w:t>
      </w:r>
      <w:r w:rsidR="000D50C6" w:rsidRPr="00D91A77">
        <w:rPr>
          <w:rFonts w:ascii="Open Sans" w:hAnsi="Open Sans" w:cs="Open Sans"/>
        </w:rPr>
        <w:t>nature-based</w:t>
      </w:r>
      <w:r w:rsidR="0091376F" w:rsidRPr="00D91A77">
        <w:rPr>
          <w:rFonts w:ascii="Open Sans" w:hAnsi="Open Sans" w:cs="Open Sans"/>
        </w:rPr>
        <w:t xml:space="preserve"> removals are both integrated from 2028, then </w:t>
      </w:r>
      <w:r w:rsidR="00340D4C" w:rsidRPr="00D91A77">
        <w:rPr>
          <w:rFonts w:ascii="Open Sans" w:hAnsi="Open Sans" w:cs="Open Sans"/>
        </w:rPr>
        <w:t xml:space="preserve">two allowance rates could be introduced – </w:t>
      </w:r>
      <w:r w:rsidR="00DD7B5A" w:rsidRPr="00D91A77">
        <w:rPr>
          <w:rFonts w:ascii="Open Sans" w:hAnsi="Open Sans" w:cs="Open Sans"/>
        </w:rPr>
        <w:t xml:space="preserve">a lower rate for removals offering less than 200 years </w:t>
      </w:r>
      <w:r w:rsidR="000D50C6" w:rsidRPr="00D91A77">
        <w:rPr>
          <w:rFonts w:ascii="Open Sans" w:hAnsi="Open Sans" w:cs="Open Sans"/>
        </w:rPr>
        <w:t>permanence</w:t>
      </w:r>
      <w:r w:rsidR="00DD7B5A" w:rsidRPr="00D91A77">
        <w:rPr>
          <w:rFonts w:ascii="Open Sans" w:hAnsi="Open Sans" w:cs="Open Sans"/>
        </w:rPr>
        <w:t xml:space="preserve"> and a higher rate for those above that threshold. This would </w:t>
      </w:r>
      <w:r w:rsidR="000D50C6" w:rsidRPr="00D91A77">
        <w:rPr>
          <w:rFonts w:ascii="Open Sans" w:hAnsi="Open Sans" w:cs="Open Sans"/>
        </w:rPr>
        <w:t>enable investment in both solutions and contribute to our wider net zero goals, while differentiating between levels of permanence</w:t>
      </w:r>
      <w:r w:rsidR="009D6BE7" w:rsidRPr="00D91A77">
        <w:rPr>
          <w:rFonts w:ascii="Open Sans" w:hAnsi="Open Sans" w:cs="Open Sans"/>
        </w:rPr>
        <w:t xml:space="preserve">. </w:t>
      </w:r>
    </w:p>
    <w:p w14:paraId="7113DA09" w14:textId="77777777" w:rsidR="00FF11C5" w:rsidRPr="00D91A77" w:rsidRDefault="00FF11C5" w:rsidP="00540181">
      <w:pPr>
        <w:rPr>
          <w:rFonts w:ascii="Open Sans" w:hAnsi="Open Sans" w:cs="Open Sans"/>
          <w:b/>
          <w:bCs/>
        </w:rPr>
      </w:pPr>
    </w:p>
    <w:p w14:paraId="55FE6091" w14:textId="1F00C3BC" w:rsidR="00F85FEE" w:rsidRPr="00D91A77" w:rsidRDefault="00BD1FA9" w:rsidP="00F85FEE">
      <w:pPr>
        <w:pStyle w:val="ListParagraph"/>
        <w:numPr>
          <w:ilvl w:val="0"/>
          <w:numId w:val="38"/>
        </w:numPr>
        <w:rPr>
          <w:rFonts w:ascii="Open Sans" w:hAnsi="Open Sans" w:cs="Open Sans"/>
          <w:b/>
          <w:bCs/>
        </w:rPr>
      </w:pPr>
      <w:r w:rsidRPr="00D91A77">
        <w:rPr>
          <w:rFonts w:ascii="Open Sans" w:hAnsi="Open Sans" w:cs="Open Sans"/>
          <w:b/>
          <w:bCs/>
        </w:rPr>
        <w:t>How should the Authority manage potential reversal events from GGRs? Please consider the liability options outlined above, whether any options exist that have not been considered, and how the potential liability options could be used together or in sequence.</w:t>
      </w:r>
    </w:p>
    <w:p w14:paraId="4367ADE3" w14:textId="77777777" w:rsidR="004F512C" w:rsidRPr="00D91A77" w:rsidRDefault="004F512C" w:rsidP="00F85FEE">
      <w:pPr>
        <w:rPr>
          <w:rFonts w:ascii="Open Sans" w:hAnsi="Open Sans" w:cs="Open Sans"/>
          <w:b/>
          <w:bCs/>
        </w:rPr>
      </w:pPr>
    </w:p>
    <w:p w14:paraId="539566DD" w14:textId="381EA08E" w:rsidR="00221212" w:rsidRPr="00D91A77" w:rsidRDefault="009D142A" w:rsidP="00221212">
      <w:pPr>
        <w:rPr>
          <w:rFonts w:ascii="Open Sans" w:hAnsi="Open Sans" w:cs="Open Sans"/>
        </w:rPr>
      </w:pPr>
      <w:r w:rsidRPr="00D91A77">
        <w:rPr>
          <w:rFonts w:ascii="Open Sans" w:hAnsi="Open Sans" w:cs="Open Sans"/>
        </w:rPr>
        <w:t xml:space="preserve">Please see our response to questions 13 and 14. </w:t>
      </w:r>
      <w:r w:rsidR="003D5D87" w:rsidRPr="00D91A77">
        <w:rPr>
          <w:rFonts w:ascii="Open Sans" w:hAnsi="Open Sans" w:cs="Open Sans"/>
        </w:rPr>
        <w:t xml:space="preserve">In </w:t>
      </w:r>
      <w:r w:rsidR="00221212" w:rsidRPr="00D91A77">
        <w:rPr>
          <w:rFonts w:ascii="Open Sans" w:hAnsi="Open Sans" w:cs="Open Sans"/>
        </w:rPr>
        <w:t xml:space="preserve">the business model, the liability transfers to the </w:t>
      </w:r>
      <w:r w:rsidR="003D5D87" w:rsidRPr="00D91A77">
        <w:rPr>
          <w:rFonts w:ascii="Open Sans" w:hAnsi="Open Sans" w:cs="Open Sans"/>
        </w:rPr>
        <w:t>Transport and Storage (T</w:t>
      </w:r>
      <w:r w:rsidR="00221212" w:rsidRPr="00D91A77">
        <w:rPr>
          <w:rFonts w:ascii="Open Sans" w:hAnsi="Open Sans" w:cs="Open Sans"/>
        </w:rPr>
        <w:t>&amp;S</w:t>
      </w:r>
      <w:r w:rsidR="003D5D87" w:rsidRPr="00D91A77">
        <w:rPr>
          <w:rFonts w:ascii="Open Sans" w:hAnsi="Open Sans" w:cs="Open Sans"/>
        </w:rPr>
        <w:t>)</w:t>
      </w:r>
      <w:r w:rsidR="00221212" w:rsidRPr="00D91A77">
        <w:rPr>
          <w:rFonts w:ascii="Open Sans" w:hAnsi="Open Sans" w:cs="Open Sans"/>
        </w:rPr>
        <w:t xml:space="preserve"> operator at the point of injection and </w:t>
      </w:r>
      <w:r w:rsidR="00B971A8" w:rsidRPr="00D91A77">
        <w:rPr>
          <w:rFonts w:ascii="Open Sans" w:hAnsi="Open Sans" w:cs="Open Sans"/>
        </w:rPr>
        <w:t xml:space="preserve">as per the current draft network code, any </w:t>
      </w:r>
      <w:r w:rsidR="00221212" w:rsidRPr="00D91A77">
        <w:rPr>
          <w:rFonts w:ascii="Open Sans" w:hAnsi="Open Sans" w:cs="Open Sans"/>
        </w:rPr>
        <w:t xml:space="preserve">leaked carbon belongs to T&amp;S </w:t>
      </w:r>
      <w:r w:rsidR="00B971A8" w:rsidRPr="00D91A77">
        <w:rPr>
          <w:rFonts w:ascii="Open Sans" w:hAnsi="Open Sans" w:cs="Open Sans"/>
        </w:rPr>
        <w:t xml:space="preserve">operator. As such, we expect T&amp;S operators to have sufficient insurance to cover risk of leakage. </w:t>
      </w:r>
    </w:p>
    <w:p w14:paraId="74D267C8" w14:textId="1F695D35" w:rsidR="00423CFA" w:rsidRPr="00D91A77" w:rsidRDefault="00423CFA" w:rsidP="00221212">
      <w:pPr>
        <w:rPr>
          <w:rFonts w:ascii="Open Sans" w:hAnsi="Open Sans" w:cs="Open Sans"/>
          <w:color w:val="C00000"/>
        </w:rPr>
      </w:pPr>
    </w:p>
    <w:p w14:paraId="3531425B" w14:textId="48A5EA7F" w:rsidR="00BD1FA9" w:rsidRPr="00D91A77" w:rsidRDefault="00BD1FA9" w:rsidP="00997A6C">
      <w:pPr>
        <w:pStyle w:val="ListParagraph"/>
        <w:numPr>
          <w:ilvl w:val="0"/>
          <w:numId w:val="38"/>
        </w:numPr>
        <w:rPr>
          <w:rFonts w:ascii="Open Sans" w:hAnsi="Open Sans" w:cs="Open Sans"/>
          <w:b/>
          <w:bCs/>
        </w:rPr>
      </w:pPr>
      <w:r w:rsidRPr="00D91A77">
        <w:rPr>
          <w:rFonts w:ascii="Open Sans" w:hAnsi="Open Sans" w:cs="Open Sans"/>
          <w:b/>
          <w:bCs/>
        </w:rPr>
        <w:t>Where should the liability for any re-release of stored emissions apply if there are multiple actors in the GGR value chain?</w:t>
      </w:r>
    </w:p>
    <w:p w14:paraId="3FC89C4F" w14:textId="500A7051" w:rsidR="00BD1FA9" w:rsidRPr="00D91A77" w:rsidRDefault="00BD1FA9" w:rsidP="00BD1FA9">
      <w:pPr>
        <w:rPr>
          <w:rFonts w:ascii="Open Sans" w:hAnsi="Open Sans" w:cs="Open Sans"/>
          <w:b/>
          <w:bCs/>
        </w:rPr>
      </w:pPr>
    </w:p>
    <w:p w14:paraId="099E5679" w14:textId="3C1504F6" w:rsidR="006F2128" w:rsidRPr="00D91A77" w:rsidRDefault="00E00F68" w:rsidP="00BD1FA9">
      <w:pPr>
        <w:rPr>
          <w:rFonts w:ascii="Open Sans" w:hAnsi="Open Sans" w:cs="Open Sans"/>
        </w:rPr>
      </w:pPr>
      <w:r w:rsidRPr="00D91A77">
        <w:rPr>
          <w:rFonts w:ascii="Open Sans" w:hAnsi="Open Sans" w:cs="Open Sans"/>
        </w:rPr>
        <w:t>Please see our response to question 15. I</w:t>
      </w:r>
      <w:r w:rsidR="006F2128" w:rsidRPr="00D91A77">
        <w:rPr>
          <w:rFonts w:ascii="Open Sans" w:hAnsi="Open Sans" w:cs="Open Sans"/>
        </w:rPr>
        <w:t>n th</w:t>
      </w:r>
      <w:r w:rsidR="007254F5" w:rsidRPr="00D91A77">
        <w:rPr>
          <w:rFonts w:ascii="Open Sans" w:hAnsi="Open Sans" w:cs="Open Sans"/>
        </w:rPr>
        <w:t xml:space="preserve">e </w:t>
      </w:r>
      <w:r w:rsidR="006F2128" w:rsidRPr="00D91A77">
        <w:rPr>
          <w:rFonts w:ascii="Open Sans" w:hAnsi="Open Sans" w:cs="Open Sans"/>
        </w:rPr>
        <w:t>case</w:t>
      </w:r>
      <w:r w:rsidR="007254F5" w:rsidRPr="00D91A77">
        <w:rPr>
          <w:rFonts w:ascii="Open Sans" w:hAnsi="Open Sans" w:cs="Open Sans"/>
        </w:rPr>
        <w:t xml:space="preserve"> of stored emissions,</w:t>
      </w:r>
      <w:r w:rsidR="006F2128" w:rsidRPr="00D91A77">
        <w:rPr>
          <w:rFonts w:ascii="Open Sans" w:hAnsi="Open Sans" w:cs="Open Sans"/>
        </w:rPr>
        <w:t xml:space="preserve"> liability should </w:t>
      </w:r>
      <w:r w:rsidR="007254F5" w:rsidRPr="00D91A77">
        <w:rPr>
          <w:rFonts w:ascii="Open Sans" w:hAnsi="Open Sans" w:cs="Open Sans"/>
        </w:rPr>
        <w:t>fall</w:t>
      </w:r>
      <w:r w:rsidR="006F2128" w:rsidRPr="00D91A77">
        <w:rPr>
          <w:rFonts w:ascii="Open Sans" w:hAnsi="Open Sans" w:cs="Open Sans"/>
        </w:rPr>
        <w:t xml:space="preserve"> with the </w:t>
      </w:r>
      <w:r w:rsidR="00525ACA" w:rsidRPr="00D91A77">
        <w:rPr>
          <w:rFonts w:ascii="Open Sans" w:hAnsi="Open Sans" w:cs="Open Sans"/>
        </w:rPr>
        <w:t>T&amp;S</w:t>
      </w:r>
      <w:r w:rsidR="005278C0" w:rsidRPr="00D91A77">
        <w:rPr>
          <w:rFonts w:ascii="Open Sans" w:hAnsi="Open Sans" w:cs="Open Sans"/>
        </w:rPr>
        <w:t xml:space="preserve"> operator</w:t>
      </w:r>
      <w:r w:rsidR="00A153E8" w:rsidRPr="00D91A77">
        <w:rPr>
          <w:rFonts w:ascii="Open Sans" w:hAnsi="Open Sans" w:cs="Open Sans"/>
        </w:rPr>
        <w:t xml:space="preserve"> </w:t>
      </w:r>
      <w:r w:rsidR="00525ACA" w:rsidRPr="00D91A77">
        <w:rPr>
          <w:rFonts w:ascii="Open Sans" w:hAnsi="Open Sans" w:cs="Open Sans"/>
        </w:rPr>
        <w:t>at the point of injectio</w:t>
      </w:r>
      <w:r w:rsidR="00A73E99" w:rsidRPr="00D91A77">
        <w:rPr>
          <w:rFonts w:ascii="Open Sans" w:hAnsi="Open Sans" w:cs="Open Sans"/>
        </w:rPr>
        <w:t xml:space="preserve">n, </w:t>
      </w:r>
      <w:r w:rsidR="00A153E8" w:rsidRPr="00D91A77">
        <w:rPr>
          <w:rFonts w:ascii="Open Sans" w:hAnsi="Open Sans" w:cs="Open Sans"/>
        </w:rPr>
        <w:t xml:space="preserve">in line with the current </w:t>
      </w:r>
      <w:r w:rsidR="00525ACA" w:rsidRPr="00D91A77">
        <w:rPr>
          <w:rFonts w:ascii="Open Sans" w:hAnsi="Open Sans" w:cs="Open Sans"/>
        </w:rPr>
        <w:t xml:space="preserve">liabilities in the </w:t>
      </w:r>
      <w:r w:rsidR="00A153E8" w:rsidRPr="00D91A77">
        <w:rPr>
          <w:rFonts w:ascii="Open Sans" w:hAnsi="Open Sans" w:cs="Open Sans"/>
        </w:rPr>
        <w:t>business model</w:t>
      </w:r>
      <w:r w:rsidR="005278C0" w:rsidRPr="00D91A77">
        <w:rPr>
          <w:rFonts w:ascii="Open Sans" w:hAnsi="Open Sans" w:cs="Open Sans"/>
        </w:rPr>
        <w:t xml:space="preserve">. Placing the onus on the purchaser would create too much risk, potentially undermining the GGR market. </w:t>
      </w:r>
    </w:p>
    <w:p w14:paraId="4FDB9F3A" w14:textId="77777777" w:rsidR="005278C0" w:rsidRPr="00D91A77" w:rsidRDefault="005278C0" w:rsidP="00BD1FA9">
      <w:pPr>
        <w:rPr>
          <w:rFonts w:ascii="Open Sans" w:hAnsi="Open Sans" w:cs="Open Sans"/>
          <w:b/>
          <w:bCs/>
        </w:rPr>
      </w:pPr>
    </w:p>
    <w:p w14:paraId="179DC954" w14:textId="5DFA3FB1" w:rsidR="00BD1FA9" w:rsidRPr="00D91A77" w:rsidRDefault="00BD1FA9" w:rsidP="00761F37">
      <w:pPr>
        <w:pStyle w:val="ListParagraph"/>
        <w:numPr>
          <w:ilvl w:val="0"/>
          <w:numId w:val="38"/>
        </w:numPr>
        <w:rPr>
          <w:rFonts w:ascii="Open Sans" w:hAnsi="Open Sans" w:cs="Open Sans"/>
          <w:b/>
          <w:bCs/>
        </w:rPr>
      </w:pPr>
      <w:r w:rsidRPr="00D91A77">
        <w:rPr>
          <w:rFonts w:ascii="Open Sans" w:hAnsi="Open Sans" w:cs="Open Sans"/>
          <w:b/>
          <w:bCs/>
        </w:rPr>
        <w:t>Should the liability measure differ if the GGR is also subject to a fungibility measure? For example, if the reversal event was avoidable (i.e. within the control of the GGR operator) or unavoidable (i.e. due to factors outside of control of GGR operator).</w:t>
      </w:r>
    </w:p>
    <w:p w14:paraId="46277978" w14:textId="22E08082" w:rsidR="0052013B" w:rsidRPr="00D91A77" w:rsidRDefault="0052013B" w:rsidP="0052013B">
      <w:pPr>
        <w:rPr>
          <w:rFonts w:ascii="Open Sans" w:hAnsi="Open Sans" w:cs="Open Sans"/>
          <w:b/>
          <w:bCs/>
        </w:rPr>
      </w:pPr>
    </w:p>
    <w:p w14:paraId="441A5A0A" w14:textId="5B791DB6" w:rsidR="00BD1FA9" w:rsidRPr="00D91A77" w:rsidRDefault="0022063B" w:rsidP="00BD1FA9">
      <w:pPr>
        <w:rPr>
          <w:rFonts w:ascii="Open Sans" w:hAnsi="Open Sans" w:cs="Open Sans"/>
        </w:rPr>
      </w:pPr>
      <w:r w:rsidRPr="00D91A77">
        <w:rPr>
          <w:rFonts w:ascii="Open Sans" w:hAnsi="Open Sans" w:cs="Open Sans"/>
        </w:rPr>
        <w:t>Provided there</w:t>
      </w:r>
      <w:r w:rsidR="00B1138B" w:rsidRPr="00D91A77">
        <w:rPr>
          <w:rFonts w:ascii="Open Sans" w:hAnsi="Open Sans" w:cs="Open Sans"/>
        </w:rPr>
        <w:t xml:space="preserve"> are sufficient minimum storage periods, this should negate the need for multiple further measures, coupled with liability already accounted for in existing regulations.</w:t>
      </w:r>
    </w:p>
    <w:p w14:paraId="6647C1B9" w14:textId="77777777" w:rsidR="00B1138B" w:rsidRPr="00D91A77" w:rsidRDefault="00B1138B" w:rsidP="00BD1FA9">
      <w:pPr>
        <w:rPr>
          <w:rFonts w:ascii="Open Sans" w:hAnsi="Open Sans" w:cs="Open Sans"/>
          <w:b/>
          <w:bCs/>
        </w:rPr>
      </w:pPr>
    </w:p>
    <w:p w14:paraId="1B415630" w14:textId="25E1021A" w:rsidR="00BD1FA9" w:rsidRPr="00D91A77" w:rsidRDefault="00BD1FA9" w:rsidP="00BD1FA9">
      <w:pPr>
        <w:pStyle w:val="ListParagraph"/>
        <w:numPr>
          <w:ilvl w:val="0"/>
          <w:numId w:val="38"/>
        </w:numPr>
        <w:rPr>
          <w:rFonts w:ascii="Open Sans" w:hAnsi="Open Sans" w:cs="Open Sans"/>
          <w:b/>
          <w:bCs/>
        </w:rPr>
      </w:pPr>
      <w:r w:rsidRPr="00D91A77">
        <w:rPr>
          <w:rFonts w:ascii="Open Sans" w:hAnsi="Open Sans" w:cs="Open Sans"/>
          <w:b/>
          <w:bCs/>
        </w:rPr>
        <w:t>Should the Authority use a buffer pool or equivalence ratio?</w:t>
      </w:r>
    </w:p>
    <w:p w14:paraId="13174EA2" w14:textId="77777777" w:rsidR="00B618B0" w:rsidRPr="00D91A77" w:rsidRDefault="00B618B0" w:rsidP="00B618B0">
      <w:pPr>
        <w:rPr>
          <w:rFonts w:ascii="Open Sans" w:hAnsi="Open Sans" w:cs="Open Sans"/>
        </w:rPr>
      </w:pPr>
    </w:p>
    <w:p w14:paraId="50763570" w14:textId="4D6FA822" w:rsidR="005348D8" w:rsidRPr="00D91A77" w:rsidRDefault="0022063B" w:rsidP="00B618B0">
      <w:pPr>
        <w:rPr>
          <w:rFonts w:ascii="Open Sans" w:hAnsi="Open Sans" w:cs="Open Sans"/>
        </w:rPr>
      </w:pPr>
      <w:r w:rsidRPr="00D91A77">
        <w:rPr>
          <w:rFonts w:ascii="Open Sans" w:hAnsi="Open Sans" w:cs="Open Sans"/>
        </w:rPr>
        <w:t>Please see our response to question</w:t>
      </w:r>
      <w:r w:rsidR="005348D8" w:rsidRPr="00D91A77">
        <w:rPr>
          <w:rFonts w:ascii="Open Sans" w:hAnsi="Open Sans" w:cs="Open Sans"/>
        </w:rPr>
        <w:t>s 13 and</w:t>
      </w:r>
      <w:r w:rsidRPr="00D91A77">
        <w:rPr>
          <w:rFonts w:ascii="Open Sans" w:hAnsi="Open Sans" w:cs="Open Sans"/>
        </w:rPr>
        <w:t xml:space="preserve"> 1</w:t>
      </w:r>
      <w:r w:rsidR="00070EDA" w:rsidRPr="00D91A77">
        <w:rPr>
          <w:rFonts w:ascii="Open Sans" w:hAnsi="Open Sans" w:cs="Open Sans"/>
        </w:rPr>
        <w:t>5</w:t>
      </w:r>
      <w:r w:rsidRPr="00D91A77">
        <w:rPr>
          <w:rFonts w:ascii="Open Sans" w:hAnsi="Open Sans" w:cs="Open Sans"/>
        </w:rPr>
        <w:t xml:space="preserve">. </w:t>
      </w:r>
      <w:r w:rsidR="006F6D82" w:rsidRPr="00D91A77">
        <w:rPr>
          <w:rFonts w:ascii="Open Sans" w:hAnsi="Open Sans" w:cs="Open Sans"/>
        </w:rPr>
        <w:t xml:space="preserve">It may be appropriate to initially limit the type of removals integrating into the UK ETS – for example, engineered removals which already have a low risk of reversal and high rate of permanence could be integrated first, with a view to expanding to include </w:t>
      </w:r>
      <w:r w:rsidR="00A82EF9" w:rsidRPr="00D91A77">
        <w:rPr>
          <w:rFonts w:ascii="Open Sans" w:hAnsi="Open Sans" w:cs="Open Sans"/>
        </w:rPr>
        <w:t>nature-based</w:t>
      </w:r>
      <w:r w:rsidR="006F6D82" w:rsidRPr="00D91A77">
        <w:rPr>
          <w:rFonts w:ascii="Open Sans" w:hAnsi="Open Sans" w:cs="Open Sans"/>
        </w:rPr>
        <w:t xml:space="preserve"> removals once the market is suitably established (after five years). </w:t>
      </w:r>
      <w:r w:rsidR="00E2609B" w:rsidRPr="00D91A77">
        <w:rPr>
          <w:rFonts w:ascii="Open Sans" w:hAnsi="Open Sans" w:cs="Open Sans"/>
        </w:rPr>
        <w:t xml:space="preserve">That is not to say we don’t recognise the value and importance of both natured based and </w:t>
      </w:r>
      <w:r w:rsidR="00A82EF9" w:rsidRPr="00D91A77">
        <w:rPr>
          <w:rFonts w:ascii="Open Sans" w:hAnsi="Open Sans" w:cs="Open Sans"/>
        </w:rPr>
        <w:t>engineered</w:t>
      </w:r>
      <w:r w:rsidR="00E2609B" w:rsidRPr="00D91A77">
        <w:rPr>
          <w:rFonts w:ascii="Open Sans" w:hAnsi="Open Sans" w:cs="Open Sans"/>
        </w:rPr>
        <w:t xml:space="preserve"> removals, but </w:t>
      </w:r>
      <w:r w:rsidR="00A82EF9" w:rsidRPr="00D91A77">
        <w:rPr>
          <w:rFonts w:ascii="Open Sans" w:hAnsi="Open Sans" w:cs="Open Sans"/>
        </w:rPr>
        <w:t xml:space="preserve">for the purpose of simplicity and time, </w:t>
      </w:r>
      <w:r w:rsidR="00A86332" w:rsidRPr="00D91A77">
        <w:rPr>
          <w:rFonts w:ascii="Open Sans" w:hAnsi="Open Sans" w:cs="Open Sans"/>
        </w:rPr>
        <w:t xml:space="preserve">and provided the minimum storage periods are significant, </w:t>
      </w:r>
      <w:r w:rsidR="00A82EF9" w:rsidRPr="00D91A77">
        <w:rPr>
          <w:rFonts w:ascii="Open Sans" w:hAnsi="Open Sans" w:cs="Open Sans"/>
        </w:rPr>
        <w:t xml:space="preserve">this may be </w:t>
      </w:r>
      <w:r w:rsidR="00B33B0F" w:rsidRPr="00D91A77">
        <w:rPr>
          <w:rFonts w:ascii="Open Sans" w:hAnsi="Open Sans" w:cs="Open Sans"/>
        </w:rPr>
        <w:t xml:space="preserve">a </w:t>
      </w:r>
      <w:r w:rsidR="00A82EF9" w:rsidRPr="00D91A77">
        <w:rPr>
          <w:rFonts w:ascii="Open Sans" w:hAnsi="Open Sans" w:cs="Open Sans"/>
        </w:rPr>
        <w:t xml:space="preserve">solution that would initially remove the need for any additional measures, like buffer pools or equivalence ratios. </w:t>
      </w:r>
    </w:p>
    <w:p w14:paraId="3A087A3F" w14:textId="77777777" w:rsidR="005348D8" w:rsidRPr="00D91A77" w:rsidRDefault="005348D8" w:rsidP="00B618B0">
      <w:pPr>
        <w:rPr>
          <w:rFonts w:ascii="Open Sans" w:hAnsi="Open Sans" w:cs="Open Sans"/>
        </w:rPr>
      </w:pPr>
    </w:p>
    <w:p w14:paraId="0A3E3B28" w14:textId="27BC255E" w:rsidR="00B618B0" w:rsidRPr="00D91A77" w:rsidRDefault="00A86332" w:rsidP="00B618B0">
      <w:pPr>
        <w:rPr>
          <w:rFonts w:ascii="Open Sans" w:hAnsi="Open Sans" w:cs="Open Sans"/>
        </w:rPr>
      </w:pPr>
      <w:r w:rsidRPr="00D91A77">
        <w:rPr>
          <w:rFonts w:ascii="Open Sans" w:hAnsi="Open Sans" w:cs="Open Sans"/>
        </w:rPr>
        <w:lastRenderedPageBreak/>
        <w:t>If,</w:t>
      </w:r>
      <w:r w:rsidR="0022063B" w:rsidRPr="00D91A77">
        <w:rPr>
          <w:rFonts w:ascii="Open Sans" w:hAnsi="Open Sans" w:cs="Open Sans"/>
        </w:rPr>
        <w:t xml:space="preserve"> </w:t>
      </w:r>
      <w:r w:rsidR="00C36CC4" w:rsidRPr="00D91A77">
        <w:rPr>
          <w:rFonts w:ascii="Open Sans" w:hAnsi="Open Sans" w:cs="Open Sans"/>
        </w:rPr>
        <w:t>however,</w:t>
      </w:r>
      <w:r w:rsidR="0022063B" w:rsidRPr="00D91A77">
        <w:rPr>
          <w:rFonts w:ascii="Open Sans" w:hAnsi="Open Sans" w:cs="Open Sans"/>
        </w:rPr>
        <w:t xml:space="preserve"> the Authority is still minded to </w:t>
      </w:r>
      <w:r w:rsidR="003E4A9E" w:rsidRPr="00D91A77">
        <w:rPr>
          <w:rFonts w:ascii="Open Sans" w:hAnsi="Open Sans" w:cs="Open Sans"/>
        </w:rPr>
        <w:t>introduce an additional measure, t</w:t>
      </w:r>
      <w:r w:rsidR="00B618B0" w:rsidRPr="00D91A77">
        <w:rPr>
          <w:rFonts w:ascii="Open Sans" w:hAnsi="Open Sans" w:cs="Open Sans"/>
        </w:rPr>
        <w:t>he REA would support the introduction of an equivalence ratio</w:t>
      </w:r>
      <w:r w:rsidRPr="00D91A77">
        <w:rPr>
          <w:rFonts w:ascii="Open Sans" w:hAnsi="Open Sans" w:cs="Open Sans"/>
        </w:rPr>
        <w:t xml:space="preserve">, which differentiates between removal and reduction, and periods of permanence. </w:t>
      </w:r>
      <w:r w:rsidR="00B618B0" w:rsidRPr="00D91A77">
        <w:rPr>
          <w:rFonts w:ascii="Open Sans" w:hAnsi="Open Sans" w:cs="Open Sans"/>
        </w:rPr>
        <w:t xml:space="preserve">We believe a buffer pool </w:t>
      </w:r>
      <w:r w:rsidR="003E4A9E" w:rsidRPr="00D91A77">
        <w:rPr>
          <w:rFonts w:ascii="Open Sans" w:hAnsi="Open Sans" w:cs="Open Sans"/>
        </w:rPr>
        <w:t>would</w:t>
      </w:r>
      <w:r w:rsidR="00B618B0" w:rsidRPr="00D91A77">
        <w:rPr>
          <w:rFonts w:ascii="Open Sans" w:hAnsi="Open Sans" w:cs="Open Sans"/>
        </w:rPr>
        <w:t xml:space="preserve"> hinder </w:t>
      </w:r>
      <w:r w:rsidR="00AC315B" w:rsidRPr="00D91A77">
        <w:rPr>
          <w:rFonts w:ascii="Open Sans" w:hAnsi="Open Sans" w:cs="Open Sans"/>
        </w:rPr>
        <w:t>market development</w:t>
      </w:r>
      <w:r w:rsidR="00B63E23" w:rsidRPr="00D91A77">
        <w:rPr>
          <w:rFonts w:ascii="Open Sans" w:hAnsi="Open Sans" w:cs="Open Sans"/>
        </w:rPr>
        <w:t>, adding risk for developers which could undermine the commercial viability of a project, and that could in turn</w:t>
      </w:r>
      <w:r w:rsidR="00AC315B" w:rsidRPr="00D91A77">
        <w:rPr>
          <w:rFonts w:ascii="Open Sans" w:hAnsi="Open Sans" w:cs="Open Sans"/>
        </w:rPr>
        <w:t xml:space="preserve"> result in some technologies or projects not entering the market in the first place, reducing the options for purchasers, driving costs up, and potentially hampering our net zero ambitions.  </w:t>
      </w:r>
    </w:p>
    <w:p w14:paraId="07142FF8" w14:textId="77777777" w:rsidR="00BD1FA9" w:rsidRPr="00D91A77" w:rsidRDefault="00BD1FA9" w:rsidP="00BD1FA9">
      <w:pPr>
        <w:rPr>
          <w:rFonts w:ascii="Open Sans" w:hAnsi="Open Sans" w:cs="Open Sans"/>
          <w:b/>
          <w:bCs/>
        </w:rPr>
      </w:pPr>
    </w:p>
    <w:p w14:paraId="3356CDCF" w14:textId="28364669" w:rsidR="00BD1FA9" w:rsidRPr="00D91A77" w:rsidRDefault="00BD1FA9" w:rsidP="00703C51">
      <w:pPr>
        <w:pStyle w:val="ListParagraph"/>
        <w:numPr>
          <w:ilvl w:val="0"/>
          <w:numId w:val="38"/>
        </w:numPr>
        <w:rPr>
          <w:rFonts w:ascii="Open Sans" w:hAnsi="Open Sans" w:cs="Open Sans"/>
          <w:b/>
          <w:bCs/>
        </w:rPr>
      </w:pPr>
      <w:r w:rsidRPr="00D91A77">
        <w:rPr>
          <w:rFonts w:ascii="Open Sans" w:hAnsi="Open Sans" w:cs="Open Sans"/>
          <w:b/>
          <w:bCs/>
        </w:rPr>
        <w:t>How could the Authority set the contribution rate for a buffer pool? Should this be a flat rate contribution across all applicable projects, or should this vary per project?</w:t>
      </w:r>
    </w:p>
    <w:p w14:paraId="3B7BC303" w14:textId="77777777" w:rsidR="005C21FF" w:rsidRPr="00D91A77" w:rsidRDefault="005C21FF" w:rsidP="005C21FF">
      <w:pPr>
        <w:pStyle w:val="ListParagraph"/>
        <w:rPr>
          <w:rFonts w:ascii="Open Sans" w:hAnsi="Open Sans" w:cs="Open Sans"/>
          <w:b/>
          <w:bCs/>
          <w:highlight w:val="yellow"/>
        </w:rPr>
      </w:pPr>
    </w:p>
    <w:p w14:paraId="12B34AEE" w14:textId="6C7130C3" w:rsidR="007F7D98" w:rsidRPr="00D91A77" w:rsidRDefault="00CE1472" w:rsidP="007F7D98">
      <w:pPr>
        <w:rPr>
          <w:rFonts w:ascii="Open Sans" w:hAnsi="Open Sans" w:cs="Open Sans"/>
          <w:highlight w:val="yellow"/>
        </w:rPr>
      </w:pPr>
      <w:r w:rsidRPr="00D91A77">
        <w:rPr>
          <w:rFonts w:ascii="Open Sans" w:hAnsi="Open Sans" w:cs="Open Sans"/>
        </w:rPr>
        <w:t xml:space="preserve">Please see our response to question 18. </w:t>
      </w:r>
      <w:r w:rsidR="007F7D98" w:rsidRPr="00D91A77">
        <w:rPr>
          <w:rFonts w:ascii="Open Sans" w:hAnsi="Open Sans" w:cs="Open Sans"/>
        </w:rPr>
        <w:t xml:space="preserve">The REA does not believe that a buffer pool approach is </w:t>
      </w:r>
      <w:r w:rsidR="00364E3F" w:rsidRPr="00D91A77">
        <w:rPr>
          <w:rFonts w:ascii="Open Sans" w:hAnsi="Open Sans" w:cs="Open Sans"/>
        </w:rPr>
        <w:t xml:space="preserve">optimal </w:t>
      </w:r>
      <w:r w:rsidR="007F7D98" w:rsidRPr="00D91A77">
        <w:rPr>
          <w:rFonts w:ascii="Open Sans" w:hAnsi="Open Sans" w:cs="Open Sans"/>
        </w:rPr>
        <w:t>as this is likely to</w:t>
      </w:r>
      <w:r w:rsidR="00084557" w:rsidRPr="00D91A77">
        <w:rPr>
          <w:rFonts w:ascii="Open Sans" w:hAnsi="Open Sans" w:cs="Open Sans"/>
        </w:rPr>
        <w:t xml:space="preserve"> introduce too much commercial risk to a project. However, s</w:t>
      </w:r>
      <w:r w:rsidR="007F7D98" w:rsidRPr="00D91A77">
        <w:rPr>
          <w:rFonts w:ascii="Open Sans" w:hAnsi="Open Sans" w:cs="Open Sans"/>
        </w:rPr>
        <w:t xml:space="preserve">hould a buffer pool be implemented, the rate of contribution should vary according to each project and be commensurate with each project’s scientifically established risk of reversal. </w:t>
      </w:r>
    </w:p>
    <w:p w14:paraId="034E4257" w14:textId="77777777" w:rsidR="007F7D98" w:rsidRPr="00D91A77" w:rsidRDefault="007F7D98" w:rsidP="007F7D98">
      <w:pPr>
        <w:pStyle w:val="ListParagraph"/>
        <w:rPr>
          <w:rFonts w:ascii="Open Sans" w:hAnsi="Open Sans" w:cs="Open Sans"/>
          <w:b/>
          <w:bCs/>
          <w:highlight w:val="yellow"/>
        </w:rPr>
      </w:pPr>
    </w:p>
    <w:p w14:paraId="527EC17D" w14:textId="732FFABE" w:rsidR="00BD1FA9" w:rsidRPr="00D91A77" w:rsidRDefault="00BD1FA9" w:rsidP="005C3063">
      <w:pPr>
        <w:pStyle w:val="ListParagraph"/>
        <w:numPr>
          <w:ilvl w:val="0"/>
          <w:numId w:val="38"/>
        </w:numPr>
        <w:rPr>
          <w:rFonts w:ascii="Open Sans" w:hAnsi="Open Sans" w:cs="Open Sans"/>
          <w:b/>
          <w:bCs/>
        </w:rPr>
      </w:pPr>
      <w:r w:rsidRPr="00D91A77">
        <w:rPr>
          <w:rFonts w:ascii="Open Sans" w:hAnsi="Open Sans" w:cs="Open Sans"/>
          <w:b/>
          <w:bCs/>
        </w:rPr>
        <w:t>Which factors should be considered when determining the appropriate contribution rate for a buffer pool?</w:t>
      </w:r>
    </w:p>
    <w:p w14:paraId="56E9C3D6" w14:textId="625F0769" w:rsidR="005C21FF" w:rsidRPr="00D91A77" w:rsidRDefault="005C21FF" w:rsidP="00BD1FA9">
      <w:pPr>
        <w:rPr>
          <w:rFonts w:ascii="Open Sans" w:hAnsi="Open Sans" w:cs="Open Sans"/>
        </w:rPr>
      </w:pPr>
    </w:p>
    <w:p w14:paraId="7DC87F31" w14:textId="62CD55B4" w:rsidR="002337D4" w:rsidRPr="00D91A77" w:rsidRDefault="002337D4" w:rsidP="00BD1FA9">
      <w:pPr>
        <w:rPr>
          <w:rFonts w:ascii="Open Sans" w:hAnsi="Open Sans" w:cs="Open Sans"/>
        </w:rPr>
      </w:pPr>
      <w:r w:rsidRPr="00D91A77">
        <w:rPr>
          <w:rFonts w:ascii="Open Sans" w:hAnsi="Open Sans" w:cs="Open Sans"/>
        </w:rPr>
        <w:t xml:space="preserve">As set out in response to question 19, we believe the scientifically established risk of reversal for each project should determine appropriate buffer pool rates. </w:t>
      </w:r>
    </w:p>
    <w:p w14:paraId="57E5ABFA" w14:textId="77777777" w:rsidR="005C21FF" w:rsidRPr="00D91A77" w:rsidRDefault="005C21FF" w:rsidP="00BD1FA9">
      <w:pPr>
        <w:rPr>
          <w:rFonts w:ascii="Open Sans" w:hAnsi="Open Sans" w:cs="Open Sans"/>
          <w:b/>
          <w:bCs/>
          <w:highlight w:val="yellow"/>
        </w:rPr>
      </w:pPr>
    </w:p>
    <w:p w14:paraId="7F202DE0" w14:textId="0469E962" w:rsidR="00BD1FA9" w:rsidRPr="00D91A77" w:rsidRDefault="00BD1FA9" w:rsidP="00BC1EB1">
      <w:pPr>
        <w:pStyle w:val="ListParagraph"/>
        <w:numPr>
          <w:ilvl w:val="0"/>
          <w:numId w:val="38"/>
        </w:numPr>
        <w:rPr>
          <w:rFonts w:ascii="Open Sans" w:hAnsi="Open Sans" w:cs="Open Sans"/>
          <w:b/>
          <w:bCs/>
        </w:rPr>
      </w:pPr>
      <w:r w:rsidRPr="00D91A77">
        <w:rPr>
          <w:rFonts w:ascii="Open Sans" w:hAnsi="Open Sans" w:cs="Open Sans"/>
          <w:b/>
          <w:bCs/>
        </w:rPr>
        <w:t>How should the Authority decide which GGRs would be required to contribute to a buffer pool and at what level any threshold should be set for contributions?</w:t>
      </w:r>
    </w:p>
    <w:p w14:paraId="0273F145" w14:textId="77777777" w:rsidR="00125A38" w:rsidRPr="00D91A77" w:rsidRDefault="00125A38" w:rsidP="00BD1FA9">
      <w:pPr>
        <w:rPr>
          <w:rFonts w:ascii="Open Sans" w:hAnsi="Open Sans" w:cs="Open Sans"/>
          <w:b/>
          <w:bCs/>
        </w:rPr>
      </w:pPr>
    </w:p>
    <w:p w14:paraId="5D0F2221" w14:textId="08DC6608" w:rsidR="00BD1FA9" w:rsidRPr="00D91A77" w:rsidRDefault="00125A38" w:rsidP="00952C6E">
      <w:pPr>
        <w:rPr>
          <w:rFonts w:ascii="Open Sans" w:hAnsi="Open Sans" w:cs="Open Sans"/>
        </w:rPr>
      </w:pPr>
      <w:r w:rsidRPr="00D91A77">
        <w:rPr>
          <w:rFonts w:ascii="Open Sans" w:hAnsi="Open Sans" w:cs="Open Sans"/>
        </w:rPr>
        <w:t>As s</w:t>
      </w:r>
      <w:r w:rsidR="00C73677" w:rsidRPr="00D91A77">
        <w:rPr>
          <w:rFonts w:ascii="Open Sans" w:hAnsi="Open Sans" w:cs="Open Sans"/>
        </w:rPr>
        <w:t>tated in response to question 18, the REA does not believe a buffer pool is the optimal</w:t>
      </w:r>
      <w:r w:rsidR="00E64F1E" w:rsidRPr="00D91A77">
        <w:rPr>
          <w:rFonts w:ascii="Open Sans" w:hAnsi="Open Sans" w:cs="Open Sans"/>
        </w:rPr>
        <w:t xml:space="preserve"> solution, but should government be minded to introduce one, then </w:t>
      </w:r>
      <w:r w:rsidR="00952C6E" w:rsidRPr="00D91A77">
        <w:rPr>
          <w:rFonts w:ascii="Open Sans" w:hAnsi="Open Sans" w:cs="Open Sans"/>
        </w:rPr>
        <w:t xml:space="preserve">the requirement should relate to permanence and risk of reversal rates. Those with lower permanence rates (below 200 years for example) or at higher risk of reversal within that same timeframe, </w:t>
      </w:r>
      <w:r w:rsidR="00787505" w:rsidRPr="00D91A77">
        <w:rPr>
          <w:rFonts w:ascii="Open Sans" w:hAnsi="Open Sans" w:cs="Open Sans"/>
        </w:rPr>
        <w:t>sh</w:t>
      </w:r>
      <w:r w:rsidR="00952C6E" w:rsidRPr="00D91A77">
        <w:rPr>
          <w:rFonts w:ascii="Open Sans" w:hAnsi="Open Sans" w:cs="Open Sans"/>
        </w:rPr>
        <w:t xml:space="preserve">ould pay into the buffer pool. </w:t>
      </w:r>
      <w:r w:rsidR="00C73677" w:rsidRPr="00D91A77">
        <w:rPr>
          <w:rFonts w:ascii="Open Sans" w:hAnsi="Open Sans" w:cs="Open Sans"/>
        </w:rPr>
        <w:t xml:space="preserve"> </w:t>
      </w:r>
    </w:p>
    <w:p w14:paraId="13D3E042" w14:textId="77777777" w:rsidR="004D7FE8" w:rsidRPr="00D91A77" w:rsidRDefault="004D7FE8" w:rsidP="00BD1FA9">
      <w:pPr>
        <w:rPr>
          <w:rFonts w:ascii="Open Sans" w:hAnsi="Open Sans" w:cs="Open Sans"/>
          <w:b/>
          <w:bCs/>
        </w:rPr>
      </w:pPr>
    </w:p>
    <w:p w14:paraId="34792B9B" w14:textId="366AD572" w:rsidR="00BD1FA9" w:rsidRPr="00D91A77" w:rsidRDefault="00BD1FA9" w:rsidP="00F23B93">
      <w:pPr>
        <w:pStyle w:val="ListParagraph"/>
        <w:numPr>
          <w:ilvl w:val="0"/>
          <w:numId w:val="38"/>
        </w:numPr>
        <w:rPr>
          <w:rFonts w:ascii="Open Sans" w:hAnsi="Open Sans" w:cs="Open Sans"/>
          <w:b/>
          <w:bCs/>
        </w:rPr>
      </w:pPr>
      <w:r w:rsidRPr="00D91A77">
        <w:rPr>
          <w:rFonts w:ascii="Open Sans" w:hAnsi="Open Sans" w:cs="Open Sans"/>
          <w:b/>
          <w:bCs/>
        </w:rPr>
        <w:t xml:space="preserve">Should buffer pool contribution rates remain fixed over time or could they vary? If they vary how should this be assessed? For example, the Authority could require projects </w:t>
      </w:r>
      <w:r w:rsidR="00E8152E" w:rsidRPr="00D91A77">
        <w:rPr>
          <w:rFonts w:ascii="Open Sans" w:hAnsi="Open Sans" w:cs="Open Sans"/>
          <w:b/>
          <w:bCs/>
        </w:rPr>
        <w:t>to contribute</w:t>
      </w:r>
      <w:r w:rsidRPr="00D91A77">
        <w:rPr>
          <w:rFonts w:ascii="Open Sans" w:hAnsi="Open Sans" w:cs="Open Sans"/>
          <w:b/>
          <w:bCs/>
        </w:rPr>
        <w:t xml:space="preserve"> depending on an assessment of risk at each verification period, and this could change over time.</w:t>
      </w:r>
    </w:p>
    <w:p w14:paraId="06AD161C" w14:textId="77777777" w:rsidR="00E8152E" w:rsidRPr="00D91A77" w:rsidRDefault="00E8152E" w:rsidP="00BD1FA9">
      <w:pPr>
        <w:rPr>
          <w:rFonts w:ascii="Open Sans" w:hAnsi="Open Sans" w:cs="Open Sans"/>
          <w:b/>
          <w:bCs/>
        </w:rPr>
      </w:pPr>
    </w:p>
    <w:p w14:paraId="2C0B292E" w14:textId="552E363D" w:rsidR="00E8152E" w:rsidRPr="00D91A77" w:rsidRDefault="00E8152E" w:rsidP="00BD1FA9">
      <w:pPr>
        <w:rPr>
          <w:rFonts w:ascii="Open Sans" w:hAnsi="Open Sans" w:cs="Open Sans"/>
        </w:rPr>
      </w:pPr>
      <w:r w:rsidRPr="00D91A77">
        <w:rPr>
          <w:rFonts w:ascii="Open Sans" w:hAnsi="Open Sans" w:cs="Open Sans"/>
        </w:rPr>
        <w:t xml:space="preserve">Contribution rates should vary over time as technology develops. If there is a large enough contingency, then in time, there would be no need to tap into the buffer pool. </w:t>
      </w:r>
    </w:p>
    <w:p w14:paraId="0251363B" w14:textId="77777777" w:rsidR="00E8152E" w:rsidRPr="00D91A77" w:rsidRDefault="00E8152E" w:rsidP="00BD1FA9">
      <w:pPr>
        <w:rPr>
          <w:rFonts w:ascii="Open Sans" w:hAnsi="Open Sans" w:cs="Open Sans"/>
          <w:b/>
          <w:bCs/>
        </w:rPr>
      </w:pPr>
    </w:p>
    <w:p w14:paraId="278AB685" w14:textId="1A652348" w:rsidR="00BD1FA9" w:rsidRPr="00D91A77" w:rsidRDefault="00BD1FA9" w:rsidP="00BD1FA9">
      <w:pPr>
        <w:pStyle w:val="ListParagraph"/>
        <w:numPr>
          <w:ilvl w:val="0"/>
          <w:numId w:val="38"/>
        </w:numPr>
        <w:rPr>
          <w:rFonts w:ascii="Open Sans" w:hAnsi="Open Sans" w:cs="Open Sans"/>
          <w:color w:val="C00000"/>
        </w:rPr>
      </w:pPr>
      <w:r w:rsidRPr="00D91A77">
        <w:rPr>
          <w:rFonts w:ascii="Open Sans" w:hAnsi="Open Sans" w:cs="Open Sans"/>
          <w:b/>
          <w:bCs/>
        </w:rPr>
        <w:t>How could the Authority design equivalence ratios?</w:t>
      </w:r>
      <w:r w:rsidR="0040627F" w:rsidRPr="00D91A77">
        <w:rPr>
          <w:rFonts w:ascii="Open Sans" w:hAnsi="Open Sans" w:cs="Open Sans"/>
          <w:b/>
          <w:bCs/>
        </w:rPr>
        <w:t xml:space="preserve"> </w:t>
      </w:r>
    </w:p>
    <w:p w14:paraId="71248B3B" w14:textId="77777777" w:rsidR="009E4569" w:rsidRPr="00D91A77" w:rsidRDefault="009E4569" w:rsidP="009E4569">
      <w:pPr>
        <w:rPr>
          <w:rFonts w:ascii="Open Sans" w:hAnsi="Open Sans" w:cs="Open Sans"/>
          <w:b/>
          <w:bCs/>
        </w:rPr>
      </w:pPr>
    </w:p>
    <w:p w14:paraId="3D423D59" w14:textId="549A5B52" w:rsidR="00520113" w:rsidRPr="00D91A77" w:rsidRDefault="002D01C7" w:rsidP="00520113">
      <w:pPr>
        <w:rPr>
          <w:rFonts w:ascii="Open Sans" w:hAnsi="Open Sans" w:cs="Open Sans"/>
        </w:rPr>
      </w:pPr>
      <w:r w:rsidRPr="00D91A77">
        <w:rPr>
          <w:rFonts w:ascii="Open Sans" w:hAnsi="Open Sans" w:cs="Open Sans"/>
        </w:rPr>
        <w:t xml:space="preserve">Nature based solutions, for the most part, may already be at a price point that allows for quick deployment but there are clear issues around them being able to deliver </w:t>
      </w:r>
      <w:r w:rsidR="009D2FC8" w:rsidRPr="00D91A77">
        <w:rPr>
          <w:rFonts w:ascii="Open Sans" w:hAnsi="Open Sans" w:cs="Open Sans"/>
        </w:rPr>
        <w:t>perma</w:t>
      </w:r>
      <w:r w:rsidR="009D2FC8">
        <w:rPr>
          <w:rFonts w:ascii="Open Sans" w:hAnsi="Open Sans" w:cs="Open Sans"/>
        </w:rPr>
        <w:t>ne</w:t>
      </w:r>
      <w:r w:rsidR="009D2FC8" w:rsidRPr="00D91A77">
        <w:rPr>
          <w:rFonts w:ascii="Open Sans" w:hAnsi="Open Sans" w:cs="Open Sans"/>
        </w:rPr>
        <w:t>nce</w:t>
      </w:r>
      <w:r w:rsidRPr="00D91A77">
        <w:rPr>
          <w:rFonts w:ascii="Open Sans" w:hAnsi="Open Sans" w:cs="Open Sans"/>
        </w:rPr>
        <w:t xml:space="preserve"> of storage and providing additionality. By contrast</w:t>
      </w:r>
      <w:r w:rsidR="00F07626">
        <w:rPr>
          <w:rFonts w:ascii="Open Sans" w:hAnsi="Open Sans" w:cs="Open Sans"/>
        </w:rPr>
        <w:t>,</w:t>
      </w:r>
      <w:r w:rsidRPr="00D91A77">
        <w:rPr>
          <w:rFonts w:ascii="Open Sans" w:hAnsi="Open Sans" w:cs="Open Sans"/>
        </w:rPr>
        <w:t xml:space="preserve"> engineering-based </w:t>
      </w:r>
      <w:r w:rsidRPr="00D91A77">
        <w:rPr>
          <w:rFonts w:ascii="Open Sans" w:hAnsi="Open Sans" w:cs="Open Sans"/>
        </w:rPr>
        <w:lastRenderedPageBreak/>
        <w:t>solutions are more expensive, requiring additional support for deployment, but due to geological storage could see far greater levels of permanence. As such</w:t>
      </w:r>
      <w:r w:rsidR="00B92E3F" w:rsidRPr="00D91A77">
        <w:rPr>
          <w:rFonts w:ascii="Open Sans" w:hAnsi="Open Sans" w:cs="Open Sans"/>
        </w:rPr>
        <w:t xml:space="preserve">, </w:t>
      </w:r>
      <w:r w:rsidRPr="00D91A77">
        <w:rPr>
          <w:rFonts w:ascii="Open Sans" w:hAnsi="Open Sans" w:cs="Open Sans"/>
        </w:rPr>
        <w:t>and a</w:t>
      </w:r>
      <w:r w:rsidR="00FE70DB" w:rsidRPr="00D91A77">
        <w:rPr>
          <w:rFonts w:ascii="Open Sans" w:hAnsi="Open Sans" w:cs="Open Sans"/>
        </w:rPr>
        <w:t xml:space="preserve">s set out in response to previous questions, another option may be for the Authority to integrate engineered removals initially, with a view to introducing </w:t>
      </w:r>
      <w:r w:rsidR="00050AA7" w:rsidRPr="00D91A77">
        <w:rPr>
          <w:rFonts w:ascii="Open Sans" w:hAnsi="Open Sans" w:cs="Open Sans"/>
        </w:rPr>
        <w:t>nature-based</w:t>
      </w:r>
      <w:r w:rsidR="00FE70DB" w:rsidRPr="00D91A77">
        <w:rPr>
          <w:rFonts w:ascii="Open Sans" w:hAnsi="Open Sans" w:cs="Open Sans"/>
        </w:rPr>
        <w:t xml:space="preserve"> removals at a later date. In our view, if the </w:t>
      </w:r>
      <w:r w:rsidR="00050AA7" w:rsidRPr="00D91A77">
        <w:rPr>
          <w:rFonts w:ascii="Open Sans" w:hAnsi="Open Sans" w:cs="Open Sans"/>
        </w:rPr>
        <w:t>Authority</w:t>
      </w:r>
      <w:r w:rsidR="00FE70DB" w:rsidRPr="00D91A77">
        <w:rPr>
          <w:rFonts w:ascii="Open Sans" w:hAnsi="Open Sans" w:cs="Open Sans"/>
        </w:rPr>
        <w:t xml:space="preserve"> was to do this, then there would be no need to </w:t>
      </w:r>
      <w:r w:rsidR="00050AA7" w:rsidRPr="00D91A77">
        <w:rPr>
          <w:rFonts w:ascii="Open Sans" w:hAnsi="Open Sans" w:cs="Open Sans"/>
        </w:rPr>
        <w:t>introduce</w:t>
      </w:r>
      <w:r w:rsidR="00FE70DB" w:rsidRPr="00D91A77">
        <w:rPr>
          <w:rFonts w:ascii="Open Sans" w:hAnsi="Open Sans" w:cs="Open Sans"/>
        </w:rPr>
        <w:t xml:space="preserve"> additional liability measures, either buffer pools or </w:t>
      </w:r>
      <w:r w:rsidR="00050AA7" w:rsidRPr="00D91A77">
        <w:rPr>
          <w:rFonts w:ascii="Open Sans" w:hAnsi="Open Sans" w:cs="Open Sans"/>
        </w:rPr>
        <w:t>equivalence</w:t>
      </w:r>
      <w:r w:rsidR="00FE70DB" w:rsidRPr="00D91A77">
        <w:rPr>
          <w:rFonts w:ascii="Open Sans" w:hAnsi="Open Sans" w:cs="Open Sans"/>
        </w:rPr>
        <w:t xml:space="preserve"> ratios</w:t>
      </w:r>
      <w:r w:rsidR="00050AA7" w:rsidRPr="00D91A77">
        <w:rPr>
          <w:rFonts w:ascii="Open Sans" w:hAnsi="Open Sans" w:cs="Open Sans"/>
        </w:rPr>
        <w:t>. Once the market is more established, the Authority could</w:t>
      </w:r>
      <w:r w:rsidRPr="00D91A77">
        <w:rPr>
          <w:rFonts w:ascii="Open Sans" w:hAnsi="Open Sans" w:cs="Open Sans"/>
        </w:rPr>
        <w:t xml:space="preserve"> then</w:t>
      </w:r>
      <w:r w:rsidR="00050AA7" w:rsidRPr="00D91A77">
        <w:rPr>
          <w:rFonts w:ascii="Open Sans" w:hAnsi="Open Sans" w:cs="Open Sans"/>
        </w:rPr>
        <w:t xml:space="preserve"> consult on</w:t>
      </w:r>
      <w:r w:rsidRPr="00D91A77">
        <w:rPr>
          <w:rFonts w:ascii="Open Sans" w:hAnsi="Open Sans" w:cs="Open Sans"/>
        </w:rPr>
        <w:t xml:space="preserve"> the</w:t>
      </w:r>
      <w:r w:rsidR="00050AA7" w:rsidRPr="00D91A77">
        <w:rPr>
          <w:rFonts w:ascii="Open Sans" w:hAnsi="Open Sans" w:cs="Open Sans"/>
        </w:rPr>
        <w:t xml:space="preserve"> liability measures</w:t>
      </w:r>
      <w:r w:rsidRPr="00D91A77">
        <w:rPr>
          <w:rFonts w:ascii="Open Sans" w:hAnsi="Open Sans" w:cs="Open Sans"/>
        </w:rPr>
        <w:t xml:space="preserve"> required</w:t>
      </w:r>
      <w:r w:rsidR="00050AA7" w:rsidRPr="00D91A77">
        <w:rPr>
          <w:rFonts w:ascii="Open Sans" w:hAnsi="Open Sans" w:cs="Open Sans"/>
        </w:rPr>
        <w:t xml:space="preserve"> for integrating </w:t>
      </w:r>
      <w:r w:rsidRPr="00D91A77">
        <w:rPr>
          <w:rFonts w:ascii="Open Sans" w:hAnsi="Open Sans" w:cs="Open Sans"/>
        </w:rPr>
        <w:t>nature-based</w:t>
      </w:r>
      <w:r w:rsidR="00050AA7" w:rsidRPr="00D91A77">
        <w:rPr>
          <w:rFonts w:ascii="Open Sans" w:hAnsi="Open Sans" w:cs="Open Sans"/>
        </w:rPr>
        <w:t xml:space="preserve"> removals</w:t>
      </w:r>
      <w:r w:rsidR="009D6BE7" w:rsidRPr="00D91A77">
        <w:rPr>
          <w:rFonts w:ascii="Open Sans" w:hAnsi="Open Sans" w:cs="Open Sans"/>
        </w:rPr>
        <w:t xml:space="preserve">. </w:t>
      </w:r>
    </w:p>
    <w:p w14:paraId="3138555A" w14:textId="77777777" w:rsidR="00520113" w:rsidRPr="00D91A77" w:rsidRDefault="00520113" w:rsidP="00520113">
      <w:pPr>
        <w:rPr>
          <w:rFonts w:ascii="Open Sans" w:hAnsi="Open Sans" w:cs="Open Sans"/>
        </w:rPr>
      </w:pPr>
    </w:p>
    <w:p w14:paraId="592F2540" w14:textId="6078F325" w:rsidR="00520113" w:rsidRPr="00D91A77" w:rsidRDefault="0062096D" w:rsidP="00520113">
      <w:pPr>
        <w:rPr>
          <w:rFonts w:ascii="Open Sans" w:hAnsi="Open Sans" w:cs="Open Sans"/>
        </w:rPr>
      </w:pPr>
      <w:r w:rsidRPr="00D91A77">
        <w:rPr>
          <w:rFonts w:ascii="Open Sans" w:hAnsi="Open Sans" w:cs="Open Sans"/>
        </w:rPr>
        <w:t xml:space="preserve">However, should the Authority wish to </w:t>
      </w:r>
      <w:r w:rsidR="00B64477" w:rsidRPr="00D91A77">
        <w:rPr>
          <w:rFonts w:ascii="Open Sans" w:hAnsi="Open Sans" w:cs="Open Sans"/>
        </w:rPr>
        <w:t>integrate</w:t>
      </w:r>
      <w:r w:rsidRPr="00D91A77">
        <w:rPr>
          <w:rFonts w:ascii="Open Sans" w:hAnsi="Open Sans" w:cs="Open Sans"/>
        </w:rPr>
        <w:t xml:space="preserve"> both </w:t>
      </w:r>
      <w:r w:rsidR="00B64477" w:rsidRPr="00D91A77">
        <w:rPr>
          <w:rFonts w:ascii="Open Sans" w:hAnsi="Open Sans" w:cs="Open Sans"/>
        </w:rPr>
        <w:t>removal types at the same time, then t</w:t>
      </w:r>
      <w:r w:rsidR="00520113" w:rsidRPr="00D91A77">
        <w:rPr>
          <w:rFonts w:ascii="Open Sans" w:hAnsi="Open Sans" w:cs="Open Sans"/>
        </w:rPr>
        <w:t>he first step is to ensure strong standards and methodologies for each form of GGR so that their quality can be assured from the outset through strict definitions. These can be designed around the Oxford Principle’s for Net Zero Aligned Carbon Offsetting</w:t>
      </w:r>
      <w:r w:rsidR="00B848E5" w:rsidRPr="00D91A77">
        <w:rPr>
          <w:rFonts w:ascii="Open Sans" w:hAnsi="Open Sans" w:cs="Open Sans"/>
        </w:rPr>
        <w:t>.</w:t>
      </w:r>
    </w:p>
    <w:p w14:paraId="00B4F400" w14:textId="77777777" w:rsidR="00520113" w:rsidRPr="00D91A77" w:rsidRDefault="00520113" w:rsidP="00520113">
      <w:pPr>
        <w:rPr>
          <w:rFonts w:ascii="Open Sans" w:hAnsi="Open Sans" w:cs="Open Sans"/>
        </w:rPr>
      </w:pPr>
    </w:p>
    <w:p w14:paraId="39015F1F" w14:textId="7A8EB8D6" w:rsidR="00520113" w:rsidRPr="00D91A77" w:rsidRDefault="00520113" w:rsidP="00520113">
      <w:pPr>
        <w:rPr>
          <w:rFonts w:ascii="Open Sans" w:hAnsi="Open Sans" w:cs="Open Sans"/>
        </w:rPr>
      </w:pPr>
      <w:r w:rsidRPr="00D91A77">
        <w:rPr>
          <w:rFonts w:ascii="Open Sans" w:hAnsi="Open Sans" w:cs="Open Sans"/>
        </w:rPr>
        <w:t>Once the nature of different GGRs is suitably defined and assured, then mechanisms within market design can be used to appropriately reward different forms of GGRs. A volume-based derating (or discounting) system based on the level of perma</w:t>
      </w:r>
      <w:r w:rsidR="003511A2">
        <w:rPr>
          <w:rFonts w:ascii="Open Sans" w:hAnsi="Open Sans" w:cs="Open Sans"/>
        </w:rPr>
        <w:t>ne</w:t>
      </w:r>
      <w:r w:rsidRPr="00D91A77">
        <w:rPr>
          <w:rFonts w:ascii="Open Sans" w:hAnsi="Open Sans" w:cs="Open Sans"/>
        </w:rPr>
        <w:t>nce achieved could be used. In such a system, those with lower levels of perm</w:t>
      </w:r>
      <w:r w:rsidR="004746A7">
        <w:rPr>
          <w:rFonts w:ascii="Open Sans" w:hAnsi="Open Sans" w:cs="Open Sans"/>
        </w:rPr>
        <w:t>anen</w:t>
      </w:r>
      <w:r w:rsidRPr="00D91A77">
        <w:rPr>
          <w:rFonts w:ascii="Open Sans" w:hAnsi="Open Sans" w:cs="Open Sans"/>
        </w:rPr>
        <w:t>ce could receive only a proportion of a single GGR unit. As a result, cheaper but less permeant solutions still receive a benefit, but not as much as the more expensive, but more perm</w:t>
      </w:r>
      <w:r w:rsidR="00D078BE" w:rsidRPr="00D91A77">
        <w:rPr>
          <w:rFonts w:ascii="Open Sans" w:hAnsi="Open Sans" w:cs="Open Sans"/>
        </w:rPr>
        <w:t>ane</w:t>
      </w:r>
      <w:r w:rsidRPr="00D91A77">
        <w:rPr>
          <w:rFonts w:ascii="Open Sans" w:hAnsi="Open Sans" w:cs="Open Sans"/>
        </w:rPr>
        <w:t xml:space="preserve">nt, geological storage solutions. This can also be expected to lead to market participants seeking a portfolio of GGRs </w:t>
      </w:r>
      <w:r w:rsidR="00B848E5" w:rsidRPr="00D91A77">
        <w:rPr>
          <w:rFonts w:ascii="Open Sans" w:hAnsi="Open Sans" w:cs="Open Sans"/>
        </w:rPr>
        <w:t>m</w:t>
      </w:r>
      <w:r w:rsidRPr="00D91A77">
        <w:rPr>
          <w:rFonts w:ascii="Open Sans" w:hAnsi="Open Sans" w:cs="Open Sans"/>
        </w:rPr>
        <w:t>eet their obligation</w:t>
      </w:r>
      <w:r w:rsidR="00712520" w:rsidRPr="00D91A77">
        <w:rPr>
          <w:rFonts w:ascii="Open Sans" w:hAnsi="Open Sans" w:cs="Open Sans"/>
        </w:rPr>
        <w:t xml:space="preserve">. </w:t>
      </w:r>
    </w:p>
    <w:p w14:paraId="04AAE7CE" w14:textId="77777777" w:rsidR="00520113" w:rsidRPr="00D91A77" w:rsidRDefault="00520113" w:rsidP="00520113">
      <w:pPr>
        <w:rPr>
          <w:rFonts w:ascii="Open Sans" w:hAnsi="Open Sans" w:cs="Open Sans"/>
        </w:rPr>
      </w:pPr>
    </w:p>
    <w:p w14:paraId="7C0EA43D" w14:textId="30DE4596" w:rsidR="009E4569" w:rsidRPr="00D91A77" w:rsidRDefault="00861B82" w:rsidP="00520113">
      <w:pPr>
        <w:rPr>
          <w:rFonts w:ascii="Open Sans" w:hAnsi="Open Sans" w:cs="Open Sans"/>
        </w:rPr>
      </w:pPr>
      <w:r w:rsidRPr="00D91A77">
        <w:rPr>
          <w:rFonts w:ascii="Open Sans" w:hAnsi="Open Sans" w:cs="Open Sans"/>
        </w:rPr>
        <w:t>This sort of</w:t>
      </w:r>
      <w:r w:rsidR="00520113" w:rsidRPr="00D91A77">
        <w:rPr>
          <w:rFonts w:ascii="Open Sans" w:hAnsi="Open Sans" w:cs="Open Sans"/>
        </w:rPr>
        <w:t xml:space="preserve"> derating system is preferrable to a blunter permeance threshold which could </w:t>
      </w:r>
      <w:r w:rsidR="00966BF8" w:rsidRPr="00D91A77">
        <w:rPr>
          <w:rFonts w:ascii="Open Sans" w:hAnsi="Open Sans" w:cs="Open Sans"/>
        </w:rPr>
        <w:t>exclude</w:t>
      </w:r>
      <w:r w:rsidR="00520113" w:rsidRPr="00D91A77">
        <w:rPr>
          <w:rFonts w:ascii="Open Sans" w:hAnsi="Open Sans" w:cs="Open Sans"/>
        </w:rPr>
        <w:t xml:space="preserve"> some GGR technologies from the market, while also creating a benchmark above which there is little advantage for longer permanence technologies to innovate or improve. </w:t>
      </w:r>
      <w:r w:rsidR="009E4569" w:rsidRPr="00D91A77">
        <w:rPr>
          <w:rFonts w:ascii="Open Sans" w:hAnsi="Open Sans" w:cs="Open Sans"/>
        </w:rPr>
        <w:t xml:space="preserve">We believe a banding exercise based on </w:t>
      </w:r>
      <w:r w:rsidR="00BD7580" w:rsidRPr="00D91A77">
        <w:rPr>
          <w:rFonts w:ascii="Open Sans" w:hAnsi="Open Sans" w:cs="Open Sans"/>
        </w:rPr>
        <w:t xml:space="preserve">expected permanence would be most appropriate and simple to design. </w:t>
      </w:r>
    </w:p>
    <w:p w14:paraId="7371CD6D" w14:textId="77777777" w:rsidR="00BD1FA9" w:rsidRPr="00D91A77" w:rsidRDefault="00BD1FA9" w:rsidP="00BD1FA9">
      <w:pPr>
        <w:rPr>
          <w:rFonts w:ascii="Open Sans" w:hAnsi="Open Sans" w:cs="Open Sans"/>
          <w:b/>
          <w:bCs/>
        </w:rPr>
      </w:pPr>
    </w:p>
    <w:p w14:paraId="0F88E4A9" w14:textId="7F97890E" w:rsidR="00BD1FA9" w:rsidRPr="00D91A77" w:rsidRDefault="00BD1FA9" w:rsidP="00BD1FA9">
      <w:pPr>
        <w:pStyle w:val="ListParagraph"/>
        <w:numPr>
          <w:ilvl w:val="0"/>
          <w:numId w:val="38"/>
        </w:numPr>
        <w:rPr>
          <w:rFonts w:ascii="Open Sans" w:hAnsi="Open Sans" w:cs="Open Sans"/>
          <w:b/>
          <w:bCs/>
        </w:rPr>
      </w:pPr>
      <w:r w:rsidRPr="00D91A77">
        <w:rPr>
          <w:rFonts w:ascii="Open Sans" w:hAnsi="Open Sans" w:cs="Open Sans"/>
          <w:b/>
          <w:bCs/>
        </w:rPr>
        <w:t>Which inputs should be used in determining the appropriate equivalence ratios?</w:t>
      </w:r>
    </w:p>
    <w:p w14:paraId="46DD716D" w14:textId="77777777" w:rsidR="00BD7580" w:rsidRPr="00D91A77" w:rsidRDefault="00BD7580" w:rsidP="00BD7580">
      <w:pPr>
        <w:rPr>
          <w:rFonts w:ascii="Open Sans" w:hAnsi="Open Sans" w:cs="Open Sans"/>
          <w:b/>
          <w:bCs/>
        </w:rPr>
      </w:pPr>
    </w:p>
    <w:p w14:paraId="522C1021" w14:textId="575771E2" w:rsidR="00BD7580" w:rsidRPr="00D91A77" w:rsidRDefault="00BD7580" w:rsidP="00BD7580">
      <w:pPr>
        <w:rPr>
          <w:rFonts w:ascii="Open Sans" w:hAnsi="Open Sans" w:cs="Open Sans"/>
        </w:rPr>
      </w:pPr>
      <w:r w:rsidRPr="00D91A77">
        <w:rPr>
          <w:rFonts w:ascii="Open Sans" w:hAnsi="Open Sans" w:cs="Open Sans"/>
        </w:rPr>
        <w:t xml:space="preserve">Expected </w:t>
      </w:r>
      <w:r w:rsidR="00B23A40" w:rsidRPr="00D91A77">
        <w:rPr>
          <w:rFonts w:ascii="Open Sans" w:hAnsi="Open Sans" w:cs="Open Sans"/>
        </w:rPr>
        <w:t>permanence</w:t>
      </w:r>
      <w:r w:rsidRPr="00D91A77">
        <w:rPr>
          <w:rFonts w:ascii="Open Sans" w:hAnsi="Open Sans" w:cs="Open Sans"/>
        </w:rPr>
        <w:t xml:space="preserve"> (</w:t>
      </w:r>
      <w:r w:rsidR="00B23A40" w:rsidRPr="00D91A77">
        <w:rPr>
          <w:rFonts w:ascii="Open Sans" w:hAnsi="Open Sans" w:cs="Open Sans"/>
        </w:rPr>
        <w:t xml:space="preserve">timeframe of allowance). </w:t>
      </w:r>
    </w:p>
    <w:p w14:paraId="3362ED01" w14:textId="77777777" w:rsidR="00BD1FA9" w:rsidRPr="00D91A77" w:rsidRDefault="00BD1FA9" w:rsidP="00BD1FA9">
      <w:pPr>
        <w:rPr>
          <w:rFonts w:ascii="Open Sans" w:hAnsi="Open Sans" w:cs="Open Sans"/>
          <w:b/>
          <w:bCs/>
        </w:rPr>
      </w:pPr>
    </w:p>
    <w:p w14:paraId="11B8E0CB" w14:textId="7519353D" w:rsidR="00BD1FA9" w:rsidRPr="00D91A77" w:rsidRDefault="00BD1FA9" w:rsidP="00BD1FA9">
      <w:pPr>
        <w:pStyle w:val="ListParagraph"/>
        <w:numPr>
          <w:ilvl w:val="0"/>
          <w:numId w:val="38"/>
        </w:numPr>
        <w:rPr>
          <w:rFonts w:ascii="Open Sans" w:hAnsi="Open Sans" w:cs="Open Sans"/>
          <w:b/>
          <w:bCs/>
        </w:rPr>
      </w:pPr>
      <w:r w:rsidRPr="00D91A77">
        <w:rPr>
          <w:rFonts w:ascii="Open Sans" w:hAnsi="Open Sans" w:cs="Open Sans"/>
          <w:b/>
          <w:bCs/>
        </w:rPr>
        <w:t>Should these equivalence ratios be fixed over time or regularly reviewed and amended?</w:t>
      </w:r>
    </w:p>
    <w:p w14:paraId="5A7F4DB2" w14:textId="77777777" w:rsidR="00B23A40" w:rsidRPr="00D91A77" w:rsidRDefault="00B23A40" w:rsidP="00B23A40">
      <w:pPr>
        <w:rPr>
          <w:rFonts w:ascii="Open Sans" w:hAnsi="Open Sans" w:cs="Open Sans"/>
          <w:b/>
          <w:bCs/>
        </w:rPr>
      </w:pPr>
    </w:p>
    <w:p w14:paraId="3A679DF0" w14:textId="51401EC0" w:rsidR="00B23A40" w:rsidRPr="00D91A77" w:rsidRDefault="00B23A40" w:rsidP="00B23A40">
      <w:pPr>
        <w:rPr>
          <w:rFonts w:ascii="Open Sans" w:hAnsi="Open Sans" w:cs="Open Sans"/>
        </w:rPr>
      </w:pPr>
      <w:r w:rsidRPr="00D91A77">
        <w:rPr>
          <w:rFonts w:ascii="Open Sans" w:hAnsi="Open Sans" w:cs="Open Sans"/>
        </w:rPr>
        <w:t>Ratios should be reviewed over time, to ensure banding remains accurate as technologies develop.</w:t>
      </w:r>
    </w:p>
    <w:p w14:paraId="0E6B723A" w14:textId="77777777" w:rsidR="00BD1FA9" w:rsidRPr="00D91A77" w:rsidRDefault="00BD1FA9" w:rsidP="00BD1FA9">
      <w:pPr>
        <w:rPr>
          <w:rFonts w:ascii="Open Sans" w:hAnsi="Open Sans" w:cs="Open Sans"/>
          <w:b/>
          <w:bCs/>
        </w:rPr>
      </w:pPr>
    </w:p>
    <w:p w14:paraId="0433247D" w14:textId="69295196" w:rsidR="00BD1FA9" w:rsidRPr="00D91A77" w:rsidRDefault="00BD1FA9" w:rsidP="007C2A59">
      <w:pPr>
        <w:pStyle w:val="ListParagraph"/>
        <w:numPr>
          <w:ilvl w:val="0"/>
          <w:numId w:val="38"/>
        </w:numPr>
        <w:rPr>
          <w:rFonts w:ascii="Open Sans" w:hAnsi="Open Sans" w:cs="Open Sans"/>
          <w:b/>
          <w:bCs/>
        </w:rPr>
      </w:pPr>
      <w:r w:rsidRPr="00D91A77">
        <w:rPr>
          <w:rFonts w:ascii="Open Sans" w:hAnsi="Open Sans" w:cs="Open Sans"/>
          <w:b/>
          <w:bCs/>
        </w:rPr>
        <w:t>Should new ex-post woodland units generated in line with UK Woodland Carbon Code standards be considered for inclusion in the UK ETS? Please base your response on the evidence outlined around permanence, costs and wider land management impacts, and on the policy options outlined in the rest of this consultation.</w:t>
      </w:r>
    </w:p>
    <w:p w14:paraId="1162D28E" w14:textId="77777777" w:rsidR="00693EFC" w:rsidRPr="00D91A77" w:rsidRDefault="00693EFC" w:rsidP="00C2459C">
      <w:pPr>
        <w:rPr>
          <w:rFonts w:ascii="Open Sans" w:hAnsi="Open Sans" w:cs="Open Sans"/>
          <w:b/>
          <w:bCs/>
          <w:color w:val="FF0000"/>
        </w:rPr>
      </w:pPr>
    </w:p>
    <w:p w14:paraId="47ADB897" w14:textId="3A71BE7C" w:rsidR="00C2459C" w:rsidRPr="00D91A77" w:rsidRDefault="00A905E7" w:rsidP="00C2459C">
      <w:pPr>
        <w:rPr>
          <w:rFonts w:ascii="Open Sans" w:hAnsi="Open Sans" w:cs="Open Sans"/>
        </w:rPr>
      </w:pPr>
      <w:r w:rsidRPr="00D91A77">
        <w:rPr>
          <w:rFonts w:ascii="Open Sans" w:hAnsi="Open Sans" w:cs="Open Sans"/>
        </w:rPr>
        <w:lastRenderedPageBreak/>
        <w:t>As set out in previous questions, e</w:t>
      </w:r>
      <w:r w:rsidR="00C2459C" w:rsidRPr="00D91A77">
        <w:rPr>
          <w:rFonts w:ascii="Open Sans" w:hAnsi="Open Sans" w:cs="Open Sans"/>
        </w:rPr>
        <w:t xml:space="preserve">x-post woodland units </w:t>
      </w:r>
      <w:r w:rsidR="00F06F8D" w:rsidRPr="00D91A77">
        <w:rPr>
          <w:rFonts w:ascii="Open Sans" w:hAnsi="Open Sans" w:cs="Open Sans"/>
        </w:rPr>
        <w:t>for new growth</w:t>
      </w:r>
      <w:r w:rsidR="007550C9" w:rsidRPr="00D91A77">
        <w:rPr>
          <w:rFonts w:ascii="Open Sans" w:hAnsi="Open Sans" w:cs="Open Sans"/>
        </w:rPr>
        <w:t>,</w:t>
      </w:r>
      <w:r w:rsidR="00F06F8D" w:rsidRPr="00D91A77">
        <w:rPr>
          <w:rFonts w:ascii="Open Sans" w:hAnsi="Open Sans" w:cs="Open Sans"/>
        </w:rPr>
        <w:t xml:space="preserve"> from the point </w:t>
      </w:r>
      <w:r w:rsidR="007550C9" w:rsidRPr="00D91A77">
        <w:rPr>
          <w:rFonts w:ascii="Open Sans" w:hAnsi="Open Sans" w:cs="Open Sans"/>
        </w:rPr>
        <w:t xml:space="preserve">of inclusion, </w:t>
      </w:r>
      <w:r w:rsidR="00C2459C" w:rsidRPr="00D91A77">
        <w:rPr>
          <w:rFonts w:ascii="Open Sans" w:hAnsi="Open Sans" w:cs="Open Sans"/>
        </w:rPr>
        <w:t xml:space="preserve">could be considered for integration within the UK ETS </w:t>
      </w:r>
      <w:r w:rsidRPr="00D91A77">
        <w:rPr>
          <w:rFonts w:ascii="Open Sans" w:hAnsi="Open Sans" w:cs="Open Sans"/>
        </w:rPr>
        <w:t>but on the same basis as other nature-based solutions</w:t>
      </w:r>
      <w:r w:rsidR="006C7824" w:rsidRPr="00D91A77">
        <w:rPr>
          <w:rFonts w:ascii="Open Sans" w:hAnsi="Open Sans" w:cs="Open Sans"/>
        </w:rPr>
        <w:t>. This means they should</w:t>
      </w:r>
      <w:r w:rsidRPr="00D91A77">
        <w:rPr>
          <w:rFonts w:ascii="Open Sans" w:hAnsi="Open Sans" w:cs="Open Sans"/>
        </w:rPr>
        <w:t xml:space="preserve"> either </w:t>
      </w:r>
      <w:r w:rsidR="00C2459C" w:rsidRPr="00D91A77">
        <w:rPr>
          <w:rFonts w:ascii="Open Sans" w:hAnsi="Open Sans" w:cs="Open Sans"/>
        </w:rPr>
        <w:t xml:space="preserve">subject to </w:t>
      </w:r>
      <w:r w:rsidR="00693EFC" w:rsidRPr="00D91A77">
        <w:rPr>
          <w:rFonts w:ascii="Open Sans" w:hAnsi="Open Sans" w:cs="Open Sans"/>
        </w:rPr>
        <w:t>a strict banding exercise, which takes into account risk of reversal and permanence</w:t>
      </w:r>
      <w:r w:rsidRPr="00D91A77">
        <w:rPr>
          <w:rFonts w:ascii="Open Sans" w:hAnsi="Open Sans" w:cs="Open Sans"/>
        </w:rPr>
        <w:t xml:space="preserve">, or </w:t>
      </w:r>
      <w:r w:rsidR="006C7824" w:rsidRPr="00D91A77">
        <w:rPr>
          <w:rFonts w:ascii="Open Sans" w:hAnsi="Open Sans" w:cs="Open Sans"/>
        </w:rPr>
        <w:t>integrated at a later date, alongside other nature-based solutions</w:t>
      </w:r>
      <w:r w:rsidR="00693EFC" w:rsidRPr="00D91A77">
        <w:rPr>
          <w:rFonts w:ascii="Open Sans" w:hAnsi="Open Sans" w:cs="Open Sans"/>
        </w:rPr>
        <w:t xml:space="preserve">. </w:t>
      </w:r>
    </w:p>
    <w:p w14:paraId="39A708E4" w14:textId="77777777" w:rsidR="007B3E22" w:rsidRPr="00D91A77" w:rsidRDefault="007B3E22" w:rsidP="007B3E22">
      <w:pPr>
        <w:rPr>
          <w:rFonts w:ascii="Open Sans" w:hAnsi="Open Sans" w:cs="Open Sans"/>
          <w:b/>
          <w:bCs/>
          <w:color w:val="FF0000"/>
        </w:rPr>
      </w:pPr>
    </w:p>
    <w:p w14:paraId="6B4343BA" w14:textId="33132427" w:rsidR="00BD1FA9" w:rsidRPr="00D91A77" w:rsidRDefault="00BD1FA9" w:rsidP="00401418">
      <w:pPr>
        <w:pStyle w:val="ListParagraph"/>
        <w:numPr>
          <w:ilvl w:val="0"/>
          <w:numId w:val="38"/>
        </w:numPr>
        <w:rPr>
          <w:rFonts w:ascii="Open Sans" w:hAnsi="Open Sans" w:cs="Open Sans"/>
          <w:b/>
          <w:bCs/>
        </w:rPr>
      </w:pPr>
      <w:r w:rsidRPr="00D91A77">
        <w:rPr>
          <w:rFonts w:ascii="Open Sans" w:hAnsi="Open Sans" w:cs="Open Sans"/>
          <w:b/>
          <w:bCs/>
        </w:rPr>
        <w:t xml:space="preserve">If the Authority does include new ex-post woodland units generated under the UK Woodland Carbon Code in the UK ETS, should any changes be made to the Woodland Carbon Code? For example, this could include changing the 20% flat-rate buffer contribution, or changes to the MRV and measures to mitigate wider land management impacts. Details of the woodland carbon code can be found here: </w:t>
      </w:r>
      <w:hyperlink r:id="rId11" w:history="1">
        <w:r w:rsidR="00693EFC" w:rsidRPr="00D91A77">
          <w:rPr>
            <w:rStyle w:val="Hyperlink"/>
            <w:rFonts w:ascii="Open Sans" w:hAnsi="Open Sans" w:cs="Open Sans"/>
            <w:b/>
            <w:bCs/>
            <w:color w:val="auto"/>
          </w:rPr>
          <w:t>https://woodlandcarboncode.org.uk/standardand-guidance</w:t>
        </w:r>
      </w:hyperlink>
    </w:p>
    <w:p w14:paraId="711F3A98" w14:textId="77777777" w:rsidR="00693EFC" w:rsidRPr="00D91A77" w:rsidRDefault="00693EFC" w:rsidP="00693EFC">
      <w:pPr>
        <w:rPr>
          <w:rFonts w:ascii="Open Sans" w:hAnsi="Open Sans" w:cs="Open Sans"/>
        </w:rPr>
      </w:pPr>
    </w:p>
    <w:p w14:paraId="08A9EBAD" w14:textId="457D4079" w:rsidR="00693EFC" w:rsidRPr="00D91A77" w:rsidRDefault="00693EFC" w:rsidP="00693EFC">
      <w:pPr>
        <w:rPr>
          <w:rFonts w:ascii="Open Sans" w:hAnsi="Open Sans" w:cs="Open Sans"/>
        </w:rPr>
      </w:pPr>
      <w:r w:rsidRPr="00D91A77">
        <w:rPr>
          <w:rFonts w:ascii="Open Sans" w:hAnsi="Open Sans" w:cs="Open Sans"/>
        </w:rPr>
        <w:t xml:space="preserve">The REA does not have sufficient data to answer this question. </w:t>
      </w:r>
    </w:p>
    <w:p w14:paraId="14A98EC6" w14:textId="77777777" w:rsidR="00BD1FA9" w:rsidRPr="00D91A77" w:rsidRDefault="00BD1FA9" w:rsidP="00BD1FA9">
      <w:pPr>
        <w:rPr>
          <w:rFonts w:ascii="Open Sans" w:hAnsi="Open Sans" w:cs="Open Sans"/>
          <w:b/>
          <w:bCs/>
        </w:rPr>
      </w:pPr>
    </w:p>
    <w:p w14:paraId="5066F5E2" w14:textId="366D9AB1" w:rsidR="00BD1FA9" w:rsidRPr="00D91A77" w:rsidRDefault="00BD1FA9" w:rsidP="003E5214">
      <w:pPr>
        <w:pStyle w:val="ListParagraph"/>
        <w:numPr>
          <w:ilvl w:val="0"/>
          <w:numId w:val="38"/>
        </w:numPr>
        <w:rPr>
          <w:rFonts w:ascii="Open Sans" w:hAnsi="Open Sans" w:cs="Open Sans"/>
          <w:b/>
          <w:bCs/>
        </w:rPr>
      </w:pPr>
      <w:r w:rsidRPr="00D91A77">
        <w:rPr>
          <w:rFonts w:ascii="Open Sans" w:hAnsi="Open Sans" w:cs="Open Sans"/>
          <w:b/>
          <w:bCs/>
        </w:rPr>
        <w:t>If the Authority does include new ex-post woodland units generated under the UK Woodland Carbon Code in the UK ETS, should any measures be taken to mitigate potential social and cultural impacts? Please provide details of the impacts, including consideration of impacts on different land ownership models, and potential measures.</w:t>
      </w:r>
    </w:p>
    <w:p w14:paraId="26CA99DB" w14:textId="77777777" w:rsidR="00693EFC" w:rsidRPr="00D91A77" w:rsidRDefault="00693EFC" w:rsidP="00693EFC">
      <w:pPr>
        <w:rPr>
          <w:rFonts w:ascii="Open Sans" w:hAnsi="Open Sans" w:cs="Open Sans"/>
        </w:rPr>
      </w:pPr>
    </w:p>
    <w:p w14:paraId="38F9B113" w14:textId="36E5BE84" w:rsidR="00693EFC" w:rsidRPr="00D91A77" w:rsidRDefault="00693EFC" w:rsidP="00693EFC">
      <w:pPr>
        <w:rPr>
          <w:rFonts w:ascii="Open Sans" w:hAnsi="Open Sans" w:cs="Open Sans"/>
        </w:rPr>
      </w:pPr>
      <w:r w:rsidRPr="00D91A77">
        <w:rPr>
          <w:rFonts w:ascii="Open Sans" w:hAnsi="Open Sans" w:cs="Open Sans"/>
        </w:rPr>
        <w:t xml:space="preserve">The REA does not have sufficient data to answer this question. </w:t>
      </w:r>
    </w:p>
    <w:p w14:paraId="0B301FB2" w14:textId="77777777" w:rsidR="00BD1FA9" w:rsidRPr="00D91A77" w:rsidRDefault="00BD1FA9" w:rsidP="00BD1FA9">
      <w:pPr>
        <w:rPr>
          <w:rFonts w:ascii="Open Sans" w:hAnsi="Open Sans" w:cs="Open Sans"/>
          <w:b/>
          <w:bCs/>
        </w:rPr>
      </w:pPr>
    </w:p>
    <w:p w14:paraId="18F3BA97" w14:textId="6B5DDE90" w:rsidR="00BD1FA9" w:rsidRPr="00D91A77" w:rsidRDefault="00BD1FA9" w:rsidP="00BD1FA9">
      <w:pPr>
        <w:pStyle w:val="ListParagraph"/>
        <w:numPr>
          <w:ilvl w:val="0"/>
          <w:numId w:val="38"/>
        </w:numPr>
        <w:rPr>
          <w:rFonts w:ascii="Open Sans" w:hAnsi="Open Sans" w:cs="Open Sans"/>
          <w:b/>
          <w:bCs/>
        </w:rPr>
      </w:pPr>
      <w:r w:rsidRPr="00D91A77">
        <w:rPr>
          <w:rFonts w:ascii="Open Sans" w:hAnsi="Open Sans" w:cs="Open Sans"/>
          <w:b/>
          <w:bCs/>
        </w:rPr>
        <w:t>Do you agree with the Authority’s assessment of peatland restoration?</w:t>
      </w:r>
    </w:p>
    <w:p w14:paraId="6B9B687E" w14:textId="77777777" w:rsidR="000506ED" w:rsidRPr="00D91A77" w:rsidRDefault="000506ED" w:rsidP="00BD1FA9">
      <w:pPr>
        <w:rPr>
          <w:rFonts w:ascii="Open Sans" w:hAnsi="Open Sans" w:cs="Open Sans"/>
          <w:b/>
          <w:bCs/>
        </w:rPr>
      </w:pPr>
    </w:p>
    <w:p w14:paraId="330F4A7D" w14:textId="08272030" w:rsidR="00BD1FA9" w:rsidRDefault="007F5306" w:rsidP="00BD1FA9">
      <w:pPr>
        <w:rPr>
          <w:rFonts w:ascii="Open Sans" w:hAnsi="Open Sans" w:cs="Open Sans"/>
        </w:rPr>
      </w:pPr>
      <w:r w:rsidRPr="00D91A77">
        <w:rPr>
          <w:rFonts w:ascii="Open Sans" w:hAnsi="Open Sans" w:cs="Open Sans"/>
        </w:rPr>
        <w:t xml:space="preserve">The REA agrees in the short-term but </w:t>
      </w:r>
      <w:r w:rsidR="007E3133" w:rsidRPr="00D91A77">
        <w:rPr>
          <w:rFonts w:ascii="Open Sans" w:hAnsi="Open Sans" w:cs="Open Sans"/>
        </w:rPr>
        <w:t xml:space="preserve">as more peatland restoration takes place, and demand and usage for peat </w:t>
      </w:r>
      <w:r w:rsidR="009511BF" w:rsidRPr="00D91A77">
        <w:rPr>
          <w:rFonts w:ascii="Open Sans" w:hAnsi="Open Sans" w:cs="Open Sans"/>
        </w:rPr>
        <w:t>falls,</w:t>
      </w:r>
      <w:r w:rsidR="000506ED" w:rsidRPr="00D91A77">
        <w:rPr>
          <w:rFonts w:ascii="Open Sans" w:hAnsi="Open Sans" w:cs="Open Sans"/>
        </w:rPr>
        <w:t xml:space="preserve"> we would expect it to be included in the UK ETS. </w:t>
      </w:r>
    </w:p>
    <w:p w14:paraId="6F4F13F8" w14:textId="183BE32B" w:rsidR="00F90867" w:rsidRPr="00F90867" w:rsidRDefault="00F90867" w:rsidP="00F90867">
      <w:pPr>
        <w:pStyle w:val="Heading1"/>
        <w:rPr>
          <w:rFonts w:ascii="Open Sans" w:hAnsi="Open Sans" w:cs="Open Sans"/>
          <w:sz w:val="24"/>
          <w:szCs w:val="24"/>
        </w:rPr>
      </w:pPr>
      <w:bookmarkStart w:id="4" w:name="_Pathway_to_integration"/>
      <w:bookmarkEnd w:id="4"/>
      <w:r w:rsidRPr="00F90867">
        <w:rPr>
          <w:rFonts w:ascii="Open Sans" w:hAnsi="Open Sans" w:cs="Open Sans"/>
          <w:sz w:val="24"/>
          <w:szCs w:val="24"/>
        </w:rPr>
        <w:t>Path</w:t>
      </w:r>
      <w:r w:rsidR="00294A1A">
        <w:rPr>
          <w:rFonts w:ascii="Open Sans" w:hAnsi="Open Sans" w:cs="Open Sans"/>
          <w:sz w:val="24"/>
          <w:szCs w:val="24"/>
        </w:rPr>
        <w:t>w</w:t>
      </w:r>
      <w:r w:rsidRPr="00F90867">
        <w:rPr>
          <w:rFonts w:ascii="Open Sans" w:hAnsi="Open Sans" w:cs="Open Sans"/>
          <w:sz w:val="24"/>
          <w:szCs w:val="24"/>
        </w:rPr>
        <w:t xml:space="preserve">ay to integration </w:t>
      </w:r>
    </w:p>
    <w:p w14:paraId="40A8F0F6" w14:textId="77777777" w:rsidR="000506ED" w:rsidRPr="00D91A77" w:rsidRDefault="000506ED" w:rsidP="00BD1FA9">
      <w:pPr>
        <w:rPr>
          <w:rFonts w:ascii="Open Sans" w:hAnsi="Open Sans" w:cs="Open Sans"/>
          <w:b/>
          <w:bCs/>
        </w:rPr>
      </w:pPr>
    </w:p>
    <w:p w14:paraId="3E9E04C5" w14:textId="3263FB54" w:rsidR="00BD1FA9" w:rsidRPr="00D91A77" w:rsidRDefault="00BD1FA9" w:rsidP="00E218B0">
      <w:pPr>
        <w:pStyle w:val="ListParagraph"/>
        <w:numPr>
          <w:ilvl w:val="0"/>
          <w:numId w:val="38"/>
        </w:numPr>
        <w:rPr>
          <w:rFonts w:ascii="Open Sans" w:hAnsi="Open Sans" w:cs="Open Sans"/>
          <w:b/>
          <w:bCs/>
        </w:rPr>
      </w:pPr>
      <w:r w:rsidRPr="00D91A77">
        <w:rPr>
          <w:rFonts w:ascii="Open Sans" w:hAnsi="Open Sans" w:cs="Open Sans"/>
          <w:b/>
          <w:bCs/>
        </w:rPr>
        <w:t>Do you agree with the Authority’s assessment that, by maintaining the gross cap on emissions, additional controls could be used to target wider impacts but not mitigation deterrence?</w:t>
      </w:r>
    </w:p>
    <w:p w14:paraId="0B10C06B" w14:textId="77777777" w:rsidR="009511BF" w:rsidRPr="00D91A77" w:rsidRDefault="009511BF" w:rsidP="009511BF">
      <w:pPr>
        <w:pStyle w:val="ListParagraph"/>
        <w:rPr>
          <w:rFonts w:ascii="Open Sans" w:hAnsi="Open Sans" w:cs="Open Sans"/>
          <w:b/>
          <w:bCs/>
        </w:rPr>
      </w:pPr>
    </w:p>
    <w:p w14:paraId="5D129648" w14:textId="77777777" w:rsidR="00625553" w:rsidRPr="00D91A77" w:rsidRDefault="006E4F61" w:rsidP="009511BF">
      <w:pPr>
        <w:rPr>
          <w:rFonts w:ascii="Open Sans" w:hAnsi="Open Sans" w:cs="Open Sans"/>
        </w:rPr>
      </w:pPr>
      <w:r w:rsidRPr="00D91A77">
        <w:rPr>
          <w:rFonts w:ascii="Open Sans" w:hAnsi="Open Sans" w:cs="Open Sans"/>
        </w:rPr>
        <w:t xml:space="preserve">Government should focus on ensuring that projects deliver robust, verified removals. </w:t>
      </w:r>
      <w:r w:rsidR="003A3329" w:rsidRPr="00D91A77">
        <w:rPr>
          <w:rFonts w:ascii="Open Sans" w:hAnsi="Open Sans" w:cs="Open Sans"/>
        </w:rPr>
        <w:t xml:space="preserve">The biggest risk to the development of the GGR market is lack of demand, so measures that might to look to restrict that demand should not be introduced. </w:t>
      </w:r>
    </w:p>
    <w:p w14:paraId="2F75B597" w14:textId="77777777" w:rsidR="00625553" w:rsidRPr="00D91A77" w:rsidRDefault="00625553" w:rsidP="009511BF">
      <w:pPr>
        <w:rPr>
          <w:rFonts w:ascii="Open Sans" w:hAnsi="Open Sans" w:cs="Open Sans"/>
        </w:rPr>
      </w:pPr>
    </w:p>
    <w:p w14:paraId="0E5D7966" w14:textId="2D1C3DA5" w:rsidR="009511BF" w:rsidRPr="00D91A77" w:rsidRDefault="0099318F" w:rsidP="009511BF">
      <w:pPr>
        <w:rPr>
          <w:rFonts w:ascii="Open Sans" w:hAnsi="Open Sans" w:cs="Open Sans"/>
        </w:rPr>
      </w:pPr>
      <w:r w:rsidRPr="00D91A77">
        <w:rPr>
          <w:rFonts w:ascii="Open Sans" w:hAnsi="Open Sans" w:cs="Open Sans"/>
        </w:rPr>
        <w:t>In the short-term, GGRs will play a role in supporting emitters decarbonis</w:t>
      </w:r>
      <w:r w:rsidR="00591BCA" w:rsidRPr="00D91A77">
        <w:rPr>
          <w:rFonts w:ascii="Open Sans" w:hAnsi="Open Sans" w:cs="Open Sans"/>
        </w:rPr>
        <w:t>e</w:t>
      </w:r>
      <w:r w:rsidRPr="00D91A77">
        <w:rPr>
          <w:rFonts w:ascii="Open Sans" w:hAnsi="Open Sans" w:cs="Open Sans"/>
        </w:rPr>
        <w:t xml:space="preserve">, </w:t>
      </w:r>
      <w:r w:rsidR="00591BCA" w:rsidRPr="00D91A77">
        <w:rPr>
          <w:rFonts w:ascii="Open Sans" w:hAnsi="Open Sans" w:cs="Open Sans"/>
        </w:rPr>
        <w:t xml:space="preserve">while also encouraging them to </w:t>
      </w:r>
      <w:r w:rsidRPr="00D91A77">
        <w:rPr>
          <w:rFonts w:ascii="Open Sans" w:hAnsi="Open Sans" w:cs="Open Sans"/>
        </w:rPr>
        <w:t>invest in emissions reduction solution</w:t>
      </w:r>
      <w:r w:rsidR="002D4DFF" w:rsidRPr="00D91A77">
        <w:rPr>
          <w:rFonts w:ascii="Open Sans" w:hAnsi="Open Sans" w:cs="Open Sans"/>
        </w:rPr>
        <w:t>s</w:t>
      </w:r>
      <w:r w:rsidRPr="00D91A77">
        <w:rPr>
          <w:rFonts w:ascii="Open Sans" w:hAnsi="Open Sans" w:cs="Open Sans"/>
        </w:rPr>
        <w:t>. In the longer-term, GGRs will</w:t>
      </w:r>
      <w:r w:rsidR="002D4DFF" w:rsidRPr="00D91A77">
        <w:rPr>
          <w:rFonts w:ascii="Open Sans" w:hAnsi="Open Sans" w:cs="Open Sans"/>
        </w:rPr>
        <w:t xml:space="preserve"> play a critical role in </w:t>
      </w:r>
      <w:r w:rsidRPr="00D91A77">
        <w:rPr>
          <w:rFonts w:ascii="Open Sans" w:hAnsi="Open Sans" w:cs="Open Sans"/>
        </w:rPr>
        <w:t>addressing the residual emissions for hard-to-abate sectors.</w:t>
      </w:r>
      <w:r w:rsidR="00373489" w:rsidRPr="00D91A77">
        <w:rPr>
          <w:rFonts w:ascii="Open Sans" w:hAnsi="Open Sans" w:cs="Open Sans"/>
        </w:rPr>
        <w:t xml:space="preserve"> </w:t>
      </w:r>
    </w:p>
    <w:p w14:paraId="45159DF7" w14:textId="77777777" w:rsidR="00BD1FA9" w:rsidRPr="00D91A77" w:rsidRDefault="00BD1FA9" w:rsidP="00BD1FA9">
      <w:pPr>
        <w:rPr>
          <w:rFonts w:ascii="Open Sans" w:hAnsi="Open Sans" w:cs="Open Sans"/>
          <w:b/>
          <w:bCs/>
        </w:rPr>
      </w:pPr>
    </w:p>
    <w:p w14:paraId="1066E810" w14:textId="4C4361B7" w:rsidR="00BD1FA9" w:rsidRPr="00D91A77" w:rsidRDefault="00BD1FA9" w:rsidP="007118E7">
      <w:pPr>
        <w:pStyle w:val="ListParagraph"/>
        <w:numPr>
          <w:ilvl w:val="0"/>
          <w:numId w:val="38"/>
        </w:numPr>
        <w:rPr>
          <w:rFonts w:ascii="Open Sans" w:hAnsi="Open Sans" w:cs="Open Sans"/>
          <w:b/>
          <w:bCs/>
        </w:rPr>
      </w:pPr>
      <w:r w:rsidRPr="00D91A77">
        <w:rPr>
          <w:rFonts w:ascii="Open Sans" w:hAnsi="Open Sans" w:cs="Open Sans"/>
          <w:b/>
          <w:bCs/>
        </w:rPr>
        <w:t>To what extent will GGR operators seek to sell into voluntary markets and will this provide a control on GGR supply entering the UK ETS?</w:t>
      </w:r>
    </w:p>
    <w:p w14:paraId="14E94974" w14:textId="77777777" w:rsidR="0012782D" w:rsidRPr="00D91A77" w:rsidRDefault="0012782D" w:rsidP="0012782D">
      <w:pPr>
        <w:rPr>
          <w:rFonts w:ascii="Open Sans" w:hAnsi="Open Sans" w:cs="Open Sans"/>
          <w:b/>
          <w:bCs/>
        </w:rPr>
      </w:pPr>
    </w:p>
    <w:p w14:paraId="00F11A09" w14:textId="77777777" w:rsidR="00E31A76" w:rsidRPr="00D91A77" w:rsidRDefault="0012782D" w:rsidP="00F725C1">
      <w:pPr>
        <w:rPr>
          <w:rFonts w:ascii="Open Sans" w:hAnsi="Open Sans" w:cs="Open Sans"/>
        </w:rPr>
      </w:pPr>
      <w:r w:rsidRPr="00D91A77">
        <w:rPr>
          <w:rFonts w:ascii="Open Sans" w:hAnsi="Open Sans" w:cs="Open Sans"/>
        </w:rPr>
        <w:lastRenderedPageBreak/>
        <w:t xml:space="preserve">Operators will want to sell into both markets </w:t>
      </w:r>
      <w:r w:rsidR="007D32E6" w:rsidRPr="00D91A77">
        <w:rPr>
          <w:rFonts w:ascii="Open Sans" w:hAnsi="Open Sans" w:cs="Open Sans"/>
        </w:rPr>
        <w:t>if</w:t>
      </w:r>
      <w:r w:rsidRPr="00D91A77">
        <w:rPr>
          <w:rFonts w:ascii="Open Sans" w:hAnsi="Open Sans" w:cs="Open Sans"/>
        </w:rPr>
        <w:t xml:space="preserve"> </w:t>
      </w:r>
      <w:r w:rsidR="002421E9" w:rsidRPr="00D91A77">
        <w:rPr>
          <w:rFonts w:ascii="Open Sans" w:hAnsi="Open Sans" w:cs="Open Sans"/>
        </w:rPr>
        <w:t>they are incentivised to do so and</w:t>
      </w:r>
      <w:r w:rsidR="007D32E6" w:rsidRPr="00D91A77">
        <w:rPr>
          <w:rFonts w:ascii="Open Sans" w:hAnsi="Open Sans" w:cs="Open Sans"/>
        </w:rPr>
        <w:t xml:space="preserve"> as long as</w:t>
      </w:r>
      <w:r w:rsidR="002421E9" w:rsidRPr="00D91A77">
        <w:rPr>
          <w:rFonts w:ascii="Open Sans" w:hAnsi="Open Sans" w:cs="Open Sans"/>
        </w:rPr>
        <w:t xml:space="preserve"> </w:t>
      </w:r>
      <w:r w:rsidRPr="00D91A77">
        <w:rPr>
          <w:rFonts w:ascii="Open Sans" w:hAnsi="Open Sans" w:cs="Open Sans"/>
        </w:rPr>
        <w:t xml:space="preserve">there are checks and balances in place to ensure double counting cannot take place. </w:t>
      </w:r>
      <w:r w:rsidR="003D2713" w:rsidRPr="00D91A77">
        <w:rPr>
          <w:rFonts w:ascii="Open Sans" w:hAnsi="Open Sans" w:cs="Open Sans"/>
        </w:rPr>
        <w:t>MRV standards for the voluntary and ETS markets should be as closely aligned</w:t>
      </w:r>
      <w:r w:rsidR="00155EFE" w:rsidRPr="00D91A77">
        <w:rPr>
          <w:rFonts w:ascii="Open Sans" w:hAnsi="Open Sans" w:cs="Open Sans"/>
        </w:rPr>
        <w:t xml:space="preserve">, but where there is </w:t>
      </w:r>
      <w:r w:rsidR="003247E5" w:rsidRPr="00D91A77">
        <w:rPr>
          <w:rFonts w:ascii="Open Sans" w:hAnsi="Open Sans" w:cs="Open Sans"/>
        </w:rPr>
        <w:t>differentiation</w:t>
      </w:r>
      <w:r w:rsidR="00155EFE" w:rsidRPr="00D91A77">
        <w:rPr>
          <w:rFonts w:ascii="Open Sans" w:hAnsi="Open Sans" w:cs="Open Sans"/>
        </w:rPr>
        <w:t xml:space="preserve">, this may encourage purchasers to buy government ‘endorsed’ removals. </w:t>
      </w:r>
    </w:p>
    <w:p w14:paraId="269FAD2D" w14:textId="77777777" w:rsidR="00E31A76" w:rsidRPr="00D91A77" w:rsidRDefault="00E31A76" w:rsidP="00F725C1">
      <w:pPr>
        <w:rPr>
          <w:rFonts w:ascii="Open Sans" w:hAnsi="Open Sans" w:cs="Open Sans"/>
        </w:rPr>
      </w:pPr>
    </w:p>
    <w:p w14:paraId="1EB5FF51" w14:textId="70C8FFA1" w:rsidR="00401387" w:rsidRPr="00D91A77" w:rsidRDefault="003247E5" w:rsidP="00F725C1">
      <w:pPr>
        <w:rPr>
          <w:rFonts w:ascii="Open Sans" w:hAnsi="Open Sans" w:cs="Open Sans"/>
        </w:rPr>
      </w:pPr>
      <w:r w:rsidRPr="00D91A77">
        <w:rPr>
          <w:rFonts w:ascii="Open Sans" w:hAnsi="Open Sans" w:cs="Open Sans"/>
        </w:rPr>
        <w:t xml:space="preserve">That said, and as stated earlier, if operators do sell into both the UK ETS and VCM, </w:t>
      </w:r>
      <w:r w:rsidR="00ED0F87" w:rsidRPr="00D91A77">
        <w:rPr>
          <w:rFonts w:ascii="Open Sans" w:hAnsi="Open Sans" w:cs="Open Sans"/>
        </w:rPr>
        <w:t>there could be a situation where supply within the ETS is limited, preventing obligated parties from meeting their emissions requirements</w:t>
      </w:r>
      <w:r w:rsidR="00BF1AB3" w:rsidRPr="00D91A77">
        <w:rPr>
          <w:rFonts w:ascii="Open Sans" w:hAnsi="Open Sans" w:cs="Open Sans"/>
        </w:rPr>
        <w:t xml:space="preserve">, </w:t>
      </w:r>
      <w:r w:rsidR="0033704E" w:rsidRPr="00D91A77">
        <w:rPr>
          <w:rFonts w:ascii="Open Sans" w:hAnsi="Open Sans" w:cs="Open Sans"/>
        </w:rPr>
        <w:t>we recognise this will need to</w:t>
      </w:r>
      <w:r w:rsidR="002B1FB3" w:rsidRPr="00D91A77">
        <w:rPr>
          <w:rFonts w:ascii="Open Sans" w:hAnsi="Open Sans" w:cs="Open Sans"/>
        </w:rPr>
        <w:t xml:space="preserve"> be</w:t>
      </w:r>
      <w:r w:rsidR="00BF1AB3" w:rsidRPr="00D91A77">
        <w:rPr>
          <w:rFonts w:ascii="Open Sans" w:hAnsi="Open Sans" w:cs="Open Sans"/>
        </w:rPr>
        <w:t xml:space="preserve"> managed carefully.</w:t>
      </w:r>
      <w:r w:rsidR="000F5EA4" w:rsidRPr="00D91A77">
        <w:rPr>
          <w:rFonts w:ascii="Open Sans" w:hAnsi="Open Sans" w:cs="Open Sans"/>
        </w:rPr>
        <w:t xml:space="preserve"> However, we do not see that as a reason not to enable operators to sell into both markets</w:t>
      </w:r>
      <w:r w:rsidR="004D7FE8" w:rsidRPr="00D91A77">
        <w:rPr>
          <w:rFonts w:ascii="Open Sans" w:hAnsi="Open Sans" w:cs="Open Sans"/>
        </w:rPr>
        <w:t>, e</w:t>
      </w:r>
      <w:r w:rsidR="001F5718" w:rsidRPr="00D91A77">
        <w:rPr>
          <w:rFonts w:ascii="Open Sans" w:hAnsi="Open Sans" w:cs="Open Sans"/>
        </w:rPr>
        <w:t>specially if a GGR credit is only issue</w:t>
      </w:r>
      <w:r w:rsidR="004D7FE8" w:rsidRPr="00D91A77">
        <w:rPr>
          <w:rFonts w:ascii="Open Sans" w:hAnsi="Open Sans" w:cs="Open Sans"/>
        </w:rPr>
        <w:t>d</w:t>
      </w:r>
      <w:r w:rsidR="001F5718" w:rsidRPr="00D91A77">
        <w:rPr>
          <w:rFonts w:ascii="Open Sans" w:hAnsi="Open Sans" w:cs="Open Sans"/>
        </w:rPr>
        <w:t xml:space="preserve"> or validate</w:t>
      </w:r>
      <w:r w:rsidR="002B1FB3" w:rsidRPr="00D91A77">
        <w:rPr>
          <w:rFonts w:ascii="Open Sans" w:hAnsi="Open Sans" w:cs="Open Sans"/>
        </w:rPr>
        <w:t>d</w:t>
      </w:r>
      <w:r w:rsidR="001F5718" w:rsidRPr="00D91A77">
        <w:rPr>
          <w:rFonts w:ascii="Open Sans" w:hAnsi="Open Sans" w:cs="Open Sans"/>
        </w:rPr>
        <w:t xml:space="preserve"> when the negative emission is sold into the ETS itself, as opposed to the voluntary market. </w:t>
      </w:r>
    </w:p>
    <w:p w14:paraId="39716F66" w14:textId="77777777" w:rsidR="00401387" w:rsidRPr="00D91A77" w:rsidRDefault="00401387" w:rsidP="00F725C1">
      <w:pPr>
        <w:rPr>
          <w:rFonts w:ascii="Open Sans" w:hAnsi="Open Sans" w:cs="Open Sans"/>
        </w:rPr>
      </w:pPr>
    </w:p>
    <w:p w14:paraId="3CA58ACA" w14:textId="6A03C842" w:rsidR="004E1742" w:rsidRPr="00D91A77" w:rsidRDefault="000F5EA4" w:rsidP="00F725C1">
      <w:pPr>
        <w:rPr>
          <w:rFonts w:ascii="Open Sans" w:hAnsi="Open Sans" w:cs="Open Sans"/>
        </w:rPr>
      </w:pPr>
      <w:r w:rsidRPr="00D91A77">
        <w:rPr>
          <w:rFonts w:ascii="Open Sans" w:hAnsi="Open Sans" w:cs="Open Sans"/>
        </w:rPr>
        <w:t xml:space="preserve">Finally, </w:t>
      </w:r>
      <w:r w:rsidR="001F5718" w:rsidRPr="00D91A77">
        <w:rPr>
          <w:rFonts w:ascii="Open Sans" w:hAnsi="Open Sans" w:cs="Open Sans"/>
        </w:rPr>
        <w:t xml:space="preserve">consideration </w:t>
      </w:r>
      <w:r w:rsidR="00401387" w:rsidRPr="00D91A77">
        <w:rPr>
          <w:rFonts w:ascii="Open Sans" w:hAnsi="Open Sans" w:cs="Open Sans"/>
        </w:rPr>
        <w:t xml:space="preserve">of proposals here must also align with other UK ETS proposals, such as the expansion to waste, and wider </w:t>
      </w:r>
      <w:r w:rsidR="006A15DF" w:rsidRPr="00D91A77">
        <w:rPr>
          <w:rFonts w:ascii="Open Sans" w:hAnsi="Open Sans" w:cs="Open Sans"/>
        </w:rPr>
        <w:t>mechanism</w:t>
      </w:r>
      <w:r w:rsidR="00401387" w:rsidRPr="00D91A77">
        <w:rPr>
          <w:rFonts w:ascii="Open Sans" w:hAnsi="Open Sans" w:cs="Open Sans"/>
        </w:rPr>
        <w:t xml:space="preserve"> designs such as the power BECCS or GGR business model, and evolution of the </w:t>
      </w:r>
      <w:r w:rsidR="009A4C46" w:rsidRPr="00D91A77">
        <w:rPr>
          <w:rFonts w:ascii="Open Sans" w:hAnsi="Open Sans" w:cs="Open Sans"/>
        </w:rPr>
        <w:t xml:space="preserve">CfD. </w:t>
      </w:r>
    </w:p>
    <w:p w14:paraId="51699DFD" w14:textId="77777777" w:rsidR="00E11166" w:rsidRPr="00D91A77" w:rsidRDefault="00E11166" w:rsidP="00F725C1">
      <w:pPr>
        <w:rPr>
          <w:rFonts w:ascii="Open Sans" w:hAnsi="Open Sans" w:cs="Open Sans"/>
          <w:color w:val="C00000"/>
        </w:rPr>
      </w:pPr>
    </w:p>
    <w:p w14:paraId="20D9947C" w14:textId="64583E8F" w:rsidR="00BD1FA9" w:rsidRPr="00D91A77" w:rsidRDefault="00BD1FA9" w:rsidP="00BA1C1D">
      <w:pPr>
        <w:pStyle w:val="ListParagraph"/>
        <w:numPr>
          <w:ilvl w:val="0"/>
          <w:numId w:val="38"/>
        </w:numPr>
        <w:rPr>
          <w:rFonts w:ascii="Open Sans" w:hAnsi="Open Sans" w:cs="Open Sans"/>
          <w:b/>
          <w:bCs/>
        </w:rPr>
      </w:pPr>
      <w:r w:rsidRPr="00D91A77">
        <w:rPr>
          <w:rFonts w:ascii="Open Sans" w:hAnsi="Open Sans" w:cs="Open Sans"/>
          <w:b/>
          <w:bCs/>
        </w:rPr>
        <w:t>Should the Authority consider the use of demand controls to target any impacts other than mitigation deterrence?</w:t>
      </w:r>
    </w:p>
    <w:p w14:paraId="30231C80" w14:textId="77777777" w:rsidR="00C840D9" w:rsidRPr="00D91A77" w:rsidRDefault="00C840D9" w:rsidP="00C840D9">
      <w:pPr>
        <w:pStyle w:val="ListParagraph"/>
        <w:rPr>
          <w:rFonts w:ascii="Open Sans" w:hAnsi="Open Sans" w:cs="Open Sans"/>
        </w:rPr>
      </w:pPr>
    </w:p>
    <w:p w14:paraId="6FF9EC34" w14:textId="77777777" w:rsidR="000516B4" w:rsidRPr="00D91A77" w:rsidRDefault="00D313A0" w:rsidP="00311DAA">
      <w:pPr>
        <w:rPr>
          <w:rFonts w:ascii="Open Sans" w:hAnsi="Open Sans" w:cs="Open Sans"/>
        </w:rPr>
      </w:pPr>
      <w:r w:rsidRPr="00D91A77">
        <w:rPr>
          <w:rFonts w:ascii="Open Sans" w:hAnsi="Open Sans" w:cs="Open Sans"/>
        </w:rPr>
        <w:t>T</w:t>
      </w:r>
      <w:r w:rsidR="00311DAA" w:rsidRPr="00D91A77">
        <w:rPr>
          <w:rFonts w:ascii="Open Sans" w:hAnsi="Open Sans" w:cs="Open Sans"/>
        </w:rPr>
        <w:t xml:space="preserve">o support </w:t>
      </w:r>
      <w:r w:rsidRPr="00D91A77">
        <w:rPr>
          <w:rFonts w:ascii="Open Sans" w:hAnsi="Open Sans" w:cs="Open Sans"/>
        </w:rPr>
        <w:t xml:space="preserve">deployment of GGRs at </w:t>
      </w:r>
      <w:r w:rsidR="00311DAA" w:rsidRPr="00D91A77">
        <w:rPr>
          <w:rFonts w:ascii="Open Sans" w:hAnsi="Open Sans" w:cs="Open Sans"/>
        </w:rPr>
        <w:t>the scale required</w:t>
      </w:r>
      <w:r w:rsidRPr="00D91A77">
        <w:rPr>
          <w:rFonts w:ascii="Open Sans" w:hAnsi="Open Sans" w:cs="Open Sans"/>
        </w:rPr>
        <w:t xml:space="preserve"> to meet emissions reductions targets</w:t>
      </w:r>
      <w:r w:rsidR="00311DAA" w:rsidRPr="00D91A77">
        <w:rPr>
          <w:rFonts w:ascii="Open Sans" w:hAnsi="Open Sans" w:cs="Open Sans"/>
        </w:rPr>
        <w:t xml:space="preserve">, there must be sufficient demand. However, </w:t>
      </w:r>
      <w:r w:rsidR="004317F2" w:rsidRPr="00D91A77">
        <w:rPr>
          <w:rFonts w:ascii="Open Sans" w:hAnsi="Open Sans" w:cs="Open Sans"/>
        </w:rPr>
        <w:t xml:space="preserve">given the recent trading prices of UKAs and costs of GGR projects, </w:t>
      </w:r>
      <w:r w:rsidR="00311DAA" w:rsidRPr="00D91A77">
        <w:rPr>
          <w:rFonts w:ascii="Open Sans" w:hAnsi="Open Sans" w:cs="Open Sans"/>
        </w:rPr>
        <w:t xml:space="preserve">there are likely to be </w:t>
      </w:r>
      <w:r w:rsidR="004317F2" w:rsidRPr="00D91A77">
        <w:rPr>
          <w:rFonts w:ascii="Open Sans" w:hAnsi="Open Sans" w:cs="Open Sans"/>
        </w:rPr>
        <w:t xml:space="preserve">significant </w:t>
      </w:r>
      <w:r w:rsidR="00311DAA" w:rsidRPr="00D91A77">
        <w:rPr>
          <w:rFonts w:ascii="Open Sans" w:hAnsi="Open Sans" w:cs="Open Sans"/>
        </w:rPr>
        <w:t>price discrepancies between UKA’s and</w:t>
      </w:r>
      <w:r w:rsidR="004317F2" w:rsidRPr="00D91A77">
        <w:rPr>
          <w:rFonts w:ascii="Open Sans" w:hAnsi="Open Sans" w:cs="Open Sans"/>
        </w:rPr>
        <w:t xml:space="preserve"> removals</w:t>
      </w:r>
      <w:r w:rsidR="00311DAA" w:rsidRPr="00D91A77">
        <w:rPr>
          <w:rFonts w:ascii="Open Sans" w:hAnsi="Open Sans" w:cs="Open Sans"/>
        </w:rPr>
        <w:t>.</w:t>
      </w:r>
      <w:r w:rsidR="00651690" w:rsidRPr="00D91A77">
        <w:rPr>
          <w:rFonts w:ascii="Open Sans" w:hAnsi="Open Sans" w:cs="Open Sans"/>
        </w:rPr>
        <w:t xml:space="preserve"> The market is too immature to be able to differentiate between a UKA and removal, and as </w:t>
      </w:r>
      <w:r w:rsidR="000422F7" w:rsidRPr="00D91A77">
        <w:rPr>
          <w:rFonts w:ascii="Open Sans" w:hAnsi="Open Sans" w:cs="Open Sans"/>
        </w:rPr>
        <w:t>such, demand controls, in the form of floors or quotas, are likely to be needed to obligate emitters to purchase a set proportion of removal allowances</w:t>
      </w:r>
      <w:r w:rsidR="000516B4" w:rsidRPr="00D91A77">
        <w:rPr>
          <w:rFonts w:ascii="Open Sans" w:hAnsi="Open Sans" w:cs="Open Sans"/>
        </w:rPr>
        <w:t>, similar to how the aviation sector has been mandated to support Sustainable Aviation Fuel (SAF)</w:t>
      </w:r>
      <w:r w:rsidR="000422F7" w:rsidRPr="00D91A77">
        <w:rPr>
          <w:rFonts w:ascii="Open Sans" w:hAnsi="Open Sans" w:cs="Open Sans"/>
        </w:rPr>
        <w:t xml:space="preserve">. </w:t>
      </w:r>
    </w:p>
    <w:p w14:paraId="036F32D8" w14:textId="77777777" w:rsidR="000516B4" w:rsidRPr="00D91A77" w:rsidRDefault="000516B4" w:rsidP="00311DAA">
      <w:pPr>
        <w:rPr>
          <w:rFonts w:ascii="Open Sans" w:hAnsi="Open Sans" w:cs="Open Sans"/>
        </w:rPr>
      </w:pPr>
    </w:p>
    <w:p w14:paraId="4E5E7245" w14:textId="42279440" w:rsidR="00311DAA" w:rsidRPr="00D91A77" w:rsidRDefault="000422F7" w:rsidP="00311DAA">
      <w:pPr>
        <w:rPr>
          <w:rFonts w:ascii="Open Sans" w:hAnsi="Open Sans" w:cs="Open Sans"/>
        </w:rPr>
      </w:pPr>
      <w:r w:rsidRPr="00D91A77">
        <w:rPr>
          <w:rFonts w:ascii="Open Sans" w:hAnsi="Open Sans" w:cs="Open Sans"/>
        </w:rPr>
        <w:t xml:space="preserve">Over time, the overall cap </w:t>
      </w:r>
      <w:r w:rsidR="00A946DE" w:rsidRPr="00D91A77">
        <w:rPr>
          <w:rFonts w:ascii="Open Sans" w:hAnsi="Open Sans" w:cs="Open Sans"/>
        </w:rPr>
        <w:t>could be r</w:t>
      </w:r>
      <w:r w:rsidRPr="00D91A77">
        <w:rPr>
          <w:rFonts w:ascii="Open Sans" w:hAnsi="Open Sans" w:cs="Open Sans"/>
        </w:rPr>
        <w:t>educed</w:t>
      </w:r>
      <w:r w:rsidR="00A946DE" w:rsidRPr="00D91A77">
        <w:rPr>
          <w:rFonts w:ascii="Open Sans" w:hAnsi="Open Sans" w:cs="Open Sans"/>
        </w:rPr>
        <w:t xml:space="preserve"> as</w:t>
      </w:r>
      <w:r w:rsidRPr="00D91A77">
        <w:rPr>
          <w:rFonts w:ascii="Open Sans" w:hAnsi="Open Sans" w:cs="Open Sans"/>
        </w:rPr>
        <w:t xml:space="preserve"> the percentage of </w:t>
      </w:r>
      <w:r w:rsidR="00A946DE" w:rsidRPr="00D91A77">
        <w:rPr>
          <w:rFonts w:ascii="Open Sans" w:hAnsi="Open Sans" w:cs="Open Sans"/>
        </w:rPr>
        <w:t xml:space="preserve">UK removals increases. </w:t>
      </w:r>
      <w:r w:rsidR="00C75BB1" w:rsidRPr="00D91A77">
        <w:rPr>
          <w:rFonts w:ascii="Open Sans" w:hAnsi="Open Sans" w:cs="Open Sans"/>
        </w:rPr>
        <w:t>This would provide price certainty as well as potential tax revenue to government, should a</w:t>
      </w:r>
      <w:r w:rsidR="00916A79" w:rsidRPr="00D91A77">
        <w:rPr>
          <w:rFonts w:ascii="Open Sans" w:hAnsi="Open Sans" w:cs="Open Sans"/>
        </w:rPr>
        <w:t xml:space="preserve">n ETS company not be able to buy GGRs initially. </w:t>
      </w:r>
    </w:p>
    <w:p w14:paraId="1852B1E9" w14:textId="77777777" w:rsidR="00311DAA" w:rsidRPr="00D91A77" w:rsidRDefault="00311DAA" w:rsidP="00311DAA">
      <w:pPr>
        <w:rPr>
          <w:rFonts w:ascii="Open Sans" w:hAnsi="Open Sans" w:cs="Open Sans"/>
          <w:color w:val="C00000"/>
        </w:rPr>
      </w:pPr>
    </w:p>
    <w:p w14:paraId="28CE9238" w14:textId="2A376A8F" w:rsidR="00BD1FA9" w:rsidRPr="00D91A77" w:rsidRDefault="00BD1FA9" w:rsidP="00237D92">
      <w:pPr>
        <w:pStyle w:val="ListParagraph"/>
        <w:numPr>
          <w:ilvl w:val="0"/>
          <w:numId w:val="38"/>
        </w:numPr>
        <w:rPr>
          <w:rFonts w:ascii="Open Sans" w:hAnsi="Open Sans" w:cs="Open Sans"/>
          <w:b/>
          <w:bCs/>
        </w:rPr>
      </w:pPr>
      <w:r w:rsidRPr="00D91A77">
        <w:rPr>
          <w:rFonts w:ascii="Open Sans" w:hAnsi="Open Sans" w:cs="Open Sans"/>
          <w:b/>
          <w:bCs/>
        </w:rPr>
        <w:t>Do you agree with the Authority’s minded to position to adopt supply controls to target other objectives, such as phasing GGR integration or addressing market impacts? Please consider how supply controls can be used in a way that is compatible with providing a strong demand signal for GGRs.</w:t>
      </w:r>
    </w:p>
    <w:p w14:paraId="40410576" w14:textId="77777777" w:rsidR="006804C2" w:rsidRPr="00D91A77" w:rsidRDefault="006804C2" w:rsidP="00BD1FA9">
      <w:pPr>
        <w:rPr>
          <w:rFonts w:ascii="Open Sans" w:hAnsi="Open Sans" w:cs="Open Sans"/>
          <w:b/>
          <w:bCs/>
        </w:rPr>
      </w:pPr>
    </w:p>
    <w:p w14:paraId="5B105CE9" w14:textId="7EF9A53D" w:rsidR="006804C2" w:rsidRPr="00D91A77" w:rsidRDefault="000676D2" w:rsidP="00BD1FA9">
      <w:pPr>
        <w:rPr>
          <w:rFonts w:ascii="Open Sans" w:hAnsi="Open Sans" w:cs="Open Sans"/>
        </w:rPr>
      </w:pPr>
      <w:r>
        <w:rPr>
          <w:rFonts w:ascii="Open Sans" w:hAnsi="Open Sans" w:cs="Open Sans"/>
        </w:rPr>
        <w:t xml:space="preserve">Please see our response to question 32. If </w:t>
      </w:r>
      <w:r w:rsidR="00FE214C">
        <w:rPr>
          <w:rFonts w:ascii="Open Sans" w:hAnsi="Open Sans" w:cs="Open Sans"/>
        </w:rPr>
        <w:t>the Authority adopts demand controls, like those suggested above -</w:t>
      </w:r>
      <w:r w:rsidR="00B83F0F" w:rsidRPr="00D91A77">
        <w:rPr>
          <w:rFonts w:ascii="Open Sans" w:hAnsi="Open Sans" w:cs="Open Sans"/>
        </w:rPr>
        <w:t xml:space="preserve"> mandating emitters to purchase GGRs -</w:t>
      </w:r>
      <w:r w:rsidR="0023793C" w:rsidRPr="00D91A77">
        <w:rPr>
          <w:rFonts w:ascii="Open Sans" w:hAnsi="Open Sans" w:cs="Open Sans"/>
        </w:rPr>
        <w:t xml:space="preserve"> th</w:t>
      </w:r>
      <w:r w:rsidR="00B83F0F" w:rsidRPr="00D91A77">
        <w:rPr>
          <w:rFonts w:ascii="Open Sans" w:hAnsi="Open Sans" w:cs="Open Sans"/>
        </w:rPr>
        <w:t>is</w:t>
      </w:r>
      <w:r w:rsidR="0023793C" w:rsidRPr="00D91A77">
        <w:rPr>
          <w:rFonts w:ascii="Open Sans" w:hAnsi="Open Sans" w:cs="Open Sans"/>
        </w:rPr>
        <w:t xml:space="preserve"> should negate the need for further controls. </w:t>
      </w:r>
    </w:p>
    <w:p w14:paraId="000FA5CA" w14:textId="77777777" w:rsidR="0023793C" w:rsidRPr="00D91A77" w:rsidRDefault="0023793C" w:rsidP="00BD1FA9">
      <w:pPr>
        <w:rPr>
          <w:rFonts w:ascii="Open Sans" w:hAnsi="Open Sans" w:cs="Open Sans"/>
          <w:b/>
          <w:bCs/>
        </w:rPr>
      </w:pPr>
    </w:p>
    <w:p w14:paraId="0D2F28CC" w14:textId="3E16C9FF" w:rsidR="00BD1FA9" w:rsidRPr="00D91A77" w:rsidRDefault="00BD1FA9" w:rsidP="00E572B8">
      <w:pPr>
        <w:pStyle w:val="ListParagraph"/>
        <w:numPr>
          <w:ilvl w:val="0"/>
          <w:numId w:val="38"/>
        </w:numPr>
        <w:rPr>
          <w:rFonts w:ascii="Open Sans" w:hAnsi="Open Sans" w:cs="Open Sans"/>
          <w:b/>
          <w:bCs/>
        </w:rPr>
      </w:pPr>
      <w:r w:rsidRPr="00D91A77">
        <w:rPr>
          <w:rFonts w:ascii="Open Sans" w:hAnsi="Open Sans" w:cs="Open Sans"/>
          <w:b/>
          <w:bCs/>
        </w:rPr>
        <w:t>What would be the optimal timing for GGRs to be integrated into the UK ETS, taking into account the considerations set out above? Please explain your answer with reference to impacts on both the UK ETS and GGR deployment.</w:t>
      </w:r>
    </w:p>
    <w:p w14:paraId="6250A5BA" w14:textId="77777777" w:rsidR="00EE783D" w:rsidRPr="00D91A77" w:rsidRDefault="00EE783D" w:rsidP="00EE783D">
      <w:pPr>
        <w:pStyle w:val="ListParagraph"/>
        <w:rPr>
          <w:rFonts w:ascii="Open Sans" w:hAnsi="Open Sans" w:cs="Open Sans"/>
          <w:b/>
          <w:bCs/>
        </w:rPr>
      </w:pPr>
    </w:p>
    <w:p w14:paraId="1E637FF4" w14:textId="7E401600" w:rsidR="002772AF" w:rsidRPr="00D91A77" w:rsidRDefault="00EE783D" w:rsidP="00EE783D">
      <w:pPr>
        <w:rPr>
          <w:rFonts w:ascii="Open Sans" w:hAnsi="Open Sans" w:cs="Open Sans"/>
        </w:rPr>
      </w:pPr>
      <w:r w:rsidRPr="00D91A77">
        <w:rPr>
          <w:rFonts w:ascii="Open Sans" w:hAnsi="Open Sans" w:cs="Open Sans"/>
        </w:rPr>
        <w:t>The REA supports the intention to integrate GGRs into the UK ETS as soon as possible</w:t>
      </w:r>
      <w:r w:rsidR="00C9745A" w:rsidRPr="00D91A77">
        <w:rPr>
          <w:rFonts w:ascii="Open Sans" w:hAnsi="Open Sans" w:cs="Open Sans"/>
        </w:rPr>
        <w:t xml:space="preserve"> as this will provide the strongest possible signal to market and get the sector moving</w:t>
      </w:r>
      <w:r w:rsidR="00157704" w:rsidRPr="00D91A77">
        <w:rPr>
          <w:rFonts w:ascii="Open Sans" w:hAnsi="Open Sans" w:cs="Open Sans"/>
        </w:rPr>
        <w:t xml:space="preserve">. </w:t>
      </w:r>
      <w:r w:rsidR="00693098" w:rsidRPr="00D91A77">
        <w:rPr>
          <w:rFonts w:ascii="Open Sans" w:hAnsi="Open Sans" w:cs="Open Sans"/>
        </w:rPr>
        <w:t xml:space="preserve">However as mentioned in response to question </w:t>
      </w:r>
      <w:r w:rsidR="00A038B4">
        <w:rPr>
          <w:rFonts w:ascii="Open Sans" w:hAnsi="Open Sans" w:cs="Open Sans"/>
        </w:rPr>
        <w:t>1</w:t>
      </w:r>
      <w:r w:rsidR="00693098" w:rsidRPr="00D91A77">
        <w:rPr>
          <w:rFonts w:ascii="Open Sans" w:hAnsi="Open Sans" w:cs="Open Sans"/>
        </w:rPr>
        <w:t>, timing should also be aligned with actual GGR projects delivery, including the delivery of BECCS at scale, currently expected from 2030, and the inclusion of energy from waste into the UK ETS, currently being consulted on</w:t>
      </w:r>
      <w:r w:rsidR="00144DFA" w:rsidRPr="00D91A77">
        <w:rPr>
          <w:rFonts w:ascii="Open Sans" w:hAnsi="Open Sans" w:cs="Open Sans"/>
        </w:rPr>
        <w:t xml:space="preserve"> and expected in 2028</w:t>
      </w:r>
      <w:r w:rsidR="00693098" w:rsidRPr="00D91A77">
        <w:rPr>
          <w:rFonts w:ascii="Open Sans" w:hAnsi="Open Sans" w:cs="Open Sans"/>
        </w:rPr>
        <w:t xml:space="preserve">. </w:t>
      </w:r>
    </w:p>
    <w:p w14:paraId="5FB9C701" w14:textId="77777777" w:rsidR="002772AF" w:rsidRPr="00D91A77" w:rsidRDefault="002772AF" w:rsidP="00EE783D">
      <w:pPr>
        <w:rPr>
          <w:rFonts w:ascii="Open Sans" w:hAnsi="Open Sans" w:cs="Open Sans"/>
        </w:rPr>
      </w:pPr>
    </w:p>
    <w:p w14:paraId="69669AC7" w14:textId="6A307307" w:rsidR="00D35677" w:rsidRPr="00D91A77" w:rsidRDefault="00D35677" w:rsidP="00EE783D">
      <w:pPr>
        <w:rPr>
          <w:rFonts w:ascii="Open Sans" w:hAnsi="Open Sans" w:cs="Open Sans"/>
        </w:rPr>
      </w:pPr>
      <w:r w:rsidRPr="00D91A77">
        <w:rPr>
          <w:rFonts w:ascii="Open Sans" w:hAnsi="Open Sans" w:cs="Open Sans"/>
        </w:rPr>
        <w:t xml:space="preserve">The Authority could introduce voluntary GGR purchases for emitters, before making them compulsory. This could be done for a short period of time, to ensure a sufficient supply of GGRs in the market. </w:t>
      </w:r>
      <w:r w:rsidR="00AE328E" w:rsidRPr="00D91A77">
        <w:rPr>
          <w:rFonts w:ascii="Open Sans" w:hAnsi="Open Sans" w:cs="Open Sans"/>
        </w:rPr>
        <w:t xml:space="preserve">In addition, Government should provide clarity on when the various CCS pipelines will be ready, to </w:t>
      </w:r>
      <w:r w:rsidR="00693098" w:rsidRPr="00D91A77">
        <w:rPr>
          <w:rFonts w:ascii="Open Sans" w:hAnsi="Open Sans" w:cs="Open Sans"/>
        </w:rPr>
        <w:t>ensure</w:t>
      </w:r>
      <w:r w:rsidR="00AE328E" w:rsidRPr="00D91A77">
        <w:rPr>
          <w:rFonts w:ascii="Open Sans" w:hAnsi="Open Sans" w:cs="Open Sans"/>
        </w:rPr>
        <w:t xml:space="preserve"> careful sequencing. </w:t>
      </w:r>
    </w:p>
    <w:p w14:paraId="636DCD24" w14:textId="77777777" w:rsidR="00402B6A" w:rsidRPr="00D91A77" w:rsidRDefault="00402B6A" w:rsidP="00EE783D">
      <w:pPr>
        <w:rPr>
          <w:rFonts w:ascii="Open Sans" w:hAnsi="Open Sans" w:cs="Open Sans"/>
        </w:rPr>
      </w:pPr>
    </w:p>
    <w:p w14:paraId="3B067EDF" w14:textId="53F9B9B1" w:rsidR="00402B6A" w:rsidRPr="00D91A77" w:rsidRDefault="00402B6A" w:rsidP="00EE783D">
      <w:pPr>
        <w:rPr>
          <w:rFonts w:ascii="Open Sans" w:hAnsi="Open Sans" w:cs="Open Sans"/>
        </w:rPr>
      </w:pPr>
      <w:r w:rsidRPr="00D91A77">
        <w:rPr>
          <w:rFonts w:ascii="Open Sans" w:hAnsi="Open Sans" w:cs="Open Sans"/>
        </w:rPr>
        <w:t>The main aim is to create a self-sustaining market, with projects progressing without government support. The earlier GGRs are integrated into ETS, the sooner the GGR market will be reliable, and pricing may become more stable, a key condition for underpinning investment.</w:t>
      </w:r>
    </w:p>
    <w:p w14:paraId="65EE3245" w14:textId="77777777" w:rsidR="00B32C11" w:rsidRPr="00D91A77" w:rsidRDefault="00B32C11" w:rsidP="00EE783D">
      <w:pPr>
        <w:rPr>
          <w:rFonts w:ascii="Open Sans" w:hAnsi="Open Sans" w:cs="Open Sans"/>
        </w:rPr>
      </w:pPr>
    </w:p>
    <w:p w14:paraId="039F3317" w14:textId="5C36CB22" w:rsidR="00B32C11" w:rsidRPr="00D91A77" w:rsidRDefault="00B32C11" w:rsidP="006A15DF">
      <w:pPr>
        <w:jc w:val="right"/>
        <w:rPr>
          <w:rFonts w:ascii="Open Sans" w:hAnsi="Open Sans" w:cs="Open Sans"/>
          <w:b/>
          <w:bCs/>
          <w:i/>
          <w:iCs/>
        </w:rPr>
      </w:pPr>
      <w:r w:rsidRPr="00D91A77">
        <w:rPr>
          <w:rFonts w:ascii="Open Sans" w:hAnsi="Open Sans" w:cs="Open Sans"/>
          <w:b/>
          <w:bCs/>
          <w:i/>
          <w:iCs/>
        </w:rPr>
        <w:t>August 2024</w:t>
      </w:r>
    </w:p>
    <w:p w14:paraId="3912F0BA" w14:textId="77777777" w:rsidR="00D35677" w:rsidRPr="00D91A77" w:rsidRDefault="00D35677" w:rsidP="00EE783D">
      <w:pPr>
        <w:rPr>
          <w:rFonts w:ascii="Open Sans" w:hAnsi="Open Sans" w:cs="Open Sans"/>
        </w:rPr>
      </w:pPr>
    </w:p>
    <w:p w14:paraId="57DC768B" w14:textId="77777777" w:rsidR="00E24513" w:rsidRPr="00D91A77" w:rsidRDefault="00E24513" w:rsidP="00EE783D">
      <w:pPr>
        <w:rPr>
          <w:rFonts w:ascii="Open Sans" w:hAnsi="Open Sans" w:cs="Open Sans"/>
        </w:rPr>
      </w:pPr>
    </w:p>
    <w:p w14:paraId="7EC779B9" w14:textId="77777777" w:rsidR="006777FA" w:rsidRPr="00D91A77" w:rsidRDefault="006777FA" w:rsidP="00E24513">
      <w:pPr>
        <w:rPr>
          <w:rFonts w:ascii="Open Sans" w:hAnsi="Open Sans" w:cs="Open Sans"/>
          <w:color w:val="C00000"/>
        </w:rPr>
      </w:pPr>
    </w:p>
    <w:sectPr w:rsidR="006777FA" w:rsidRPr="00D91A77" w:rsidSect="004222EB">
      <w:headerReference w:type="default" r:id="rId12"/>
      <w:footerReference w:type="default" r:id="rId13"/>
      <w:headerReference w:type="first" r:id="rId14"/>
      <w:footerReference w:type="first" r:id="rId15"/>
      <w:pgSz w:w="11906" w:h="16838"/>
      <w:pgMar w:top="284" w:right="1440" w:bottom="1440" w:left="1440" w:header="290" w:footer="3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E9857" w14:textId="77777777" w:rsidR="006D2784" w:rsidRDefault="006D2784" w:rsidP="00B31E85">
      <w:r>
        <w:separator/>
      </w:r>
    </w:p>
  </w:endnote>
  <w:endnote w:type="continuationSeparator" w:id="0">
    <w:p w14:paraId="25785EF4" w14:textId="77777777" w:rsidR="006D2784" w:rsidRDefault="006D2784" w:rsidP="00B31E85">
      <w:r>
        <w:continuationSeparator/>
      </w:r>
    </w:p>
  </w:endnote>
  <w:endnote w:type="continuationNotice" w:id="1">
    <w:p w14:paraId="3C5A947F" w14:textId="77777777" w:rsidR="006D2784" w:rsidRDefault="006D2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PT-Light">
    <w:altName w:val="Times New Roman"/>
    <w:charset w:val="00"/>
    <w:family w:val="swiss"/>
    <w:pitch w:val="variable"/>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4377164"/>
      <w:docPartObj>
        <w:docPartGallery w:val="Page Numbers (Bottom of Page)"/>
        <w:docPartUnique/>
      </w:docPartObj>
    </w:sdtPr>
    <w:sdtEndPr>
      <w:rPr>
        <w:color w:val="7F7F7F" w:themeColor="background1" w:themeShade="7F"/>
        <w:spacing w:val="60"/>
      </w:rPr>
    </w:sdtEndPr>
    <w:sdtContent>
      <w:p w14:paraId="3F2F0ED0" w14:textId="77777777" w:rsidR="00835DAE" w:rsidRDefault="00835DAE" w:rsidP="00B31E85">
        <w:pPr>
          <w:pStyle w:val="Footer"/>
          <w:rPr>
            <w:b/>
            <w:bCs/>
          </w:rPr>
        </w:pPr>
        <w:r w:rsidRPr="00835DAE">
          <w:fldChar w:fldCharType="begin"/>
        </w:r>
        <w:r w:rsidRPr="00835DAE">
          <w:instrText xml:space="preserve"> PAGE   \* MERGEFORMAT </w:instrText>
        </w:r>
        <w:r w:rsidRPr="00835DAE">
          <w:fldChar w:fldCharType="separate"/>
        </w:r>
        <w:r w:rsidRPr="00835DAE">
          <w:rPr>
            <w:b/>
            <w:bCs/>
            <w:noProof/>
          </w:rPr>
          <w:t>2</w:t>
        </w:r>
        <w:r w:rsidRPr="00835DAE">
          <w:rPr>
            <w:b/>
            <w:bCs/>
            <w:noProof/>
          </w:rPr>
          <w:fldChar w:fldCharType="end"/>
        </w:r>
        <w:r w:rsidRPr="00835DAE">
          <w:rPr>
            <w:b/>
            <w:bCs/>
          </w:rPr>
          <w:t xml:space="preserve"> | </w:t>
        </w:r>
        <w:r w:rsidRPr="00835DAE">
          <w:rPr>
            <w:color w:val="7F7F7F" w:themeColor="background1" w:themeShade="7F"/>
            <w:spacing w:val="60"/>
          </w:rPr>
          <w:t>Page</w:t>
        </w:r>
      </w:p>
    </w:sdtContent>
  </w:sdt>
  <w:p w14:paraId="0B581017" w14:textId="77777777" w:rsidR="00041FFC" w:rsidRPr="00835DAE" w:rsidRDefault="00041FFC" w:rsidP="00B31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D0307" w14:textId="77777777" w:rsidR="002C4F74" w:rsidRPr="00BB2720" w:rsidRDefault="002C4F74" w:rsidP="002C4F74">
    <w:pPr>
      <w:pStyle w:val="Footer"/>
      <w:tabs>
        <w:tab w:val="center" w:pos="3402"/>
        <w:tab w:val="right" w:pos="9072"/>
      </w:tabs>
      <w:rPr>
        <w:rFonts w:ascii="Open Sans" w:hAnsi="Open Sans" w:cs="Open Sans"/>
        <w:color w:val="808080" w:themeColor="background1" w:themeShade="80"/>
        <w:sz w:val="24"/>
        <w:szCs w:val="44"/>
      </w:rPr>
    </w:pPr>
    <w:r w:rsidRPr="00BB2720">
      <w:rPr>
        <w:rFonts w:ascii="Open Sans" w:hAnsi="Open Sans" w:cs="Open Sans"/>
        <w:color w:val="808080" w:themeColor="background1" w:themeShade="80"/>
        <w:sz w:val="24"/>
        <w:szCs w:val="44"/>
      </w:rPr>
      <w:t>York House,</w:t>
    </w:r>
    <w:r w:rsidRPr="00BB2720">
      <w:rPr>
        <w:rFonts w:ascii="Open Sans" w:hAnsi="Open Sans" w:cs="Open Sans"/>
        <w:color w:val="808080" w:themeColor="background1" w:themeShade="80"/>
        <w:sz w:val="24"/>
        <w:szCs w:val="44"/>
      </w:rPr>
      <w:tab/>
      <w:t xml:space="preserve">                 Tel: 020 7925 3570</w:t>
    </w:r>
    <w:r w:rsidRPr="00BB2720">
      <w:rPr>
        <w:rFonts w:ascii="Open Sans" w:hAnsi="Open Sans" w:cs="Open Sans"/>
        <w:color w:val="808080" w:themeColor="background1" w:themeShade="80"/>
        <w:sz w:val="24"/>
        <w:szCs w:val="44"/>
      </w:rPr>
      <w:tab/>
    </w:r>
    <w:hyperlink r:id="rId1" w:history="1">
      <w:r w:rsidRPr="00BB2720">
        <w:rPr>
          <w:rStyle w:val="Hyperlink"/>
          <w:rFonts w:ascii="Open Sans" w:hAnsi="Open Sans" w:cs="Open Sans"/>
          <w:color w:val="808080" w:themeColor="background1" w:themeShade="80"/>
          <w:sz w:val="24"/>
          <w:szCs w:val="44"/>
        </w:rPr>
        <w:t>http://www.r-e-a.net/</w:t>
      </w:r>
    </w:hyperlink>
  </w:p>
  <w:p w14:paraId="5279CF13" w14:textId="77777777" w:rsidR="002C4F74" w:rsidRPr="00BB2720" w:rsidRDefault="002C4F74" w:rsidP="002C4F74">
    <w:pPr>
      <w:rPr>
        <w:rFonts w:ascii="Open Sans" w:hAnsi="Open Sans" w:cs="Open Sans"/>
        <w:color w:val="808080" w:themeColor="background1" w:themeShade="80"/>
        <w:sz w:val="24"/>
        <w:szCs w:val="44"/>
      </w:rPr>
    </w:pPr>
    <w:r w:rsidRPr="00BB2720">
      <w:rPr>
        <w:rFonts w:ascii="Open Sans" w:hAnsi="Open Sans" w:cs="Open Sans"/>
        <w:color w:val="808080" w:themeColor="background1" w:themeShade="80"/>
        <w:sz w:val="24"/>
        <w:szCs w:val="44"/>
      </w:rPr>
      <w:t>23 Kingsway</w:t>
    </w:r>
    <w:r w:rsidRPr="00BB2720">
      <w:rPr>
        <w:rFonts w:ascii="Open Sans" w:hAnsi="Open Sans" w:cs="Open Sans"/>
        <w:color w:val="808080" w:themeColor="background1" w:themeShade="80"/>
        <w:sz w:val="24"/>
        <w:szCs w:val="44"/>
      </w:rPr>
      <w:br/>
      <w:t xml:space="preserve">London, WC2B 6UJ  </w:t>
    </w:r>
  </w:p>
  <w:p w14:paraId="08965CBC" w14:textId="67C1CFC7" w:rsidR="00041FFC" w:rsidRPr="002C4F74" w:rsidRDefault="00041FFC" w:rsidP="002C4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196C7" w14:textId="77777777" w:rsidR="006D2784" w:rsidRDefault="006D2784" w:rsidP="00B31E85">
      <w:r>
        <w:separator/>
      </w:r>
    </w:p>
  </w:footnote>
  <w:footnote w:type="continuationSeparator" w:id="0">
    <w:p w14:paraId="083EA31F" w14:textId="77777777" w:rsidR="006D2784" w:rsidRDefault="006D2784" w:rsidP="00B31E85">
      <w:r>
        <w:continuationSeparator/>
      </w:r>
    </w:p>
  </w:footnote>
  <w:footnote w:type="continuationNotice" w:id="1">
    <w:p w14:paraId="569B27E2" w14:textId="77777777" w:rsidR="006D2784" w:rsidRDefault="006D2784"/>
  </w:footnote>
  <w:footnote w:id="2">
    <w:p w14:paraId="6AF01A32" w14:textId="04A89E6B" w:rsidR="004F5066" w:rsidRDefault="004F5066">
      <w:pPr>
        <w:pStyle w:val="FootnoteText"/>
      </w:pPr>
      <w:r>
        <w:rPr>
          <w:rStyle w:val="FootnoteReference"/>
        </w:rPr>
        <w:footnoteRef/>
      </w:r>
      <w:r>
        <w:t xml:space="preserve"> </w:t>
      </w:r>
      <w:r w:rsidR="005C7DE6" w:rsidRPr="005C7DE6">
        <w:t>28 times more potent over 100 years and 80 times more potent over 20 years (sources: IPCC and Global Methane Pledge)</w:t>
      </w:r>
      <w:r w:rsidR="005C7DE6">
        <w:t xml:space="preserve"> </w:t>
      </w:r>
    </w:p>
  </w:footnote>
  <w:footnote w:id="3">
    <w:p w14:paraId="56EF6C00" w14:textId="68BE77EB" w:rsidR="00F910EE" w:rsidRDefault="00F910EE">
      <w:pPr>
        <w:pStyle w:val="FootnoteText"/>
      </w:pPr>
      <w:r>
        <w:rPr>
          <w:rStyle w:val="FootnoteReference"/>
        </w:rPr>
        <w:footnoteRef/>
      </w:r>
      <w:r w:rsidR="00D15935">
        <w:t xml:space="preserve"> University of Oxford, (2020),</w:t>
      </w:r>
      <w:r>
        <w:t xml:space="preserve"> </w:t>
      </w:r>
      <w:r w:rsidR="00D15935" w:rsidRPr="00EC6A9A">
        <w:rPr>
          <w:i/>
          <w:iCs/>
        </w:rPr>
        <w:t>“The Oxford Principles for Net Zero Aligned Carbon Offsetting”,</w:t>
      </w:r>
      <w:r w:rsidR="00D15935">
        <w:t xml:space="preserve"> </w:t>
      </w:r>
      <w:hyperlink r:id="rId1" w:history="1">
        <w:r w:rsidR="00EC6A9A" w:rsidRPr="00AC646A">
          <w:rPr>
            <w:rStyle w:val="Hyperlink"/>
          </w:rPr>
          <w:t>https://www.smithschool.ox.ac.uk/sites/default/files/2022-01/Oxford-Offsetting-Principles-2020.pdf</w:t>
        </w:r>
      </w:hyperlink>
      <w:r w:rsidR="00EC6A9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216BF" w14:textId="7E627073" w:rsidR="00BB2720" w:rsidRDefault="00BB2720" w:rsidP="004222EB">
    <w:pPr>
      <w:pStyle w:val="Header"/>
      <w:rPr>
        <w:rFonts w:ascii="Open Sans" w:hAnsi="Open Sans" w:cs="Open Sans"/>
        <w:b/>
        <w:bCs/>
        <w:i/>
        <w:iCs/>
        <w:sz w:val="24"/>
        <w:szCs w:val="24"/>
      </w:rPr>
    </w:pPr>
    <w:r w:rsidRPr="004222EB">
      <w:rPr>
        <w:i/>
        <w:iCs/>
        <w:noProof/>
        <w:lang w:eastAsia="en-GB"/>
      </w:rPr>
      <w:drawing>
        <wp:anchor distT="0" distB="0" distL="114300" distR="114300" simplePos="0" relativeHeight="251658240" behindDoc="0" locked="0" layoutInCell="1" allowOverlap="1" wp14:anchorId="7C764754" wp14:editId="75277E85">
          <wp:simplePos x="0" y="0"/>
          <wp:positionH relativeFrom="column">
            <wp:posOffset>5143500</wp:posOffset>
          </wp:positionH>
          <wp:positionV relativeFrom="paragraph">
            <wp:posOffset>52070</wp:posOffset>
          </wp:positionV>
          <wp:extent cx="1191895" cy="493395"/>
          <wp:effectExtent l="0" t="0" r="8255" b="1905"/>
          <wp:wrapSquare wrapText="bothSides"/>
          <wp:docPr id="983924449" name="Picture 98392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 MASTER BRIGHT 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493395"/>
                  </a:xfrm>
                  <a:prstGeom prst="rect">
                    <a:avLst/>
                  </a:prstGeom>
                </pic:spPr>
              </pic:pic>
            </a:graphicData>
          </a:graphic>
          <wp14:sizeRelH relativeFrom="page">
            <wp14:pctWidth>0</wp14:pctWidth>
          </wp14:sizeRelH>
          <wp14:sizeRelV relativeFrom="page">
            <wp14:pctHeight>0</wp14:pctHeight>
          </wp14:sizeRelV>
        </wp:anchor>
      </w:drawing>
    </w:r>
  </w:p>
  <w:p w14:paraId="65102AF1" w14:textId="26F0C92C" w:rsidR="00124D3A" w:rsidRPr="004222EB" w:rsidRDefault="004222EB" w:rsidP="004222EB">
    <w:pPr>
      <w:pStyle w:val="Header"/>
      <w:rPr>
        <w:rFonts w:ascii="Open Sans" w:hAnsi="Open Sans" w:cs="Open Sans"/>
        <w:b/>
        <w:bCs/>
        <w:i/>
        <w:iCs/>
        <w:sz w:val="24"/>
        <w:szCs w:val="24"/>
      </w:rPr>
    </w:pPr>
    <w:r w:rsidRPr="004222EB">
      <w:rPr>
        <w:rFonts w:ascii="Open Sans" w:hAnsi="Open Sans" w:cs="Open Sans"/>
        <w:b/>
        <w:bCs/>
        <w:i/>
        <w:iCs/>
        <w:sz w:val="24"/>
        <w:szCs w:val="24"/>
      </w:rPr>
      <w:t>Integrating GGRs in the UK ETS – REA response</w:t>
    </w:r>
  </w:p>
  <w:p w14:paraId="2FB8E24D" w14:textId="77777777" w:rsidR="004222EB" w:rsidRDefault="004222EB" w:rsidP="004222EB">
    <w:pPr>
      <w:pStyle w:val="Header"/>
      <w:rPr>
        <w:rFonts w:ascii="Open Sans" w:hAnsi="Open Sans" w:cs="Open Sans"/>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DA642" w14:textId="77777777" w:rsidR="00835DAE" w:rsidRDefault="00835DAE" w:rsidP="003A3169">
    <w:pPr>
      <w:pStyle w:val="Header"/>
      <w:jc w:val="right"/>
    </w:pPr>
    <w:r>
      <w:rPr>
        <w:noProof/>
        <w:lang w:eastAsia="en-GB"/>
      </w:rPr>
      <w:drawing>
        <wp:inline distT="0" distB="0" distL="0" distR="0" wp14:anchorId="40D60610" wp14:editId="7B8E7C55">
          <wp:extent cx="1210461" cy="501535"/>
          <wp:effectExtent l="0" t="0" r="0" b="0"/>
          <wp:docPr id="128968214" name="Picture 128968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 MASTER BRIGHT 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0925" cy="505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509E"/>
    <w:multiLevelType w:val="hybridMultilevel"/>
    <w:tmpl w:val="043C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12C46"/>
    <w:multiLevelType w:val="hybridMultilevel"/>
    <w:tmpl w:val="6E9A9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80417"/>
    <w:multiLevelType w:val="hybridMultilevel"/>
    <w:tmpl w:val="13B6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F0521"/>
    <w:multiLevelType w:val="hybridMultilevel"/>
    <w:tmpl w:val="A4DC2B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5798F"/>
    <w:multiLevelType w:val="hybridMultilevel"/>
    <w:tmpl w:val="7FF668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143D2394"/>
    <w:multiLevelType w:val="hybridMultilevel"/>
    <w:tmpl w:val="4A143B1C"/>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15:restartNumberingAfterBreak="0">
    <w:nsid w:val="15077109"/>
    <w:multiLevelType w:val="hybridMultilevel"/>
    <w:tmpl w:val="8528E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518B0"/>
    <w:multiLevelType w:val="hybridMultilevel"/>
    <w:tmpl w:val="A052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2745C"/>
    <w:multiLevelType w:val="hybridMultilevel"/>
    <w:tmpl w:val="7E8C56A0"/>
    <w:lvl w:ilvl="0" w:tplc="9126E2BC">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F4480C"/>
    <w:multiLevelType w:val="hybridMultilevel"/>
    <w:tmpl w:val="54B0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A0EE6"/>
    <w:multiLevelType w:val="hybridMultilevel"/>
    <w:tmpl w:val="968295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F7367"/>
    <w:multiLevelType w:val="hybridMultilevel"/>
    <w:tmpl w:val="C7BE5046"/>
    <w:lvl w:ilvl="0" w:tplc="7E60AE38">
      <w:start w:val="1"/>
      <w:numFmt w:val="decimal"/>
      <w:lvlText w:val="%1."/>
      <w:lvlJc w:val="left"/>
      <w:pPr>
        <w:ind w:left="720" w:hanging="720"/>
      </w:pPr>
      <w:rPr>
        <w:rFonts w:hint="default"/>
      </w:rPr>
    </w:lvl>
    <w:lvl w:ilvl="1" w:tplc="1884FB26">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A67419"/>
    <w:multiLevelType w:val="hybridMultilevel"/>
    <w:tmpl w:val="7044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586373"/>
    <w:multiLevelType w:val="hybridMultilevel"/>
    <w:tmpl w:val="1BBC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D3F6C"/>
    <w:multiLevelType w:val="hybridMultilevel"/>
    <w:tmpl w:val="86BE9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A3BFC"/>
    <w:multiLevelType w:val="hybridMultilevel"/>
    <w:tmpl w:val="FC26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778E8"/>
    <w:multiLevelType w:val="hybridMultilevel"/>
    <w:tmpl w:val="7414B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688155E"/>
    <w:multiLevelType w:val="hybridMultilevel"/>
    <w:tmpl w:val="B8B0C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971B4"/>
    <w:multiLevelType w:val="hybridMultilevel"/>
    <w:tmpl w:val="B182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CF3967"/>
    <w:multiLevelType w:val="hybridMultilevel"/>
    <w:tmpl w:val="9F5C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B1515"/>
    <w:multiLevelType w:val="hybridMultilevel"/>
    <w:tmpl w:val="FC1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31B30"/>
    <w:multiLevelType w:val="hybridMultilevel"/>
    <w:tmpl w:val="6E48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086151"/>
    <w:multiLevelType w:val="hybridMultilevel"/>
    <w:tmpl w:val="3E32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A216B"/>
    <w:multiLevelType w:val="hybridMultilevel"/>
    <w:tmpl w:val="40F0A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2C2369"/>
    <w:multiLevelType w:val="hybridMultilevel"/>
    <w:tmpl w:val="5888CE28"/>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5" w15:restartNumberingAfterBreak="0">
    <w:nsid w:val="5BA51321"/>
    <w:multiLevelType w:val="hybridMultilevel"/>
    <w:tmpl w:val="2B9C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B42E0"/>
    <w:multiLevelType w:val="hybridMultilevel"/>
    <w:tmpl w:val="A2AE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E41A73"/>
    <w:multiLevelType w:val="hybridMultilevel"/>
    <w:tmpl w:val="BF0E1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434A7F"/>
    <w:multiLevelType w:val="hybridMultilevel"/>
    <w:tmpl w:val="2834C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EE3CEC"/>
    <w:multiLevelType w:val="hybridMultilevel"/>
    <w:tmpl w:val="F506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B34DDA"/>
    <w:multiLevelType w:val="hybridMultilevel"/>
    <w:tmpl w:val="DE20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2B2557"/>
    <w:multiLevelType w:val="multilevel"/>
    <w:tmpl w:val="42F4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9D29DD"/>
    <w:multiLevelType w:val="hybridMultilevel"/>
    <w:tmpl w:val="939C49E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4449E5"/>
    <w:multiLevelType w:val="hybridMultilevel"/>
    <w:tmpl w:val="332EB7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B47C49"/>
    <w:multiLevelType w:val="hybridMultilevel"/>
    <w:tmpl w:val="A4DC2B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FA5A95"/>
    <w:multiLevelType w:val="hybridMultilevel"/>
    <w:tmpl w:val="8BA6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FF2D67"/>
    <w:multiLevelType w:val="hybridMultilevel"/>
    <w:tmpl w:val="FC9E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A90772"/>
    <w:multiLevelType w:val="hybridMultilevel"/>
    <w:tmpl w:val="942A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4F691E"/>
    <w:multiLevelType w:val="hybridMultilevel"/>
    <w:tmpl w:val="0514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04985"/>
    <w:multiLevelType w:val="hybridMultilevel"/>
    <w:tmpl w:val="8F36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3A2E73"/>
    <w:multiLevelType w:val="hybridMultilevel"/>
    <w:tmpl w:val="46D4B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6163734">
    <w:abstractNumId w:val="14"/>
  </w:num>
  <w:num w:numId="2" w16cid:durableId="618143085">
    <w:abstractNumId w:val="0"/>
  </w:num>
  <w:num w:numId="3" w16cid:durableId="1312054365">
    <w:abstractNumId w:val="2"/>
  </w:num>
  <w:num w:numId="4" w16cid:durableId="316494722">
    <w:abstractNumId w:val="7"/>
  </w:num>
  <w:num w:numId="5" w16cid:durableId="453867950">
    <w:abstractNumId w:val="29"/>
  </w:num>
  <w:num w:numId="6" w16cid:durableId="524174169">
    <w:abstractNumId w:val="38"/>
  </w:num>
  <w:num w:numId="7" w16cid:durableId="2120908238">
    <w:abstractNumId w:val="6"/>
  </w:num>
  <w:num w:numId="8" w16cid:durableId="444619946">
    <w:abstractNumId w:val="25"/>
  </w:num>
  <w:num w:numId="9" w16cid:durableId="1197158275">
    <w:abstractNumId w:val="39"/>
  </w:num>
  <w:num w:numId="10" w16cid:durableId="1047946230">
    <w:abstractNumId w:val="13"/>
  </w:num>
  <w:num w:numId="11" w16cid:durableId="479150327">
    <w:abstractNumId w:val="17"/>
  </w:num>
  <w:num w:numId="12" w16cid:durableId="1148060712">
    <w:abstractNumId w:val="37"/>
  </w:num>
  <w:num w:numId="13" w16cid:durableId="861820517">
    <w:abstractNumId w:val="19"/>
  </w:num>
  <w:num w:numId="14" w16cid:durableId="282419833">
    <w:abstractNumId w:val="9"/>
  </w:num>
  <w:num w:numId="15" w16cid:durableId="351957710">
    <w:abstractNumId w:val="20"/>
  </w:num>
  <w:num w:numId="16" w16cid:durableId="1250652202">
    <w:abstractNumId w:val="22"/>
  </w:num>
  <w:num w:numId="17" w16cid:durableId="1674524123">
    <w:abstractNumId w:val="26"/>
  </w:num>
  <w:num w:numId="18" w16cid:durableId="547688890">
    <w:abstractNumId w:val="21"/>
  </w:num>
  <w:num w:numId="19" w16cid:durableId="562758580">
    <w:abstractNumId w:val="31"/>
  </w:num>
  <w:num w:numId="20" w16cid:durableId="261839209">
    <w:abstractNumId w:val="5"/>
  </w:num>
  <w:num w:numId="21" w16cid:durableId="170684531">
    <w:abstractNumId w:val="36"/>
  </w:num>
  <w:num w:numId="22" w16cid:durableId="95710877">
    <w:abstractNumId w:val="24"/>
  </w:num>
  <w:num w:numId="23" w16cid:durableId="1515874234">
    <w:abstractNumId w:val="27"/>
  </w:num>
  <w:num w:numId="24" w16cid:durableId="678578391">
    <w:abstractNumId w:val="1"/>
  </w:num>
  <w:num w:numId="25" w16cid:durableId="642122460">
    <w:abstractNumId w:val="35"/>
  </w:num>
  <w:num w:numId="26" w16cid:durableId="84498143">
    <w:abstractNumId w:val="40"/>
  </w:num>
  <w:num w:numId="27" w16cid:durableId="605387199">
    <w:abstractNumId w:val="3"/>
  </w:num>
  <w:num w:numId="28" w16cid:durableId="1643651075">
    <w:abstractNumId w:val="33"/>
  </w:num>
  <w:num w:numId="29" w16cid:durableId="285738771">
    <w:abstractNumId w:val="34"/>
  </w:num>
  <w:num w:numId="30" w16cid:durableId="700127847">
    <w:abstractNumId w:val="18"/>
  </w:num>
  <w:num w:numId="31" w16cid:durableId="1569144885">
    <w:abstractNumId w:val="4"/>
  </w:num>
  <w:num w:numId="32" w16cid:durableId="610480524">
    <w:abstractNumId w:val="12"/>
  </w:num>
  <w:num w:numId="33" w16cid:durableId="1170366292">
    <w:abstractNumId w:val="32"/>
  </w:num>
  <w:num w:numId="34" w16cid:durableId="1181316194">
    <w:abstractNumId w:val="10"/>
  </w:num>
  <w:num w:numId="35" w16cid:durableId="1637834574">
    <w:abstractNumId w:val="15"/>
  </w:num>
  <w:num w:numId="36" w16cid:durableId="619839917">
    <w:abstractNumId w:val="28"/>
  </w:num>
  <w:num w:numId="37" w16cid:durableId="231819917">
    <w:abstractNumId w:val="11"/>
  </w:num>
  <w:num w:numId="38" w16cid:durableId="2123183771">
    <w:abstractNumId w:val="8"/>
  </w:num>
  <w:num w:numId="39" w16cid:durableId="1973755627">
    <w:abstractNumId w:val="30"/>
  </w:num>
  <w:num w:numId="40" w16cid:durableId="1216552560">
    <w:abstractNumId w:val="23"/>
  </w:num>
  <w:num w:numId="41" w16cid:durableId="9406425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U3sDQyNTIyNbEwMTRW0lEKTi0uzszPAykwrAUA6XKSRCwAAAA="/>
  </w:docVars>
  <w:rsids>
    <w:rsidRoot w:val="00BD1FA9"/>
    <w:rsid w:val="000022E2"/>
    <w:rsid w:val="0000522E"/>
    <w:rsid w:val="000052B8"/>
    <w:rsid w:val="0001028E"/>
    <w:rsid w:val="00010F8B"/>
    <w:rsid w:val="000146B3"/>
    <w:rsid w:val="00015D1D"/>
    <w:rsid w:val="00015EE6"/>
    <w:rsid w:val="00016F35"/>
    <w:rsid w:val="0002448C"/>
    <w:rsid w:val="00034464"/>
    <w:rsid w:val="00037C3B"/>
    <w:rsid w:val="00040587"/>
    <w:rsid w:val="00041FFC"/>
    <w:rsid w:val="000422F7"/>
    <w:rsid w:val="00043BBD"/>
    <w:rsid w:val="00044A57"/>
    <w:rsid w:val="000506ED"/>
    <w:rsid w:val="00050AA7"/>
    <w:rsid w:val="000516B4"/>
    <w:rsid w:val="00054CA1"/>
    <w:rsid w:val="00055C85"/>
    <w:rsid w:val="000604E1"/>
    <w:rsid w:val="00061C75"/>
    <w:rsid w:val="00062CA2"/>
    <w:rsid w:val="00067577"/>
    <w:rsid w:val="0006767A"/>
    <w:rsid w:val="000676D2"/>
    <w:rsid w:val="00070823"/>
    <w:rsid w:val="00070EDA"/>
    <w:rsid w:val="00076265"/>
    <w:rsid w:val="00076998"/>
    <w:rsid w:val="00083A5D"/>
    <w:rsid w:val="00084557"/>
    <w:rsid w:val="000848AE"/>
    <w:rsid w:val="00087B96"/>
    <w:rsid w:val="00094B8D"/>
    <w:rsid w:val="00094C87"/>
    <w:rsid w:val="000A06E2"/>
    <w:rsid w:val="000A15A2"/>
    <w:rsid w:val="000A1E93"/>
    <w:rsid w:val="000A3B63"/>
    <w:rsid w:val="000A40F1"/>
    <w:rsid w:val="000A41DC"/>
    <w:rsid w:val="000A649F"/>
    <w:rsid w:val="000B3627"/>
    <w:rsid w:val="000B37FB"/>
    <w:rsid w:val="000B42C5"/>
    <w:rsid w:val="000B433D"/>
    <w:rsid w:val="000B47CE"/>
    <w:rsid w:val="000B76EB"/>
    <w:rsid w:val="000B7C4D"/>
    <w:rsid w:val="000C32E8"/>
    <w:rsid w:val="000C3F2C"/>
    <w:rsid w:val="000D1EA0"/>
    <w:rsid w:val="000D50C6"/>
    <w:rsid w:val="000D7757"/>
    <w:rsid w:val="000E0566"/>
    <w:rsid w:val="000E093D"/>
    <w:rsid w:val="000E0F54"/>
    <w:rsid w:val="000E1357"/>
    <w:rsid w:val="000E17DE"/>
    <w:rsid w:val="000E240C"/>
    <w:rsid w:val="000E3EDE"/>
    <w:rsid w:val="000E5B62"/>
    <w:rsid w:val="000F2380"/>
    <w:rsid w:val="000F4564"/>
    <w:rsid w:val="000F5EA4"/>
    <w:rsid w:val="000F7A56"/>
    <w:rsid w:val="00102E53"/>
    <w:rsid w:val="00104C8B"/>
    <w:rsid w:val="00110921"/>
    <w:rsid w:val="00110B35"/>
    <w:rsid w:val="0011276A"/>
    <w:rsid w:val="00114D5D"/>
    <w:rsid w:val="00117F89"/>
    <w:rsid w:val="00122553"/>
    <w:rsid w:val="00124449"/>
    <w:rsid w:val="00124D3A"/>
    <w:rsid w:val="00125A38"/>
    <w:rsid w:val="001269CA"/>
    <w:rsid w:val="0012782D"/>
    <w:rsid w:val="001301C6"/>
    <w:rsid w:val="00131F26"/>
    <w:rsid w:val="0013256B"/>
    <w:rsid w:val="00132D52"/>
    <w:rsid w:val="00133C98"/>
    <w:rsid w:val="00135AB7"/>
    <w:rsid w:val="001373E6"/>
    <w:rsid w:val="00143872"/>
    <w:rsid w:val="00144CE0"/>
    <w:rsid w:val="00144DFA"/>
    <w:rsid w:val="00145286"/>
    <w:rsid w:val="001538BA"/>
    <w:rsid w:val="00154D24"/>
    <w:rsid w:val="001551FE"/>
    <w:rsid w:val="00155EFE"/>
    <w:rsid w:val="00157704"/>
    <w:rsid w:val="00167436"/>
    <w:rsid w:val="001737BD"/>
    <w:rsid w:val="00174EB9"/>
    <w:rsid w:val="00181916"/>
    <w:rsid w:val="00184431"/>
    <w:rsid w:val="00187F85"/>
    <w:rsid w:val="00194878"/>
    <w:rsid w:val="001A05DF"/>
    <w:rsid w:val="001A1EEA"/>
    <w:rsid w:val="001A355B"/>
    <w:rsid w:val="001A4BBB"/>
    <w:rsid w:val="001A5371"/>
    <w:rsid w:val="001B03A3"/>
    <w:rsid w:val="001C0353"/>
    <w:rsid w:val="001C0D5B"/>
    <w:rsid w:val="001C1F5A"/>
    <w:rsid w:val="001C40D2"/>
    <w:rsid w:val="001C42B3"/>
    <w:rsid w:val="001C4AB5"/>
    <w:rsid w:val="001C530D"/>
    <w:rsid w:val="001C5C41"/>
    <w:rsid w:val="001D555D"/>
    <w:rsid w:val="001D6191"/>
    <w:rsid w:val="001D7E43"/>
    <w:rsid w:val="001E595C"/>
    <w:rsid w:val="001E78ED"/>
    <w:rsid w:val="001E78F9"/>
    <w:rsid w:val="001E7F9C"/>
    <w:rsid w:val="001F4076"/>
    <w:rsid w:val="001F5718"/>
    <w:rsid w:val="001F79CB"/>
    <w:rsid w:val="0020114D"/>
    <w:rsid w:val="00203CC7"/>
    <w:rsid w:val="00214640"/>
    <w:rsid w:val="002156C6"/>
    <w:rsid w:val="0022063B"/>
    <w:rsid w:val="002211F9"/>
    <w:rsid w:val="00221212"/>
    <w:rsid w:val="0022121A"/>
    <w:rsid w:val="00224562"/>
    <w:rsid w:val="00224C53"/>
    <w:rsid w:val="00226A73"/>
    <w:rsid w:val="0023219E"/>
    <w:rsid w:val="002337D4"/>
    <w:rsid w:val="0023793C"/>
    <w:rsid w:val="002421E9"/>
    <w:rsid w:val="00244367"/>
    <w:rsid w:val="002503F2"/>
    <w:rsid w:val="00250FDC"/>
    <w:rsid w:val="0025448F"/>
    <w:rsid w:val="00256324"/>
    <w:rsid w:val="002568C8"/>
    <w:rsid w:val="00263662"/>
    <w:rsid w:val="00263EDC"/>
    <w:rsid w:val="00265537"/>
    <w:rsid w:val="00272C43"/>
    <w:rsid w:val="00275299"/>
    <w:rsid w:val="00275805"/>
    <w:rsid w:val="002772AF"/>
    <w:rsid w:val="00283851"/>
    <w:rsid w:val="002846C4"/>
    <w:rsid w:val="0028698C"/>
    <w:rsid w:val="00286C38"/>
    <w:rsid w:val="00291B5D"/>
    <w:rsid w:val="00291F72"/>
    <w:rsid w:val="00294A1A"/>
    <w:rsid w:val="0029749E"/>
    <w:rsid w:val="002A169A"/>
    <w:rsid w:val="002A3CC4"/>
    <w:rsid w:val="002A5181"/>
    <w:rsid w:val="002A6575"/>
    <w:rsid w:val="002B1FB3"/>
    <w:rsid w:val="002B439E"/>
    <w:rsid w:val="002B48D7"/>
    <w:rsid w:val="002B5172"/>
    <w:rsid w:val="002B66ED"/>
    <w:rsid w:val="002B7521"/>
    <w:rsid w:val="002C0982"/>
    <w:rsid w:val="002C31C6"/>
    <w:rsid w:val="002C4F74"/>
    <w:rsid w:val="002C7D03"/>
    <w:rsid w:val="002D01C7"/>
    <w:rsid w:val="002D3B5A"/>
    <w:rsid w:val="002D4C3C"/>
    <w:rsid w:val="002D4DFF"/>
    <w:rsid w:val="002E1E50"/>
    <w:rsid w:val="002E301C"/>
    <w:rsid w:val="002E437E"/>
    <w:rsid w:val="002E79DD"/>
    <w:rsid w:val="003035B0"/>
    <w:rsid w:val="00307658"/>
    <w:rsid w:val="00310B8B"/>
    <w:rsid w:val="0031187B"/>
    <w:rsid w:val="00311DAA"/>
    <w:rsid w:val="0031630A"/>
    <w:rsid w:val="003247E5"/>
    <w:rsid w:val="00324B92"/>
    <w:rsid w:val="003250D1"/>
    <w:rsid w:val="00325B63"/>
    <w:rsid w:val="00335DC3"/>
    <w:rsid w:val="0033704E"/>
    <w:rsid w:val="00337C98"/>
    <w:rsid w:val="00340D4C"/>
    <w:rsid w:val="00342E45"/>
    <w:rsid w:val="003432C3"/>
    <w:rsid w:val="00344419"/>
    <w:rsid w:val="00346EF1"/>
    <w:rsid w:val="003478FB"/>
    <w:rsid w:val="003511A2"/>
    <w:rsid w:val="003537A2"/>
    <w:rsid w:val="0035623D"/>
    <w:rsid w:val="00364E3F"/>
    <w:rsid w:val="00367E2A"/>
    <w:rsid w:val="00370224"/>
    <w:rsid w:val="00372722"/>
    <w:rsid w:val="00373489"/>
    <w:rsid w:val="00373816"/>
    <w:rsid w:val="00381F55"/>
    <w:rsid w:val="00382BC4"/>
    <w:rsid w:val="00382DDD"/>
    <w:rsid w:val="00384035"/>
    <w:rsid w:val="00385298"/>
    <w:rsid w:val="003853B9"/>
    <w:rsid w:val="00386C9C"/>
    <w:rsid w:val="00390717"/>
    <w:rsid w:val="0039097B"/>
    <w:rsid w:val="00391D36"/>
    <w:rsid w:val="00394E86"/>
    <w:rsid w:val="003960D9"/>
    <w:rsid w:val="00396A80"/>
    <w:rsid w:val="003A3169"/>
    <w:rsid w:val="003A3329"/>
    <w:rsid w:val="003A5DFA"/>
    <w:rsid w:val="003A7138"/>
    <w:rsid w:val="003C1C53"/>
    <w:rsid w:val="003C4506"/>
    <w:rsid w:val="003C4567"/>
    <w:rsid w:val="003C4AC5"/>
    <w:rsid w:val="003D11EE"/>
    <w:rsid w:val="003D1790"/>
    <w:rsid w:val="003D2713"/>
    <w:rsid w:val="003D2767"/>
    <w:rsid w:val="003D5B23"/>
    <w:rsid w:val="003D5D87"/>
    <w:rsid w:val="003D65C3"/>
    <w:rsid w:val="003D7DC1"/>
    <w:rsid w:val="003E0B35"/>
    <w:rsid w:val="003E1F8C"/>
    <w:rsid w:val="003E2DC5"/>
    <w:rsid w:val="003E3520"/>
    <w:rsid w:val="003E4A9E"/>
    <w:rsid w:val="003E5562"/>
    <w:rsid w:val="003E634C"/>
    <w:rsid w:val="003E703A"/>
    <w:rsid w:val="003F1AD4"/>
    <w:rsid w:val="003F230C"/>
    <w:rsid w:val="003F55DB"/>
    <w:rsid w:val="003F6F8C"/>
    <w:rsid w:val="00400766"/>
    <w:rsid w:val="00401387"/>
    <w:rsid w:val="0040255D"/>
    <w:rsid w:val="00402B6A"/>
    <w:rsid w:val="00403E1D"/>
    <w:rsid w:val="0040627F"/>
    <w:rsid w:val="00407E2B"/>
    <w:rsid w:val="00412A3A"/>
    <w:rsid w:val="004209E1"/>
    <w:rsid w:val="004222EB"/>
    <w:rsid w:val="00423CFA"/>
    <w:rsid w:val="00425133"/>
    <w:rsid w:val="00425726"/>
    <w:rsid w:val="0043014D"/>
    <w:rsid w:val="0043071A"/>
    <w:rsid w:val="00430F8E"/>
    <w:rsid w:val="004317F2"/>
    <w:rsid w:val="00437A5B"/>
    <w:rsid w:val="0044097D"/>
    <w:rsid w:val="004433F7"/>
    <w:rsid w:val="004617DA"/>
    <w:rsid w:val="00462A05"/>
    <w:rsid w:val="00462E04"/>
    <w:rsid w:val="00466E5B"/>
    <w:rsid w:val="00471A82"/>
    <w:rsid w:val="00473C9A"/>
    <w:rsid w:val="004741A4"/>
    <w:rsid w:val="004746A7"/>
    <w:rsid w:val="00474D5C"/>
    <w:rsid w:val="00476173"/>
    <w:rsid w:val="004778EB"/>
    <w:rsid w:val="004807BE"/>
    <w:rsid w:val="00480B72"/>
    <w:rsid w:val="00482B43"/>
    <w:rsid w:val="00483961"/>
    <w:rsid w:val="00484756"/>
    <w:rsid w:val="00485639"/>
    <w:rsid w:val="0048702C"/>
    <w:rsid w:val="00491C2B"/>
    <w:rsid w:val="00492253"/>
    <w:rsid w:val="0049309B"/>
    <w:rsid w:val="0049517A"/>
    <w:rsid w:val="004976C9"/>
    <w:rsid w:val="004A230B"/>
    <w:rsid w:val="004A5463"/>
    <w:rsid w:val="004A6313"/>
    <w:rsid w:val="004B144A"/>
    <w:rsid w:val="004B20CA"/>
    <w:rsid w:val="004B3DD8"/>
    <w:rsid w:val="004C3A3C"/>
    <w:rsid w:val="004C5482"/>
    <w:rsid w:val="004C605C"/>
    <w:rsid w:val="004C68A0"/>
    <w:rsid w:val="004D0EA0"/>
    <w:rsid w:val="004D36C7"/>
    <w:rsid w:val="004D3C86"/>
    <w:rsid w:val="004D7FE8"/>
    <w:rsid w:val="004E16B7"/>
    <w:rsid w:val="004E1742"/>
    <w:rsid w:val="004E422B"/>
    <w:rsid w:val="004E6866"/>
    <w:rsid w:val="004E7BDC"/>
    <w:rsid w:val="004F2064"/>
    <w:rsid w:val="004F5066"/>
    <w:rsid w:val="004F512C"/>
    <w:rsid w:val="004F535D"/>
    <w:rsid w:val="004F6BD8"/>
    <w:rsid w:val="005029B3"/>
    <w:rsid w:val="005071DC"/>
    <w:rsid w:val="00510B9B"/>
    <w:rsid w:val="005130E1"/>
    <w:rsid w:val="0051348E"/>
    <w:rsid w:val="0051420A"/>
    <w:rsid w:val="00516DFF"/>
    <w:rsid w:val="00520113"/>
    <w:rsid w:val="0052013B"/>
    <w:rsid w:val="00522768"/>
    <w:rsid w:val="00522DEA"/>
    <w:rsid w:val="00525ACA"/>
    <w:rsid w:val="005278C0"/>
    <w:rsid w:val="0053133E"/>
    <w:rsid w:val="005348D8"/>
    <w:rsid w:val="00536ED6"/>
    <w:rsid w:val="00540181"/>
    <w:rsid w:val="00544A2A"/>
    <w:rsid w:val="005466C2"/>
    <w:rsid w:val="0055010A"/>
    <w:rsid w:val="00562497"/>
    <w:rsid w:val="00562E18"/>
    <w:rsid w:val="00563E5B"/>
    <w:rsid w:val="00564F12"/>
    <w:rsid w:val="005663E8"/>
    <w:rsid w:val="005701AF"/>
    <w:rsid w:val="00571975"/>
    <w:rsid w:val="00582700"/>
    <w:rsid w:val="00582E26"/>
    <w:rsid w:val="00583CE1"/>
    <w:rsid w:val="00587469"/>
    <w:rsid w:val="00591BCA"/>
    <w:rsid w:val="00592242"/>
    <w:rsid w:val="00595180"/>
    <w:rsid w:val="005955A2"/>
    <w:rsid w:val="005958C9"/>
    <w:rsid w:val="005A4459"/>
    <w:rsid w:val="005B5F63"/>
    <w:rsid w:val="005B5FD4"/>
    <w:rsid w:val="005B7895"/>
    <w:rsid w:val="005C1608"/>
    <w:rsid w:val="005C21FF"/>
    <w:rsid w:val="005C3374"/>
    <w:rsid w:val="005C41D4"/>
    <w:rsid w:val="005C7DE6"/>
    <w:rsid w:val="005D00D7"/>
    <w:rsid w:val="005D70AF"/>
    <w:rsid w:val="005D7916"/>
    <w:rsid w:val="005D7AAA"/>
    <w:rsid w:val="005E0EC8"/>
    <w:rsid w:val="005E39E4"/>
    <w:rsid w:val="005E403D"/>
    <w:rsid w:val="005E40D0"/>
    <w:rsid w:val="005E4960"/>
    <w:rsid w:val="005E5D99"/>
    <w:rsid w:val="005E6F31"/>
    <w:rsid w:val="005F1512"/>
    <w:rsid w:val="005F5F7B"/>
    <w:rsid w:val="00601606"/>
    <w:rsid w:val="00603CA9"/>
    <w:rsid w:val="00604F02"/>
    <w:rsid w:val="00610D41"/>
    <w:rsid w:val="00611E19"/>
    <w:rsid w:val="00615F90"/>
    <w:rsid w:val="00617F08"/>
    <w:rsid w:val="0062096D"/>
    <w:rsid w:val="00625553"/>
    <w:rsid w:val="00631068"/>
    <w:rsid w:val="00637A18"/>
    <w:rsid w:val="00637E64"/>
    <w:rsid w:val="00640845"/>
    <w:rsid w:val="00641E6B"/>
    <w:rsid w:val="00642EB0"/>
    <w:rsid w:val="00647971"/>
    <w:rsid w:val="00651690"/>
    <w:rsid w:val="006530CB"/>
    <w:rsid w:val="006533AF"/>
    <w:rsid w:val="00654676"/>
    <w:rsid w:val="00663AA4"/>
    <w:rsid w:val="00672C02"/>
    <w:rsid w:val="00673F5B"/>
    <w:rsid w:val="006772B3"/>
    <w:rsid w:val="006777FA"/>
    <w:rsid w:val="006804C2"/>
    <w:rsid w:val="00692830"/>
    <w:rsid w:val="00693098"/>
    <w:rsid w:val="00693EFC"/>
    <w:rsid w:val="00694AD0"/>
    <w:rsid w:val="00695EE1"/>
    <w:rsid w:val="006A15DF"/>
    <w:rsid w:val="006A220A"/>
    <w:rsid w:val="006A5A62"/>
    <w:rsid w:val="006A6055"/>
    <w:rsid w:val="006B63C3"/>
    <w:rsid w:val="006C64D4"/>
    <w:rsid w:val="006C6FE2"/>
    <w:rsid w:val="006C7824"/>
    <w:rsid w:val="006D2784"/>
    <w:rsid w:val="006D413E"/>
    <w:rsid w:val="006D5E42"/>
    <w:rsid w:val="006E0B34"/>
    <w:rsid w:val="006E119F"/>
    <w:rsid w:val="006E1E9B"/>
    <w:rsid w:val="006E2578"/>
    <w:rsid w:val="006E34F5"/>
    <w:rsid w:val="006E4F61"/>
    <w:rsid w:val="006F2128"/>
    <w:rsid w:val="006F6B92"/>
    <w:rsid w:val="006F6D82"/>
    <w:rsid w:val="00706B62"/>
    <w:rsid w:val="00707522"/>
    <w:rsid w:val="0071052C"/>
    <w:rsid w:val="00711AB3"/>
    <w:rsid w:val="00712520"/>
    <w:rsid w:val="007254F5"/>
    <w:rsid w:val="00727088"/>
    <w:rsid w:val="00727350"/>
    <w:rsid w:val="00727B83"/>
    <w:rsid w:val="007346B2"/>
    <w:rsid w:val="0073541C"/>
    <w:rsid w:val="007355CD"/>
    <w:rsid w:val="00741FAB"/>
    <w:rsid w:val="00742675"/>
    <w:rsid w:val="00743B3A"/>
    <w:rsid w:val="00744FCB"/>
    <w:rsid w:val="007550C9"/>
    <w:rsid w:val="00755DFF"/>
    <w:rsid w:val="00757784"/>
    <w:rsid w:val="00765455"/>
    <w:rsid w:val="007665A8"/>
    <w:rsid w:val="00772737"/>
    <w:rsid w:val="00773B96"/>
    <w:rsid w:val="00781F92"/>
    <w:rsid w:val="00787505"/>
    <w:rsid w:val="0079226C"/>
    <w:rsid w:val="007A5B75"/>
    <w:rsid w:val="007A6E52"/>
    <w:rsid w:val="007A7AD1"/>
    <w:rsid w:val="007B0145"/>
    <w:rsid w:val="007B1B75"/>
    <w:rsid w:val="007B1EB2"/>
    <w:rsid w:val="007B3E22"/>
    <w:rsid w:val="007B5523"/>
    <w:rsid w:val="007B71B7"/>
    <w:rsid w:val="007B746E"/>
    <w:rsid w:val="007C00D8"/>
    <w:rsid w:val="007C1248"/>
    <w:rsid w:val="007C40E9"/>
    <w:rsid w:val="007C79C1"/>
    <w:rsid w:val="007D01B2"/>
    <w:rsid w:val="007D32E6"/>
    <w:rsid w:val="007E01AC"/>
    <w:rsid w:val="007E3133"/>
    <w:rsid w:val="007E5922"/>
    <w:rsid w:val="007F02B7"/>
    <w:rsid w:val="007F36C1"/>
    <w:rsid w:val="007F5306"/>
    <w:rsid w:val="007F7D98"/>
    <w:rsid w:val="00803D33"/>
    <w:rsid w:val="008045AA"/>
    <w:rsid w:val="008161DC"/>
    <w:rsid w:val="00820A3D"/>
    <w:rsid w:val="00820B22"/>
    <w:rsid w:val="008212CE"/>
    <w:rsid w:val="00825A57"/>
    <w:rsid w:val="0082614B"/>
    <w:rsid w:val="008322CE"/>
    <w:rsid w:val="00835DAE"/>
    <w:rsid w:val="00840ACB"/>
    <w:rsid w:val="008413B6"/>
    <w:rsid w:val="0084203E"/>
    <w:rsid w:val="008473EA"/>
    <w:rsid w:val="008503C6"/>
    <w:rsid w:val="008520FB"/>
    <w:rsid w:val="00852180"/>
    <w:rsid w:val="0085394F"/>
    <w:rsid w:val="00853F56"/>
    <w:rsid w:val="00854C60"/>
    <w:rsid w:val="0085711B"/>
    <w:rsid w:val="00860E26"/>
    <w:rsid w:val="0086177E"/>
    <w:rsid w:val="00861B82"/>
    <w:rsid w:val="008626B3"/>
    <w:rsid w:val="0086381B"/>
    <w:rsid w:val="00866DB9"/>
    <w:rsid w:val="0086791D"/>
    <w:rsid w:val="008771B0"/>
    <w:rsid w:val="008811B2"/>
    <w:rsid w:val="008912D1"/>
    <w:rsid w:val="00894E6F"/>
    <w:rsid w:val="00894E7B"/>
    <w:rsid w:val="00895BF1"/>
    <w:rsid w:val="00897CB6"/>
    <w:rsid w:val="008A1905"/>
    <w:rsid w:val="008A79EC"/>
    <w:rsid w:val="008A7F63"/>
    <w:rsid w:val="008B1883"/>
    <w:rsid w:val="008C07C8"/>
    <w:rsid w:val="008C1A21"/>
    <w:rsid w:val="008C1EE7"/>
    <w:rsid w:val="008C66C5"/>
    <w:rsid w:val="008D110D"/>
    <w:rsid w:val="008D19C4"/>
    <w:rsid w:val="008D1FA4"/>
    <w:rsid w:val="008D2D12"/>
    <w:rsid w:val="008D342B"/>
    <w:rsid w:val="008E0284"/>
    <w:rsid w:val="008E6FB1"/>
    <w:rsid w:val="008F057E"/>
    <w:rsid w:val="008F0773"/>
    <w:rsid w:val="008F2F88"/>
    <w:rsid w:val="008F5D51"/>
    <w:rsid w:val="008F7645"/>
    <w:rsid w:val="0090052E"/>
    <w:rsid w:val="009079D8"/>
    <w:rsid w:val="00911496"/>
    <w:rsid w:val="0091376F"/>
    <w:rsid w:val="00916328"/>
    <w:rsid w:val="00916A79"/>
    <w:rsid w:val="009176EA"/>
    <w:rsid w:val="00923614"/>
    <w:rsid w:val="00924A18"/>
    <w:rsid w:val="00924B08"/>
    <w:rsid w:val="00931A9C"/>
    <w:rsid w:val="00932DA5"/>
    <w:rsid w:val="0093781F"/>
    <w:rsid w:val="00940D00"/>
    <w:rsid w:val="009453C7"/>
    <w:rsid w:val="00946F24"/>
    <w:rsid w:val="009511BF"/>
    <w:rsid w:val="009513B3"/>
    <w:rsid w:val="00951A0B"/>
    <w:rsid w:val="00952C6E"/>
    <w:rsid w:val="00952F72"/>
    <w:rsid w:val="0095754E"/>
    <w:rsid w:val="0096171A"/>
    <w:rsid w:val="00966BF8"/>
    <w:rsid w:val="00973A8F"/>
    <w:rsid w:val="00976446"/>
    <w:rsid w:val="00976BCF"/>
    <w:rsid w:val="00982494"/>
    <w:rsid w:val="00985B2A"/>
    <w:rsid w:val="00987A15"/>
    <w:rsid w:val="00990C4F"/>
    <w:rsid w:val="0099318F"/>
    <w:rsid w:val="00995929"/>
    <w:rsid w:val="009A0D6D"/>
    <w:rsid w:val="009A2053"/>
    <w:rsid w:val="009A374D"/>
    <w:rsid w:val="009A41EA"/>
    <w:rsid w:val="009A4C46"/>
    <w:rsid w:val="009B01D8"/>
    <w:rsid w:val="009B09F7"/>
    <w:rsid w:val="009B10E4"/>
    <w:rsid w:val="009B1B2A"/>
    <w:rsid w:val="009B3FEB"/>
    <w:rsid w:val="009B6BF2"/>
    <w:rsid w:val="009B6F43"/>
    <w:rsid w:val="009C2847"/>
    <w:rsid w:val="009C2C75"/>
    <w:rsid w:val="009C433E"/>
    <w:rsid w:val="009D142A"/>
    <w:rsid w:val="009D1CBA"/>
    <w:rsid w:val="009D2FC8"/>
    <w:rsid w:val="009D3933"/>
    <w:rsid w:val="009D3A3D"/>
    <w:rsid w:val="009D6BE7"/>
    <w:rsid w:val="009E4569"/>
    <w:rsid w:val="009F0620"/>
    <w:rsid w:val="009F0A6E"/>
    <w:rsid w:val="00A038B4"/>
    <w:rsid w:val="00A04265"/>
    <w:rsid w:val="00A05DD0"/>
    <w:rsid w:val="00A076C0"/>
    <w:rsid w:val="00A07AB3"/>
    <w:rsid w:val="00A104BB"/>
    <w:rsid w:val="00A153E8"/>
    <w:rsid w:val="00A15FB5"/>
    <w:rsid w:val="00A16F09"/>
    <w:rsid w:val="00A17D90"/>
    <w:rsid w:val="00A21139"/>
    <w:rsid w:val="00A23DA5"/>
    <w:rsid w:val="00A30D5A"/>
    <w:rsid w:val="00A32934"/>
    <w:rsid w:val="00A405CD"/>
    <w:rsid w:val="00A40EA3"/>
    <w:rsid w:val="00A41931"/>
    <w:rsid w:val="00A421EB"/>
    <w:rsid w:val="00A429C7"/>
    <w:rsid w:val="00A4431D"/>
    <w:rsid w:val="00A5175B"/>
    <w:rsid w:val="00A5390C"/>
    <w:rsid w:val="00A545E5"/>
    <w:rsid w:val="00A547E6"/>
    <w:rsid w:val="00A55208"/>
    <w:rsid w:val="00A5564E"/>
    <w:rsid w:val="00A55FF2"/>
    <w:rsid w:val="00A62AD2"/>
    <w:rsid w:val="00A6491A"/>
    <w:rsid w:val="00A67C2C"/>
    <w:rsid w:val="00A71A82"/>
    <w:rsid w:val="00A71C7A"/>
    <w:rsid w:val="00A73E99"/>
    <w:rsid w:val="00A82EF9"/>
    <w:rsid w:val="00A84DA2"/>
    <w:rsid w:val="00A86332"/>
    <w:rsid w:val="00A905E7"/>
    <w:rsid w:val="00A9098D"/>
    <w:rsid w:val="00A9279E"/>
    <w:rsid w:val="00A92EA9"/>
    <w:rsid w:val="00A94534"/>
    <w:rsid w:val="00A946DE"/>
    <w:rsid w:val="00AA588D"/>
    <w:rsid w:val="00AA6F4D"/>
    <w:rsid w:val="00AA7E27"/>
    <w:rsid w:val="00AB0BAE"/>
    <w:rsid w:val="00AB61DC"/>
    <w:rsid w:val="00AC0D96"/>
    <w:rsid w:val="00AC315B"/>
    <w:rsid w:val="00AC5955"/>
    <w:rsid w:val="00AD0333"/>
    <w:rsid w:val="00AD5D7A"/>
    <w:rsid w:val="00AD69A7"/>
    <w:rsid w:val="00AD6BD2"/>
    <w:rsid w:val="00AD7204"/>
    <w:rsid w:val="00AE328E"/>
    <w:rsid w:val="00AE492F"/>
    <w:rsid w:val="00AE49EE"/>
    <w:rsid w:val="00AE50FC"/>
    <w:rsid w:val="00AE7CCA"/>
    <w:rsid w:val="00AF08D4"/>
    <w:rsid w:val="00AF573B"/>
    <w:rsid w:val="00B022EB"/>
    <w:rsid w:val="00B05DE0"/>
    <w:rsid w:val="00B07A69"/>
    <w:rsid w:val="00B1138B"/>
    <w:rsid w:val="00B12B81"/>
    <w:rsid w:val="00B13F0A"/>
    <w:rsid w:val="00B15E16"/>
    <w:rsid w:val="00B163DA"/>
    <w:rsid w:val="00B17D33"/>
    <w:rsid w:val="00B23A40"/>
    <w:rsid w:val="00B251C1"/>
    <w:rsid w:val="00B260C9"/>
    <w:rsid w:val="00B26E5D"/>
    <w:rsid w:val="00B2725F"/>
    <w:rsid w:val="00B31E85"/>
    <w:rsid w:val="00B32C11"/>
    <w:rsid w:val="00B33B0F"/>
    <w:rsid w:val="00B340A5"/>
    <w:rsid w:val="00B44DD9"/>
    <w:rsid w:val="00B5103E"/>
    <w:rsid w:val="00B5131A"/>
    <w:rsid w:val="00B531B1"/>
    <w:rsid w:val="00B61340"/>
    <w:rsid w:val="00B618B0"/>
    <w:rsid w:val="00B6302D"/>
    <w:rsid w:val="00B6378D"/>
    <w:rsid w:val="00B63E23"/>
    <w:rsid w:val="00B63E32"/>
    <w:rsid w:val="00B64477"/>
    <w:rsid w:val="00B658A9"/>
    <w:rsid w:val="00B6610D"/>
    <w:rsid w:val="00B668A9"/>
    <w:rsid w:val="00B72416"/>
    <w:rsid w:val="00B80CAB"/>
    <w:rsid w:val="00B80E32"/>
    <w:rsid w:val="00B83452"/>
    <w:rsid w:val="00B83F0F"/>
    <w:rsid w:val="00B848E5"/>
    <w:rsid w:val="00B84C70"/>
    <w:rsid w:val="00B86190"/>
    <w:rsid w:val="00B91EEA"/>
    <w:rsid w:val="00B92E3F"/>
    <w:rsid w:val="00B95250"/>
    <w:rsid w:val="00B965DA"/>
    <w:rsid w:val="00B971A8"/>
    <w:rsid w:val="00BA50C7"/>
    <w:rsid w:val="00BA79A3"/>
    <w:rsid w:val="00BB2720"/>
    <w:rsid w:val="00BB4FD6"/>
    <w:rsid w:val="00BB54E6"/>
    <w:rsid w:val="00BC3CD8"/>
    <w:rsid w:val="00BC4C0B"/>
    <w:rsid w:val="00BC5103"/>
    <w:rsid w:val="00BC6D08"/>
    <w:rsid w:val="00BD0C9B"/>
    <w:rsid w:val="00BD1644"/>
    <w:rsid w:val="00BD197E"/>
    <w:rsid w:val="00BD1C00"/>
    <w:rsid w:val="00BD1FA9"/>
    <w:rsid w:val="00BD6A58"/>
    <w:rsid w:val="00BD7580"/>
    <w:rsid w:val="00BE2208"/>
    <w:rsid w:val="00BE2E3D"/>
    <w:rsid w:val="00BE593D"/>
    <w:rsid w:val="00BF0B48"/>
    <w:rsid w:val="00BF1AB3"/>
    <w:rsid w:val="00BF4E2C"/>
    <w:rsid w:val="00BF785A"/>
    <w:rsid w:val="00BF7CB1"/>
    <w:rsid w:val="00C153C2"/>
    <w:rsid w:val="00C201BE"/>
    <w:rsid w:val="00C2459C"/>
    <w:rsid w:val="00C31653"/>
    <w:rsid w:val="00C34BBF"/>
    <w:rsid w:val="00C36CC4"/>
    <w:rsid w:val="00C40950"/>
    <w:rsid w:val="00C4272F"/>
    <w:rsid w:val="00C44554"/>
    <w:rsid w:val="00C45B3A"/>
    <w:rsid w:val="00C46159"/>
    <w:rsid w:val="00C47147"/>
    <w:rsid w:val="00C47FDA"/>
    <w:rsid w:val="00C53E10"/>
    <w:rsid w:val="00C558AA"/>
    <w:rsid w:val="00C561C7"/>
    <w:rsid w:val="00C61089"/>
    <w:rsid w:val="00C6415B"/>
    <w:rsid w:val="00C649B3"/>
    <w:rsid w:val="00C64D97"/>
    <w:rsid w:val="00C67D06"/>
    <w:rsid w:val="00C71E81"/>
    <w:rsid w:val="00C72096"/>
    <w:rsid w:val="00C73677"/>
    <w:rsid w:val="00C746A9"/>
    <w:rsid w:val="00C75BB1"/>
    <w:rsid w:val="00C7751C"/>
    <w:rsid w:val="00C80968"/>
    <w:rsid w:val="00C82C96"/>
    <w:rsid w:val="00C840D9"/>
    <w:rsid w:val="00C85E78"/>
    <w:rsid w:val="00C90428"/>
    <w:rsid w:val="00C92EF2"/>
    <w:rsid w:val="00C94D97"/>
    <w:rsid w:val="00C9745A"/>
    <w:rsid w:val="00C97642"/>
    <w:rsid w:val="00CA1FB9"/>
    <w:rsid w:val="00CA4AF6"/>
    <w:rsid w:val="00CA4E54"/>
    <w:rsid w:val="00CB03DC"/>
    <w:rsid w:val="00CB0EBC"/>
    <w:rsid w:val="00CB2ADC"/>
    <w:rsid w:val="00CB393E"/>
    <w:rsid w:val="00CB3A1C"/>
    <w:rsid w:val="00CC5862"/>
    <w:rsid w:val="00CD61ED"/>
    <w:rsid w:val="00CE1472"/>
    <w:rsid w:val="00CE2040"/>
    <w:rsid w:val="00CE6E71"/>
    <w:rsid w:val="00CF0F11"/>
    <w:rsid w:val="00CF39B4"/>
    <w:rsid w:val="00CF4438"/>
    <w:rsid w:val="00CF475A"/>
    <w:rsid w:val="00CF4A00"/>
    <w:rsid w:val="00D034B2"/>
    <w:rsid w:val="00D03B02"/>
    <w:rsid w:val="00D05730"/>
    <w:rsid w:val="00D078BE"/>
    <w:rsid w:val="00D11C5B"/>
    <w:rsid w:val="00D1237D"/>
    <w:rsid w:val="00D12511"/>
    <w:rsid w:val="00D12B53"/>
    <w:rsid w:val="00D14E3C"/>
    <w:rsid w:val="00D15935"/>
    <w:rsid w:val="00D16F33"/>
    <w:rsid w:val="00D22FC3"/>
    <w:rsid w:val="00D2407B"/>
    <w:rsid w:val="00D25974"/>
    <w:rsid w:val="00D25F83"/>
    <w:rsid w:val="00D279ED"/>
    <w:rsid w:val="00D313A0"/>
    <w:rsid w:val="00D319FA"/>
    <w:rsid w:val="00D33D8B"/>
    <w:rsid w:val="00D345EB"/>
    <w:rsid w:val="00D34985"/>
    <w:rsid w:val="00D35677"/>
    <w:rsid w:val="00D40940"/>
    <w:rsid w:val="00D41E44"/>
    <w:rsid w:val="00D5228C"/>
    <w:rsid w:val="00D530C6"/>
    <w:rsid w:val="00D536F8"/>
    <w:rsid w:val="00D55DF4"/>
    <w:rsid w:val="00D61958"/>
    <w:rsid w:val="00D726B4"/>
    <w:rsid w:val="00D73819"/>
    <w:rsid w:val="00D73C20"/>
    <w:rsid w:val="00D73D6A"/>
    <w:rsid w:val="00D752D4"/>
    <w:rsid w:val="00D76D3E"/>
    <w:rsid w:val="00D77DCF"/>
    <w:rsid w:val="00D807A0"/>
    <w:rsid w:val="00D822D6"/>
    <w:rsid w:val="00D83EC7"/>
    <w:rsid w:val="00D84E89"/>
    <w:rsid w:val="00D860DC"/>
    <w:rsid w:val="00D91A77"/>
    <w:rsid w:val="00DA0F27"/>
    <w:rsid w:val="00DA39EE"/>
    <w:rsid w:val="00DB0E30"/>
    <w:rsid w:val="00DB2E66"/>
    <w:rsid w:val="00DB34D8"/>
    <w:rsid w:val="00DB5F53"/>
    <w:rsid w:val="00DB6C17"/>
    <w:rsid w:val="00DC0753"/>
    <w:rsid w:val="00DC705D"/>
    <w:rsid w:val="00DD3EE5"/>
    <w:rsid w:val="00DD7B5A"/>
    <w:rsid w:val="00DE0866"/>
    <w:rsid w:val="00DE7AF2"/>
    <w:rsid w:val="00DF2C5B"/>
    <w:rsid w:val="00DF4B45"/>
    <w:rsid w:val="00E00F68"/>
    <w:rsid w:val="00E0143E"/>
    <w:rsid w:val="00E02CCB"/>
    <w:rsid w:val="00E03285"/>
    <w:rsid w:val="00E0623D"/>
    <w:rsid w:val="00E10411"/>
    <w:rsid w:val="00E11166"/>
    <w:rsid w:val="00E11481"/>
    <w:rsid w:val="00E120AA"/>
    <w:rsid w:val="00E12AC8"/>
    <w:rsid w:val="00E13F38"/>
    <w:rsid w:val="00E17340"/>
    <w:rsid w:val="00E17811"/>
    <w:rsid w:val="00E24513"/>
    <w:rsid w:val="00E2609B"/>
    <w:rsid w:val="00E2642F"/>
    <w:rsid w:val="00E31524"/>
    <w:rsid w:val="00E31A76"/>
    <w:rsid w:val="00E33254"/>
    <w:rsid w:val="00E34CCD"/>
    <w:rsid w:val="00E40362"/>
    <w:rsid w:val="00E41913"/>
    <w:rsid w:val="00E42589"/>
    <w:rsid w:val="00E46AC0"/>
    <w:rsid w:val="00E47903"/>
    <w:rsid w:val="00E50437"/>
    <w:rsid w:val="00E52DD8"/>
    <w:rsid w:val="00E60F45"/>
    <w:rsid w:val="00E61B7D"/>
    <w:rsid w:val="00E64F1E"/>
    <w:rsid w:val="00E667F5"/>
    <w:rsid w:val="00E67D99"/>
    <w:rsid w:val="00E7030C"/>
    <w:rsid w:val="00E72AD9"/>
    <w:rsid w:val="00E80B7B"/>
    <w:rsid w:val="00E8152E"/>
    <w:rsid w:val="00E8667B"/>
    <w:rsid w:val="00E90034"/>
    <w:rsid w:val="00E937D3"/>
    <w:rsid w:val="00E95329"/>
    <w:rsid w:val="00E95CC4"/>
    <w:rsid w:val="00EA1904"/>
    <w:rsid w:val="00EA281B"/>
    <w:rsid w:val="00EA4865"/>
    <w:rsid w:val="00EA4D61"/>
    <w:rsid w:val="00EA60A7"/>
    <w:rsid w:val="00EA6136"/>
    <w:rsid w:val="00EA7AFC"/>
    <w:rsid w:val="00EB6005"/>
    <w:rsid w:val="00EB65CD"/>
    <w:rsid w:val="00EB7039"/>
    <w:rsid w:val="00EB75A1"/>
    <w:rsid w:val="00EC6A9A"/>
    <w:rsid w:val="00EC75AF"/>
    <w:rsid w:val="00EC798D"/>
    <w:rsid w:val="00EC7F05"/>
    <w:rsid w:val="00ED0897"/>
    <w:rsid w:val="00ED0F87"/>
    <w:rsid w:val="00ED6159"/>
    <w:rsid w:val="00ED6863"/>
    <w:rsid w:val="00EE064D"/>
    <w:rsid w:val="00EE1172"/>
    <w:rsid w:val="00EE1AE6"/>
    <w:rsid w:val="00EE6059"/>
    <w:rsid w:val="00EE783D"/>
    <w:rsid w:val="00EF0ADC"/>
    <w:rsid w:val="00EF1732"/>
    <w:rsid w:val="00EF1F5E"/>
    <w:rsid w:val="00EF3B51"/>
    <w:rsid w:val="00EF65FE"/>
    <w:rsid w:val="00EF6C98"/>
    <w:rsid w:val="00EF6FF3"/>
    <w:rsid w:val="00F0150B"/>
    <w:rsid w:val="00F03828"/>
    <w:rsid w:val="00F06F8D"/>
    <w:rsid w:val="00F07626"/>
    <w:rsid w:val="00F14F81"/>
    <w:rsid w:val="00F16242"/>
    <w:rsid w:val="00F16FC0"/>
    <w:rsid w:val="00F17A96"/>
    <w:rsid w:val="00F20D72"/>
    <w:rsid w:val="00F31EEF"/>
    <w:rsid w:val="00F403B2"/>
    <w:rsid w:val="00F41A31"/>
    <w:rsid w:val="00F44FE6"/>
    <w:rsid w:val="00F45236"/>
    <w:rsid w:val="00F46E9F"/>
    <w:rsid w:val="00F471D3"/>
    <w:rsid w:val="00F501FD"/>
    <w:rsid w:val="00F538FE"/>
    <w:rsid w:val="00F56BFC"/>
    <w:rsid w:val="00F62A3D"/>
    <w:rsid w:val="00F64656"/>
    <w:rsid w:val="00F65C18"/>
    <w:rsid w:val="00F671BC"/>
    <w:rsid w:val="00F71D58"/>
    <w:rsid w:val="00F725C1"/>
    <w:rsid w:val="00F73485"/>
    <w:rsid w:val="00F73E05"/>
    <w:rsid w:val="00F806AF"/>
    <w:rsid w:val="00F846B8"/>
    <w:rsid w:val="00F85AF3"/>
    <w:rsid w:val="00F85FEE"/>
    <w:rsid w:val="00F9040F"/>
    <w:rsid w:val="00F90867"/>
    <w:rsid w:val="00F910EE"/>
    <w:rsid w:val="00F91215"/>
    <w:rsid w:val="00F917FC"/>
    <w:rsid w:val="00F925F7"/>
    <w:rsid w:val="00F92E9B"/>
    <w:rsid w:val="00F9382B"/>
    <w:rsid w:val="00F96DC1"/>
    <w:rsid w:val="00F96FB1"/>
    <w:rsid w:val="00F9794E"/>
    <w:rsid w:val="00FA1077"/>
    <w:rsid w:val="00FB2287"/>
    <w:rsid w:val="00FB24D7"/>
    <w:rsid w:val="00FB2871"/>
    <w:rsid w:val="00FB6660"/>
    <w:rsid w:val="00FC4817"/>
    <w:rsid w:val="00FC62B5"/>
    <w:rsid w:val="00FC6E70"/>
    <w:rsid w:val="00FD5968"/>
    <w:rsid w:val="00FD5AA3"/>
    <w:rsid w:val="00FE214C"/>
    <w:rsid w:val="00FE243A"/>
    <w:rsid w:val="00FE2F4A"/>
    <w:rsid w:val="00FE33EA"/>
    <w:rsid w:val="00FE35A5"/>
    <w:rsid w:val="00FE681E"/>
    <w:rsid w:val="00FE70DB"/>
    <w:rsid w:val="00FF11C5"/>
    <w:rsid w:val="00FF2068"/>
    <w:rsid w:val="00FF2207"/>
    <w:rsid w:val="00FF27B1"/>
    <w:rsid w:val="00FF481A"/>
    <w:rsid w:val="00FF7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E1474"/>
  <w15:docId w15:val="{B6BA8789-41F7-4FBD-890A-DE3556BC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FA9"/>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B31E85"/>
    <w:pPr>
      <w:keepNext/>
      <w:keepLines/>
      <w:spacing w:before="240"/>
      <w:outlineLvl w:val="0"/>
    </w:pPr>
    <w:rPr>
      <w:rFonts w:eastAsiaTheme="majorEastAsia"/>
      <w:b/>
      <w:bCs/>
      <w:color w:val="06926B"/>
      <w:sz w:val="32"/>
      <w:szCs w:val="32"/>
    </w:rPr>
  </w:style>
  <w:style w:type="paragraph" w:styleId="Heading2">
    <w:name w:val="heading 2"/>
    <w:basedOn w:val="Normal"/>
    <w:next w:val="Normal"/>
    <w:link w:val="Heading2Char"/>
    <w:uiPriority w:val="9"/>
    <w:unhideWhenUsed/>
    <w:qFormat/>
    <w:rsid w:val="00B31E85"/>
    <w:pPr>
      <w:outlineLvl w:val="1"/>
    </w:pPr>
    <w:rPr>
      <w:b/>
      <w:bCs/>
    </w:rPr>
  </w:style>
  <w:style w:type="paragraph" w:styleId="Heading3">
    <w:name w:val="heading 3"/>
    <w:basedOn w:val="Normal"/>
    <w:next w:val="Normal"/>
    <w:link w:val="Heading3Char"/>
    <w:uiPriority w:val="9"/>
    <w:unhideWhenUsed/>
    <w:qFormat/>
    <w:rsid w:val="000A06E2"/>
    <w:pPr>
      <w:keepNext/>
      <w:keepLines/>
      <w:spacing w:before="40"/>
      <w:outlineLvl w:val="2"/>
    </w:pPr>
    <w:rPr>
      <w:rFonts w:eastAsiaTheme="majorEastAsia"/>
      <w:color w:val="4FC0EA"/>
      <w:sz w:val="24"/>
      <w:szCs w:val="24"/>
    </w:rPr>
  </w:style>
  <w:style w:type="paragraph" w:styleId="Heading4">
    <w:name w:val="heading 4"/>
    <w:basedOn w:val="Normal"/>
    <w:next w:val="Normal"/>
    <w:link w:val="Heading4Char"/>
    <w:uiPriority w:val="9"/>
    <w:unhideWhenUsed/>
    <w:qFormat/>
    <w:rsid w:val="00B31E85"/>
    <w:pPr>
      <w:keepNext/>
      <w:keepLines/>
      <w:spacing w:before="40"/>
      <w:outlineLvl w:val="3"/>
    </w:pPr>
    <w:rPr>
      <w:rFonts w:eastAsiaTheme="majorEastAsia"/>
      <w:i/>
      <w:iCs/>
    </w:rPr>
  </w:style>
  <w:style w:type="paragraph" w:styleId="Heading5">
    <w:name w:val="heading 5"/>
    <w:basedOn w:val="Normal"/>
    <w:next w:val="Normal"/>
    <w:link w:val="Heading5Char"/>
    <w:uiPriority w:val="9"/>
    <w:unhideWhenUsed/>
    <w:qFormat/>
    <w:rsid w:val="00B31E85"/>
    <w:pPr>
      <w:keepNext/>
      <w:keepLines/>
      <w:spacing w:before="40"/>
      <w:outlineLvl w:val="4"/>
    </w:pPr>
    <w:rPr>
      <w:rFonts w:eastAsiaTheme="majorEastAsia"/>
    </w:rPr>
  </w:style>
  <w:style w:type="paragraph" w:styleId="Heading6">
    <w:name w:val="heading 6"/>
    <w:basedOn w:val="Normal"/>
    <w:next w:val="Normal"/>
    <w:link w:val="Heading6Char"/>
    <w:uiPriority w:val="9"/>
    <w:unhideWhenUsed/>
    <w:qFormat/>
    <w:rsid w:val="00B31E85"/>
    <w:pPr>
      <w:keepNext/>
      <w:keepLines/>
      <w:spacing w:before="40"/>
      <w:outlineLvl w:val="5"/>
    </w:pPr>
    <w:rPr>
      <w:rFonts w:eastAsiaTheme="majorEastAsia"/>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1913"/>
    <w:rPr>
      <w:color w:val="0000FF"/>
      <w:u w:val="single"/>
    </w:rPr>
  </w:style>
  <w:style w:type="paragraph" w:styleId="BalloonText">
    <w:name w:val="Balloon Text"/>
    <w:basedOn w:val="Normal"/>
    <w:link w:val="BalloonTextChar"/>
    <w:uiPriority w:val="99"/>
    <w:semiHidden/>
    <w:unhideWhenUsed/>
    <w:rsid w:val="00E41913"/>
    <w:rPr>
      <w:rFonts w:ascii="Tahoma" w:hAnsi="Tahoma" w:cs="Tahoma"/>
      <w:sz w:val="16"/>
      <w:szCs w:val="16"/>
    </w:rPr>
  </w:style>
  <w:style w:type="character" w:customStyle="1" w:styleId="BalloonTextChar">
    <w:name w:val="Balloon Text Char"/>
    <w:basedOn w:val="DefaultParagraphFont"/>
    <w:link w:val="BalloonText"/>
    <w:uiPriority w:val="99"/>
    <w:semiHidden/>
    <w:rsid w:val="00E41913"/>
    <w:rPr>
      <w:rFonts w:ascii="Tahoma" w:hAnsi="Tahoma" w:cs="Tahoma"/>
      <w:sz w:val="16"/>
      <w:szCs w:val="16"/>
    </w:rPr>
  </w:style>
  <w:style w:type="paragraph" w:styleId="Header">
    <w:name w:val="header"/>
    <w:basedOn w:val="Normal"/>
    <w:link w:val="HeaderChar"/>
    <w:uiPriority w:val="99"/>
    <w:unhideWhenUsed/>
    <w:rsid w:val="00124D3A"/>
    <w:pPr>
      <w:tabs>
        <w:tab w:val="center" w:pos="4513"/>
        <w:tab w:val="right" w:pos="9026"/>
      </w:tabs>
    </w:pPr>
  </w:style>
  <w:style w:type="character" w:customStyle="1" w:styleId="HeaderChar">
    <w:name w:val="Header Char"/>
    <w:basedOn w:val="DefaultParagraphFont"/>
    <w:link w:val="Header"/>
    <w:uiPriority w:val="99"/>
    <w:rsid w:val="00124D3A"/>
    <w:rPr>
      <w:rFonts w:ascii="Calibri" w:hAnsi="Calibri" w:cs="Times New Roman"/>
    </w:rPr>
  </w:style>
  <w:style w:type="paragraph" w:styleId="Footer">
    <w:name w:val="footer"/>
    <w:basedOn w:val="Normal"/>
    <w:link w:val="FooterChar"/>
    <w:unhideWhenUsed/>
    <w:rsid w:val="00124D3A"/>
    <w:pPr>
      <w:tabs>
        <w:tab w:val="center" w:pos="4513"/>
        <w:tab w:val="right" w:pos="9026"/>
      </w:tabs>
    </w:pPr>
  </w:style>
  <w:style w:type="character" w:customStyle="1" w:styleId="FooterChar">
    <w:name w:val="Footer Char"/>
    <w:basedOn w:val="DefaultParagraphFont"/>
    <w:link w:val="Footer"/>
    <w:uiPriority w:val="99"/>
    <w:rsid w:val="00124D3A"/>
    <w:rPr>
      <w:rFonts w:ascii="Calibri" w:hAnsi="Calibri" w:cs="Times New Roman"/>
    </w:rPr>
  </w:style>
  <w:style w:type="paragraph" w:styleId="BodyText">
    <w:name w:val="Body Text"/>
    <w:basedOn w:val="Normal"/>
    <w:link w:val="BodyTextChar"/>
    <w:uiPriority w:val="1"/>
    <w:qFormat/>
    <w:rsid w:val="00640845"/>
    <w:pPr>
      <w:widowControl w:val="0"/>
      <w:autoSpaceDE w:val="0"/>
      <w:autoSpaceDN w:val="0"/>
    </w:pPr>
    <w:rPr>
      <w:rFonts w:ascii="FuturaPT-Light" w:eastAsia="FuturaPT-Light" w:hAnsi="FuturaPT-Light" w:cs="FuturaPT-Light"/>
      <w:sz w:val="20"/>
      <w:szCs w:val="20"/>
      <w:lang w:val="en-US"/>
    </w:rPr>
  </w:style>
  <w:style w:type="character" w:customStyle="1" w:styleId="BodyTextChar">
    <w:name w:val="Body Text Char"/>
    <w:basedOn w:val="DefaultParagraphFont"/>
    <w:link w:val="BodyText"/>
    <w:uiPriority w:val="1"/>
    <w:rsid w:val="00640845"/>
    <w:rPr>
      <w:rFonts w:ascii="FuturaPT-Light" w:eastAsia="FuturaPT-Light" w:hAnsi="FuturaPT-Light" w:cs="FuturaPT-Light"/>
      <w:sz w:val="20"/>
      <w:szCs w:val="20"/>
      <w:lang w:val="en-US"/>
    </w:rPr>
  </w:style>
  <w:style w:type="character" w:customStyle="1" w:styleId="Heading1Char">
    <w:name w:val="Heading 1 Char"/>
    <w:basedOn w:val="DefaultParagraphFont"/>
    <w:link w:val="Heading1"/>
    <w:uiPriority w:val="9"/>
    <w:rsid w:val="00B31E85"/>
    <w:rPr>
      <w:rFonts w:ascii="Open Sans" w:eastAsiaTheme="majorEastAsia" w:hAnsi="Open Sans" w:cs="Open Sans"/>
      <w:b/>
      <w:bCs/>
      <w:color w:val="06926B"/>
      <w:sz w:val="32"/>
      <w:szCs w:val="32"/>
    </w:rPr>
  </w:style>
  <w:style w:type="character" w:customStyle="1" w:styleId="Heading2Char">
    <w:name w:val="Heading 2 Char"/>
    <w:basedOn w:val="DefaultParagraphFont"/>
    <w:link w:val="Heading2"/>
    <w:uiPriority w:val="9"/>
    <w:rsid w:val="00B31E85"/>
    <w:rPr>
      <w:rFonts w:ascii="Open Sans" w:hAnsi="Open Sans" w:cs="Open Sans"/>
      <w:b/>
      <w:bCs/>
    </w:rPr>
  </w:style>
  <w:style w:type="paragraph" w:styleId="NoSpacing">
    <w:name w:val="No Spacing"/>
    <w:uiPriority w:val="1"/>
    <w:qFormat/>
    <w:rsid w:val="00087B96"/>
    <w:pPr>
      <w:spacing w:after="0" w:line="240" w:lineRule="auto"/>
    </w:pPr>
    <w:rPr>
      <w:rFonts w:ascii="Open Sans" w:hAnsi="Open Sans" w:cs="Open Sans"/>
    </w:rPr>
  </w:style>
  <w:style w:type="character" w:customStyle="1" w:styleId="Heading3Char">
    <w:name w:val="Heading 3 Char"/>
    <w:basedOn w:val="DefaultParagraphFont"/>
    <w:link w:val="Heading3"/>
    <w:uiPriority w:val="9"/>
    <w:rsid w:val="000A06E2"/>
    <w:rPr>
      <w:rFonts w:ascii="Open Sans" w:eastAsiaTheme="majorEastAsia" w:hAnsi="Open Sans" w:cs="Open Sans"/>
      <w:color w:val="4FC0EA"/>
      <w:sz w:val="24"/>
      <w:szCs w:val="24"/>
    </w:rPr>
  </w:style>
  <w:style w:type="character" w:customStyle="1" w:styleId="Heading4Char">
    <w:name w:val="Heading 4 Char"/>
    <w:basedOn w:val="DefaultParagraphFont"/>
    <w:link w:val="Heading4"/>
    <w:uiPriority w:val="9"/>
    <w:rsid w:val="00B31E85"/>
    <w:rPr>
      <w:rFonts w:ascii="Open Sans" w:eastAsiaTheme="majorEastAsia" w:hAnsi="Open Sans" w:cs="Open Sans"/>
      <w:i/>
      <w:iCs/>
    </w:rPr>
  </w:style>
  <w:style w:type="character" w:customStyle="1" w:styleId="Heading5Char">
    <w:name w:val="Heading 5 Char"/>
    <w:basedOn w:val="DefaultParagraphFont"/>
    <w:link w:val="Heading5"/>
    <w:uiPriority w:val="9"/>
    <w:rsid w:val="00B31E85"/>
    <w:rPr>
      <w:rFonts w:ascii="Open Sans" w:eastAsiaTheme="majorEastAsia" w:hAnsi="Open Sans" w:cs="Open Sans"/>
    </w:rPr>
  </w:style>
  <w:style w:type="character" w:customStyle="1" w:styleId="Heading6Char">
    <w:name w:val="Heading 6 Char"/>
    <w:basedOn w:val="DefaultParagraphFont"/>
    <w:link w:val="Heading6"/>
    <w:uiPriority w:val="9"/>
    <w:rsid w:val="00B31E85"/>
    <w:rPr>
      <w:rFonts w:ascii="Open Sans" w:eastAsiaTheme="majorEastAsia" w:hAnsi="Open Sans" w:cs="Open Sans"/>
      <w:color w:val="243F60" w:themeColor="accent1" w:themeShade="7F"/>
    </w:rPr>
  </w:style>
  <w:style w:type="paragraph" w:styleId="ListParagraph">
    <w:name w:val="List Paragraph"/>
    <w:basedOn w:val="Normal"/>
    <w:uiPriority w:val="34"/>
    <w:qFormat/>
    <w:rsid w:val="00F16242"/>
    <w:pPr>
      <w:ind w:left="720"/>
      <w:contextualSpacing/>
    </w:pPr>
  </w:style>
  <w:style w:type="paragraph" w:styleId="NormalWeb">
    <w:name w:val="Normal (Web)"/>
    <w:basedOn w:val="Normal"/>
    <w:uiPriority w:val="99"/>
    <w:unhideWhenUsed/>
    <w:rsid w:val="009C2C75"/>
    <w:pPr>
      <w:spacing w:before="100" w:beforeAutospacing="1" w:after="100" w:afterAutospacing="1"/>
    </w:pPr>
    <w:rPr>
      <w:rFonts w:ascii="Times New Roman" w:eastAsia="Times New Roman" w:hAnsi="Times New Roman"/>
      <w:sz w:val="24"/>
      <w:szCs w:val="24"/>
      <w:lang w:val="en-US"/>
    </w:rPr>
  </w:style>
  <w:style w:type="paragraph" w:styleId="FootnoteText">
    <w:name w:val="footnote text"/>
    <w:basedOn w:val="Normal"/>
    <w:link w:val="FootnoteTextChar"/>
    <w:uiPriority w:val="99"/>
    <w:semiHidden/>
    <w:unhideWhenUsed/>
    <w:rsid w:val="00F910EE"/>
    <w:rPr>
      <w:sz w:val="20"/>
      <w:szCs w:val="20"/>
    </w:rPr>
  </w:style>
  <w:style w:type="character" w:customStyle="1" w:styleId="FootnoteTextChar">
    <w:name w:val="Footnote Text Char"/>
    <w:basedOn w:val="DefaultParagraphFont"/>
    <w:link w:val="FootnoteText"/>
    <w:uiPriority w:val="99"/>
    <w:semiHidden/>
    <w:rsid w:val="00F910EE"/>
    <w:rPr>
      <w:rFonts w:ascii="Calibri" w:hAnsi="Calibri" w:cs="Times New Roman"/>
      <w:sz w:val="20"/>
      <w:szCs w:val="20"/>
    </w:rPr>
  </w:style>
  <w:style w:type="character" w:styleId="FootnoteReference">
    <w:name w:val="footnote reference"/>
    <w:basedOn w:val="DefaultParagraphFont"/>
    <w:uiPriority w:val="99"/>
    <w:semiHidden/>
    <w:unhideWhenUsed/>
    <w:rsid w:val="00F910EE"/>
    <w:rPr>
      <w:vertAlign w:val="superscript"/>
    </w:rPr>
  </w:style>
  <w:style w:type="character" w:styleId="UnresolvedMention">
    <w:name w:val="Unresolved Mention"/>
    <w:basedOn w:val="DefaultParagraphFont"/>
    <w:uiPriority w:val="99"/>
    <w:semiHidden/>
    <w:unhideWhenUsed/>
    <w:rsid w:val="00EC6A9A"/>
    <w:rPr>
      <w:color w:val="605E5C"/>
      <w:shd w:val="clear" w:color="auto" w:fill="E1DFDD"/>
    </w:rPr>
  </w:style>
  <w:style w:type="character" w:styleId="CommentReference">
    <w:name w:val="annotation reference"/>
    <w:basedOn w:val="DefaultParagraphFont"/>
    <w:uiPriority w:val="99"/>
    <w:semiHidden/>
    <w:unhideWhenUsed/>
    <w:rsid w:val="005B7895"/>
    <w:rPr>
      <w:sz w:val="16"/>
      <w:szCs w:val="16"/>
    </w:rPr>
  </w:style>
  <w:style w:type="paragraph" w:styleId="CommentText">
    <w:name w:val="annotation text"/>
    <w:basedOn w:val="Normal"/>
    <w:link w:val="CommentTextChar"/>
    <w:uiPriority w:val="99"/>
    <w:unhideWhenUsed/>
    <w:rsid w:val="005B7895"/>
    <w:rPr>
      <w:sz w:val="20"/>
      <w:szCs w:val="20"/>
    </w:rPr>
  </w:style>
  <w:style w:type="character" w:customStyle="1" w:styleId="CommentTextChar">
    <w:name w:val="Comment Text Char"/>
    <w:basedOn w:val="DefaultParagraphFont"/>
    <w:link w:val="CommentText"/>
    <w:uiPriority w:val="99"/>
    <w:rsid w:val="005B789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B7895"/>
    <w:rPr>
      <w:b/>
      <w:bCs/>
    </w:rPr>
  </w:style>
  <w:style w:type="character" w:customStyle="1" w:styleId="CommentSubjectChar">
    <w:name w:val="Comment Subject Char"/>
    <w:basedOn w:val="CommentTextChar"/>
    <w:link w:val="CommentSubject"/>
    <w:uiPriority w:val="99"/>
    <w:semiHidden/>
    <w:rsid w:val="005B7895"/>
    <w:rPr>
      <w:rFonts w:ascii="Calibri" w:hAnsi="Calibri" w:cs="Times New Roman"/>
      <w:b/>
      <w:bCs/>
      <w:sz w:val="20"/>
      <w:szCs w:val="20"/>
    </w:rPr>
  </w:style>
  <w:style w:type="paragraph" w:styleId="Revision">
    <w:name w:val="Revision"/>
    <w:hidden/>
    <w:uiPriority w:val="99"/>
    <w:semiHidden/>
    <w:rsid w:val="00E67D99"/>
    <w:pPr>
      <w:spacing w:after="0" w:line="240" w:lineRule="auto"/>
    </w:pPr>
    <w:rPr>
      <w:rFonts w:ascii="Calibri" w:hAnsi="Calibri" w:cs="Times New Roman"/>
    </w:rPr>
  </w:style>
  <w:style w:type="character" w:styleId="Mention">
    <w:name w:val="Mention"/>
    <w:basedOn w:val="DefaultParagraphFont"/>
    <w:uiPriority w:val="99"/>
    <w:unhideWhenUsed/>
    <w:rsid w:val="00ED61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046280">
      <w:bodyDiv w:val="1"/>
      <w:marLeft w:val="0"/>
      <w:marRight w:val="0"/>
      <w:marTop w:val="0"/>
      <w:marBottom w:val="0"/>
      <w:divBdr>
        <w:top w:val="none" w:sz="0" w:space="0" w:color="auto"/>
        <w:left w:val="none" w:sz="0" w:space="0" w:color="auto"/>
        <w:bottom w:val="none" w:sz="0" w:space="0" w:color="auto"/>
        <w:right w:val="none" w:sz="0" w:space="0" w:color="auto"/>
      </w:divBdr>
    </w:div>
    <w:div w:id="221793659">
      <w:bodyDiv w:val="1"/>
      <w:marLeft w:val="0"/>
      <w:marRight w:val="0"/>
      <w:marTop w:val="0"/>
      <w:marBottom w:val="0"/>
      <w:divBdr>
        <w:top w:val="none" w:sz="0" w:space="0" w:color="auto"/>
        <w:left w:val="none" w:sz="0" w:space="0" w:color="auto"/>
        <w:bottom w:val="none" w:sz="0" w:space="0" w:color="auto"/>
        <w:right w:val="none" w:sz="0" w:space="0" w:color="auto"/>
      </w:divBdr>
    </w:div>
    <w:div w:id="927469078">
      <w:bodyDiv w:val="1"/>
      <w:marLeft w:val="0"/>
      <w:marRight w:val="0"/>
      <w:marTop w:val="0"/>
      <w:marBottom w:val="0"/>
      <w:divBdr>
        <w:top w:val="none" w:sz="0" w:space="0" w:color="auto"/>
        <w:left w:val="none" w:sz="0" w:space="0" w:color="auto"/>
        <w:bottom w:val="none" w:sz="0" w:space="0" w:color="auto"/>
        <w:right w:val="none" w:sz="0" w:space="0" w:color="auto"/>
      </w:divBdr>
    </w:div>
    <w:div w:id="1048914186">
      <w:bodyDiv w:val="1"/>
      <w:marLeft w:val="0"/>
      <w:marRight w:val="0"/>
      <w:marTop w:val="0"/>
      <w:marBottom w:val="0"/>
      <w:divBdr>
        <w:top w:val="none" w:sz="0" w:space="0" w:color="auto"/>
        <w:left w:val="none" w:sz="0" w:space="0" w:color="auto"/>
        <w:bottom w:val="none" w:sz="0" w:space="0" w:color="auto"/>
        <w:right w:val="none" w:sz="0" w:space="0" w:color="auto"/>
      </w:divBdr>
    </w:div>
    <w:div w:id="1505240105">
      <w:bodyDiv w:val="1"/>
      <w:marLeft w:val="0"/>
      <w:marRight w:val="0"/>
      <w:marTop w:val="0"/>
      <w:marBottom w:val="0"/>
      <w:divBdr>
        <w:top w:val="none" w:sz="0" w:space="0" w:color="auto"/>
        <w:left w:val="none" w:sz="0" w:space="0" w:color="auto"/>
        <w:bottom w:val="none" w:sz="0" w:space="0" w:color="auto"/>
        <w:right w:val="none" w:sz="0" w:space="0" w:color="auto"/>
      </w:divBdr>
    </w:div>
    <w:div w:id="170127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odlandcarboncode.org.uk/standardand-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r-e-a.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mithschool.ox.ac.uk/sites/default/files/2022-01/Oxford-Offsetting-Principles-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OneDrive%20-%20REA\Documents\RE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A Letterhead Template" ma:contentTypeID="0x0101002BF67B921FA26845A467BC387B1CB75F" ma:contentTypeVersion="16" ma:contentTypeDescription="Create a new document." ma:contentTypeScope="" ma:versionID="a5834ae6a9739363d73dccb30d507920">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d4b262e81f52d699873e7a2cface1ccc"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3bbbe167-487c-408d-acef-8d2427bd1be5">
      <UserInfo>
        <DisplayName>Kat McManus</DisplayName>
        <AccountId>55</AccountId>
        <AccountType/>
      </UserInfo>
    </SharedWithUsers>
    <lcf76f155ced4ddcb4097134ff3c332f xmlns="08b28fe2-aad7-446e-968d-b56429c2090b">
      <Terms xmlns="http://schemas.microsoft.com/office/infopath/2007/PartnerControls"/>
    </lcf76f155ced4ddcb4097134ff3c332f>
    <TaxCatchAll xmlns="3bbbe167-487c-408d-acef-8d2427bd1be5" xsi:nil="true"/>
  </documentManagement>
</p:properties>
</file>

<file path=customXml/itemProps1.xml><?xml version="1.0" encoding="utf-8"?>
<ds:datastoreItem xmlns:ds="http://schemas.openxmlformats.org/officeDocument/2006/customXml" ds:itemID="{7B210724-70A9-4CE1-AADB-7082E8D69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D941B-9BF9-497C-B776-A9B7C0726440}">
  <ds:schemaRefs>
    <ds:schemaRef ds:uri="http://schemas.microsoft.com/sharepoint/v3/contenttype/forms"/>
  </ds:schemaRefs>
</ds:datastoreItem>
</file>

<file path=customXml/itemProps3.xml><?xml version="1.0" encoding="utf-8"?>
<ds:datastoreItem xmlns:ds="http://schemas.openxmlformats.org/officeDocument/2006/customXml" ds:itemID="{566B66A4-72C7-4F72-B5EA-48CC17FAA50B}">
  <ds:schemaRefs>
    <ds:schemaRef ds:uri="http://schemas.openxmlformats.org/officeDocument/2006/bibliography"/>
  </ds:schemaRefs>
</ds:datastoreItem>
</file>

<file path=customXml/itemProps4.xml><?xml version="1.0" encoding="utf-8"?>
<ds:datastoreItem xmlns:ds="http://schemas.openxmlformats.org/officeDocument/2006/customXml" ds:itemID="{E71783E5-5421-4429-8095-1CB86C80524A}">
  <ds:schemaRefs>
    <ds:schemaRef ds:uri="http://schemas.microsoft.com/office/2006/metadata/properties"/>
    <ds:schemaRef ds:uri="http://schemas.microsoft.com/office/infopath/2007/PartnerControls"/>
    <ds:schemaRef ds:uri="3bbbe167-487c-408d-acef-8d2427bd1be5"/>
    <ds:schemaRef ds:uri="08b28fe2-aad7-446e-968d-b56429c2090b"/>
  </ds:schemaRefs>
</ds:datastoreItem>
</file>

<file path=docProps/app.xml><?xml version="1.0" encoding="utf-8"?>
<Properties xmlns="http://schemas.openxmlformats.org/officeDocument/2006/extended-properties" xmlns:vt="http://schemas.openxmlformats.org/officeDocument/2006/docPropsVTypes">
  <Template>REA Letterhead</Template>
  <TotalTime>2110</TotalTime>
  <Pages>14</Pages>
  <Words>5216</Words>
  <Characters>29737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REA</Company>
  <LinksUpToDate>false</LinksUpToDate>
  <CharactersWithSpaces>34884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Smith</dc:creator>
  <cp:lastModifiedBy>Samantha Smith</cp:lastModifiedBy>
  <cp:revision>658</cp:revision>
  <dcterms:created xsi:type="dcterms:W3CDTF">2024-07-03T13:35:00Z</dcterms:created>
  <dcterms:modified xsi:type="dcterms:W3CDTF">2024-08-01T14:50:00Z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Order">
    <vt:r8>154600</vt:r8>
  </property>
  <property fmtid="{D5CDD505-2E9C-101B-9397-08002B2CF9AE}" pid="4" name="xd_Signature">
    <vt:bool>false</vt:bool>
  </property>
  <property fmtid="{D5CDD505-2E9C-101B-9397-08002B2CF9AE}" pid="5" name="SharedWithUsers">
    <vt:lpwstr>55;#Kat McManus</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