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F3FB8D" w14:textId="77777777" w:rsidR="00144ED0" w:rsidRPr="006D5ACA" w:rsidRDefault="00144ED0" w:rsidP="00144ED0">
      <w:pPr>
        <w:rPr>
          <w:rFonts w:ascii="Open Sans" w:hAnsi="Open Sans" w:cs="Open Sans"/>
          <w:sz w:val="20"/>
          <w:szCs w:val="20"/>
        </w:rPr>
      </w:pPr>
    </w:p>
    <w:p w14:paraId="07E15B5F" w14:textId="12177686" w:rsidR="00144ED0" w:rsidRPr="006D5ACA" w:rsidRDefault="00144ED0" w:rsidP="00A87D9C">
      <w:pPr>
        <w:jc w:val="center"/>
        <w:rPr>
          <w:rFonts w:ascii="Open Sans" w:hAnsi="Open Sans" w:cs="Open Sans"/>
          <w:b/>
          <w:bCs/>
          <w:i/>
          <w:iCs/>
          <w:color w:val="06926B"/>
          <w:sz w:val="24"/>
          <w:szCs w:val="24"/>
        </w:rPr>
      </w:pPr>
      <w:r w:rsidRPr="006D5ACA">
        <w:rPr>
          <w:rFonts w:ascii="Open Sans" w:hAnsi="Open Sans" w:cs="Open Sans"/>
          <w:b/>
          <w:bCs/>
          <w:i/>
          <w:iCs/>
          <w:color w:val="06926B"/>
          <w:sz w:val="24"/>
          <w:szCs w:val="24"/>
        </w:rPr>
        <w:t>REA Response to NESO Call for Input: Financial Instrument Proposal</w:t>
      </w:r>
    </w:p>
    <w:p w14:paraId="6E747F18" w14:textId="77777777" w:rsidR="00144ED0" w:rsidRPr="006D5ACA" w:rsidRDefault="00144ED0" w:rsidP="00144ED0">
      <w:pPr>
        <w:rPr>
          <w:rFonts w:ascii="Open Sans" w:hAnsi="Open Sans" w:cs="Open Sans"/>
          <w:sz w:val="18"/>
          <w:szCs w:val="18"/>
        </w:rPr>
      </w:pPr>
      <w:r w:rsidRPr="006D5ACA">
        <w:rPr>
          <w:rFonts w:ascii="Open Sans" w:hAnsi="Open Sans" w:cs="Open Sans"/>
          <w:sz w:val="18"/>
          <w:szCs w:val="18"/>
        </w:rPr>
        <w:t xml:space="preserve">The Association for Renewable Energy and Clean Technology (the REA) is a not-for-profit trade association, representing British renewable energy producers and clean technology and promoting the use of renewable energy in the UK. It has around 500 corporate members, and a further 5,000 through our subsidiaries, making it the largest renewable energy trade association in the UK.  More information available at </w:t>
      </w:r>
      <w:hyperlink r:id="rId7" w:history="1">
        <w:r w:rsidRPr="006D5ACA">
          <w:rPr>
            <w:rStyle w:val="Hyperlink"/>
            <w:rFonts w:ascii="Open Sans" w:hAnsi="Open Sans" w:cs="Open Sans"/>
            <w:sz w:val="18"/>
            <w:szCs w:val="18"/>
          </w:rPr>
          <w:t>www.r-e-a.net</w:t>
        </w:r>
      </w:hyperlink>
      <w:r w:rsidRPr="006D5ACA">
        <w:rPr>
          <w:rFonts w:ascii="Open Sans" w:hAnsi="Open Sans" w:cs="Open Sans"/>
          <w:sz w:val="18"/>
          <w:szCs w:val="18"/>
        </w:rPr>
        <w:t>.</w:t>
      </w:r>
    </w:p>
    <w:p w14:paraId="441CC374" w14:textId="541309D6" w:rsidR="00DF7F88" w:rsidRPr="006D5ACA" w:rsidRDefault="00DF7F88" w:rsidP="00144ED0">
      <w:pPr>
        <w:rPr>
          <w:rFonts w:ascii="Open Sans" w:hAnsi="Open Sans" w:cs="Open Sans"/>
          <w:sz w:val="18"/>
          <w:szCs w:val="18"/>
        </w:rPr>
      </w:pPr>
      <w:r w:rsidRPr="006D5ACA">
        <w:rPr>
          <w:rFonts w:ascii="Open Sans" w:hAnsi="Open Sans" w:cs="Open Sans"/>
          <w:sz w:val="18"/>
          <w:szCs w:val="18"/>
        </w:rPr>
        <w:t>Pertinent</w:t>
      </w:r>
      <w:r w:rsidR="00144ED0" w:rsidRPr="006D5ACA">
        <w:rPr>
          <w:rFonts w:ascii="Open Sans" w:hAnsi="Open Sans" w:cs="Open Sans"/>
          <w:sz w:val="18"/>
          <w:szCs w:val="18"/>
        </w:rPr>
        <w:t xml:space="preserve"> to this </w:t>
      </w:r>
      <w:r w:rsidRPr="006D5ACA">
        <w:rPr>
          <w:rFonts w:ascii="Open Sans" w:hAnsi="Open Sans" w:cs="Open Sans"/>
          <w:sz w:val="18"/>
          <w:szCs w:val="18"/>
        </w:rPr>
        <w:t>consultation</w:t>
      </w:r>
      <w:r w:rsidR="00144ED0" w:rsidRPr="006D5ACA">
        <w:rPr>
          <w:rFonts w:ascii="Open Sans" w:hAnsi="Open Sans" w:cs="Open Sans"/>
          <w:sz w:val="18"/>
          <w:szCs w:val="18"/>
        </w:rPr>
        <w:t xml:space="preserve"> are REA member forums dedicated t</w:t>
      </w:r>
      <w:r w:rsidRPr="006D5ACA">
        <w:rPr>
          <w:rFonts w:ascii="Open Sans" w:hAnsi="Open Sans" w:cs="Open Sans"/>
          <w:sz w:val="18"/>
          <w:szCs w:val="18"/>
        </w:rPr>
        <w:t>o</w:t>
      </w:r>
      <w:r w:rsidR="00144ED0" w:rsidRPr="006D5ACA">
        <w:rPr>
          <w:rFonts w:ascii="Open Sans" w:hAnsi="Open Sans" w:cs="Open Sans"/>
          <w:sz w:val="18"/>
          <w:szCs w:val="18"/>
        </w:rPr>
        <w:t xml:space="preserve"> </w:t>
      </w:r>
      <w:r w:rsidRPr="006D5ACA">
        <w:rPr>
          <w:rFonts w:ascii="Open Sans" w:hAnsi="Open Sans" w:cs="Open Sans"/>
          <w:sz w:val="18"/>
          <w:szCs w:val="18"/>
        </w:rPr>
        <w:t>s</w:t>
      </w:r>
      <w:r w:rsidR="00144ED0" w:rsidRPr="006D5ACA">
        <w:rPr>
          <w:rFonts w:ascii="Open Sans" w:hAnsi="Open Sans" w:cs="Open Sans"/>
          <w:sz w:val="18"/>
          <w:szCs w:val="18"/>
        </w:rPr>
        <w:t xml:space="preserve">olar PV, </w:t>
      </w:r>
      <w:r w:rsidRPr="006D5ACA">
        <w:rPr>
          <w:rFonts w:ascii="Open Sans" w:hAnsi="Open Sans" w:cs="Open Sans"/>
          <w:sz w:val="18"/>
          <w:szCs w:val="18"/>
        </w:rPr>
        <w:t>e</w:t>
      </w:r>
      <w:r w:rsidR="00144ED0" w:rsidRPr="006D5ACA">
        <w:rPr>
          <w:rFonts w:ascii="Open Sans" w:hAnsi="Open Sans" w:cs="Open Sans"/>
          <w:sz w:val="18"/>
          <w:szCs w:val="18"/>
        </w:rPr>
        <w:t xml:space="preserve">nergy </w:t>
      </w:r>
      <w:r w:rsidRPr="006D5ACA">
        <w:rPr>
          <w:rFonts w:ascii="Open Sans" w:hAnsi="Open Sans" w:cs="Open Sans"/>
          <w:sz w:val="18"/>
          <w:szCs w:val="18"/>
        </w:rPr>
        <w:t>s</w:t>
      </w:r>
      <w:r w:rsidR="00144ED0" w:rsidRPr="006D5ACA">
        <w:rPr>
          <w:rFonts w:ascii="Open Sans" w:hAnsi="Open Sans" w:cs="Open Sans"/>
          <w:sz w:val="18"/>
          <w:szCs w:val="18"/>
        </w:rPr>
        <w:t xml:space="preserve">torage (including </w:t>
      </w:r>
      <w:r w:rsidRPr="006D5ACA">
        <w:rPr>
          <w:rFonts w:ascii="Open Sans" w:hAnsi="Open Sans" w:cs="Open Sans"/>
          <w:sz w:val="18"/>
          <w:szCs w:val="18"/>
        </w:rPr>
        <w:t>l</w:t>
      </w:r>
      <w:r w:rsidR="00144ED0" w:rsidRPr="006D5ACA">
        <w:rPr>
          <w:rFonts w:ascii="Open Sans" w:hAnsi="Open Sans" w:cs="Open Sans"/>
          <w:sz w:val="18"/>
          <w:szCs w:val="18"/>
        </w:rPr>
        <w:t xml:space="preserve">ong </w:t>
      </w:r>
      <w:r w:rsidRPr="006D5ACA">
        <w:rPr>
          <w:rFonts w:ascii="Open Sans" w:hAnsi="Open Sans" w:cs="Open Sans"/>
          <w:sz w:val="18"/>
          <w:szCs w:val="18"/>
        </w:rPr>
        <w:t>d</w:t>
      </w:r>
      <w:r w:rsidR="00144ED0" w:rsidRPr="006D5ACA">
        <w:rPr>
          <w:rFonts w:ascii="Open Sans" w:hAnsi="Open Sans" w:cs="Open Sans"/>
          <w:sz w:val="18"/>
          <w:szCs w:val="18"/>
        </w:rPr>
        <w:t xml:space="preserve">uration </w:t>
      </w:r>
      <w:r w:rsidRPr="006D5ACA">
        <w:rPr>
          <w:rFonts w:ascii="Open Sans" w:hAnsi="Open Sans" w:cs="Open Sans"/>
          <w:sz w:val="18"/>
          <w:szCs w:val="18"/>
        </w:rPr>
        <w:t>e</w:t>
      </w:r>
      <w:r w:rsidR="00144ED0" w:rsidRPr="006D5ACA">
        <w:rPr>
          <w:rFonts w:ascii="Open Sans" w:hAnsi="Open Sans" w:cs="Open Sans"/>
          <w:sz w:val="18"/>
          <w:szCs w:val="18"/>
        </w:rPr>
        <w:t xml:space="preserve">nergy </w:t>
      </w:r>
      <w:r w:rsidRPr="006D5ACA">
        <w:rPr>
          <w:rFonts w:ascii="Open Sans" w:hAnsi="Open Sans" w:cs="Open Sans"/>
          <w:sz w:val="18"/>
          <w:szCs w:val="18"/>
        </w:rPr>
        <w:t>s</w:t>
      </w:r>
      <w:r w:rsidR="00144ED0" w:rsidRPr="006D5ACA">
        <w:rPr>
          <w:rFonts w:ascii="Open Sans" w:hAnsi="Open Sans" w:cs="Open Sans"/>
          <w:sz w:val="18"/>
          <w:szCs w:val="18"/>
        </w:rPr>
        <w:t xml:space="preserve">torage), </w:t>
      </w:r>
      <w:r w:rsidRPr="006D5ACA">
        <w:rPr>
          <w:rFonts w:ascii="Open Sans" w:hAnsi="Open Sans" w:cs="Open Sans"/>
          <w:sz w:val="18"/>
          <w:szCs w:val="18"/>
        </w:rPr>
        <w:t>energy from waste, biomass power, anaerobic digestion, deep Geothermal and electric vehicle charging infrastructure all relevant to achieving Clean Power 2030 and requiring grid connections</w:t>
      </w:r>
    </w:p>
    <w:p w14:paraId="1953BCBC" w14:textId="6B62B092" w:rsidR="00144ED0" w:rsidRPr="006D5ACA" w:rsidRDefault="00144ED0" w:rsidP="00144ED0">
      <w:pPr>
        <w:rPr>
          <w:rFonts w:ascii="Open Sans" w:hAnsi="Open Sans" w:cs="Open Sans"/>
          <w:b/>
          <w:bCs/>
          <w:sz w:val="20"/>
          <w:szCs w:val="20"/>
        </w:rPr>
      </w:pPr>
      <w:r w:rsidRPr="006D5ACA">
        <w:rPr>
          <w:rFonts w:ascii="Open Sans" w:hAnsi="Open Sans" w:cs="Open Sans"/>
          <w:b/>
          <w:bCs/>
          <w:sz w:val="20"/>
          <w:szCs w:val="20"/>
        </w:rPr>
        <w:t xml:space="preserve">Q1: Please indicate whether you are either i) broadly supportive of our initial proposal for a financial instrument; ii) supportive of a financial instrument in principle but believe that our initial proposal requires further changes; or iii) believe that a financial instrument in any form is the wrong solution. Please explain. </w:t>
      </w:r>
    </w:p>
    <w:p w14:paraId="628D95CB" w14:textId="4E631378" w:rsidR="00144ED0" w:rsidRPr="006D5ACA" w:rsidRDefault="00144ED0" w:rsidP="00144ED0">
      <w:pPr>
        <w:rPr>
          <w:rFonts w:ascii="Open Sans" w:hAnsi="Open Sans" w:cs="Open Sans"/>
          <w:sz w:val="20"/>
          <w:szCs w:val="20"/>
        </w:rPr>
      </w:pPr>
      <w:r w:rsidRPr="006D5ACA">
        <w:rPr>
          <w:rFonts w:ascii="Open Sans" w:hAnsi="Open Sans" w:cs="Open Sans"/>
          <w:sz w:val="20"/>
          <w:szCs w:val="20"/>
        </w:rPr>
        <w:t>REA are aligned with option 2</w:t>
      </w:r>
      <w:r w:rsidR="00E16985" w:rsidRPr="006D5ACA">
        <w:rPr>
          <w:rFonts w:ascii="Open Sans" w:hAnsi="Open Sans" w:cs="Open Sans"/>
          <w:sz w:val="20"/>
          <w:szCs w:val="20"/>
        </w:rPr>
        <w:t xml:space="preserve">. </w:t>
      </w:r>
    </w:p>
    <w:p w14:paraId="6CB87E69" w14:textId="07BBC6F6" w:rsidR="00144ED0" w:rsidRPr="006D5ACA" w:rsidRDefault="00144ED0" w:rsidP="00144ED0">
      <w:pPr>
        <w:rPr>
          <w:rFonts w:ascii="Open Sans" w:hAnsi="Open Sans" w:cs="Open Sans"/>
          <w:sz w:val="20"/>
          <w:szCs w:val="20"/>
        </w:rPr>
      </w:pPr>
      <w:r w:rsidRPr="006D5ACA">
        <w:rPr>
          <w:rFonts w:ascii="Open Sans" w:hAnsi="Open Sans" w:cs="Open Sans"/>
          <w:sz w:val="20"/>
          <w:szCs w:val="20"/>
        </w:rPr>
        <w:t xml:space="preserve">The REA recognise that a financial instrument could have a beneficial effect on the connections </w:t>
      </w:r>
      <w:r w:rsidR="00334BF2">
        <w:rPr>
          <w:rFonts w:ascii="Open Sans" w:hAnsi="Open Sans" w:cs="Open Sans"/>
          <w:sz w:val="20"/>
          <w:szCs w:val="20"/>
        </w:rPr>
        <w:t>queue</w:t>
      </w:r>
      <w:r w:rsidRPr="006D5ACA">
        <w:rPr>
          <w:rFonts w:ascii="Open Sans" w:hAnsi="Open Sans" w:cs="Open Sans"/>
          <w:sz w:val="20"/>
          <w:szCs w:val="20"/>
        </w:rPr>
        <w:t xml:space="preserve"> but only if appropriately designed and proportionate to the existing development expenditure. As such, we believe the suggested level of £20,0000/MW </w:t>
      </w:r>
      <w:r w:rsidR="00E16985" w:rsidRPr="006D5ACA">
        <w:rPr>
          <w:rFonts w:ascii="Open Sans" w:hAnsi="Open Sans" w:cs="Open Sans"/>
          <w:sz w:val="20"/>
          <w:szCs w:val="20"/>
        </w:rPr>
        <w:t xml:space="preserve">for a Capacity Commitment Fee </w:t>
      </w:r>
      <w:r w:rsidRPr="006D5ACA">
        <w:rPr>
          <w:rFonts w:ascii="Open Sans" w:hAnsi="Open Sans" w:cs="Open Sans"/>
          <w:sz w:val="20"/>
          <w:szCs w:val="20"/>
        </w:rPr>
        <w:t xml:space="preserve">to be too high. </w:t>
      </w:r>
    </w:p>
    <w:p w14:paraId="49BB5FE1" w14:textId="42CF514D" w:rsidR="00144ED0" w:rsidRPr="006D5ACA" w:rsidRDefault="00144ED0" w:rsidP="00144ED0">
      <w:pPr>
        <w:rPr>
          <w:rFonts w:ascii="Open Sans" w:hAnsi="Open Sans" w:cs="Open Sans"/>
          <w:sz w:val="20"/>
          <w:szCs w:val="20"/>
        </w:rPr>
      </w:pPr>
      <w:r w:rsidRPr="006D5ACA">
        <w:rPr>
          <w:rFonts w:ascii="Open Sans" w:hAnsi="Open Sans" w:cs="Open Sans"/>
          <w:sz w:val="20"/>
          <w:szCs w:val="20"/>
        </w:rPr>
        <w:t xml:space="preserve">In calculating this proposed value, REA members indicate NESO has likely focused on larger scale developers in the </w:t>
      </w:r>
      <w:r w:rsidR="00334BF2">
        <w:rPr>
          <w:rFonts w:ascii="Open Sans" w:hAnsi="Open Sans" w:cs="Open Sans"/>
          <w:sz w:val="20"/>
          <w:szCs w:val="20"/>
        </w:rPr>
        <w:t>queue</w:t>
      </w:r>
      <w:r w:rsidRPr="006D5ACA">
        <w:rPr>
          <w:rFonts w:ascii="Open Sans" w:hAnsi="Open Sans" w:cs="Open Sans"/>
          <w:sz w:val="20"/>
          <w:szCs w:val="20"/>
        </w:rPr>
        <w:t xml:space="preserve"> and taken averages across all </w:t>
      </w:r>
      <w:r w:rsidR="00E16985" w:rsidRPr="006D5ACA">
        <w:rPr>
          <w:rFonts w:ascii="Open Sans" w:hAnsi="Open Sans" w:cs="Open Sans"/>
          <w:sz w:val="20"/>
          <w:szCs w:val="20"/>
        </w:rPr>
        <w:t>applications,</w:t>
      </w:r>
      <w:r w:rsidRPr="006D5ACA">
        <w:rPr>
          <w:rFonts w:ascii="Open Sans" w:hAnsi="Open Sans" w:cs="Open Sans"/>
          <w:sz w:val="20"/>
          <w:szCs w:val="20"/>
        </w:rPr>
        <w:t xml:space="preserve"> irrespective of differences between technology classes and typical developer profiles. </w:t>
      </w:r>
      <w:r w:rsidR="00E16985" w:rsidRPr="006D5ACA">
        <w:rPr>
          <w:rFonts w:ascii="Open Sans" w:hAnsi="Open Sans" w:cs="Open Sans"/>
          <w:sz w:val="20"/>
          <w:szCs w:val="20"/>
        </w:rPr>
        <w:t>As such w</w:t>
      </w:r>
      <w:r w:rsidRPr="006D5ACA">
        <w:rPr>
          <w:rFonts w:ascii="Open Sans" w:hAnsi="Open Sans" w:cs="Open Sans"/>
          <w:sz w:val="20"/>
          <w:szCs w:val="20"/>
        </w:rPr>
        <w:t xml:space="preserve">e believe the proposal are likely to have a disproportional effect on smaller developers and their financiers. </w:t>
      </w:r>
    </w:p>
    <w:p w14:paraId="345A0D16" w14:textId="4B14BF98" w:rsidR="00144ED0" w:rsidRPr="006D5ACA" w:rsidRDefault="00E16985" w:rsidP="00144ED0">
      <w:pPr>
        <w:rPr>
          <w:rFonts w:ascii="Open Sans" w:hAnsi="Open Sans" w:cs="Open Sans"/>
          <w:sz w:val="20"/>
          <w:szCs w:val="20"/>
        </w:rPr>
      </w:pPr>
      <w:r w:rsidRPr="006D5ACA">
        <w:rPr>
          <w:rFonts w:ascii="Open Sans" w:hAnsi="Open Sans" w:cs="Open Sans"/>
          <w:sz w:val="20"/>
          <w:szCs w:val="20"/>
        </w:rPr>
        <w:t>T</w:t>
      </w:r>
      <w:r w:rsidR="00144ED0" w:rsidRPr="006D5ACA">
        <w:rPr>
          <w:rFonts w:ascii="Open Sans" w:hAnsi="Open Sans" w:cs="Open Sans"/>
          <w:sz w:val="20"/>
          <w:szCs w:val="20"/>
        </w:rPr>
        <w:t xml:space="preserve">he </w:t>
      </w:r>
      <w:r w:rsidRPr="006D5ACA">
        <w:rPr>
          <w:rFonts w:ascii="Open Sans" w:hAnsi="Open Sans" w:cs="Open Sans"/>
          <w:sz w:val="20"/>
          <w:szCs w:val="20"/>
        </w:rPr>
        <w:t xml:space="preserve">proposed </w:t>
      </w:r>
      <w:r w:rsidR="00144ED0" w:rsidRPr="006D5ACA">
        <w:rPr>
          <w:rFonts w:ascii="Open Sans" w:hAnsi="Open Sans" w:cs="Open Sans"/>
          <w:sz w:val="20"/>
          <w:szCs w:val="20"/>
        </w:rPr>
        <w:t>£20,000/MWh figure appears to be based on</w:t>
      </w:r>
      <w:r w:rsidRPr="006D5ACA">
        <w:rPr>
          <w:rFonts w:ascii="Open Sans" w:hAnsi="Open Sans" w:cs="Open Sans"/>
          <w:sz w:val="20"/>
          <w:szCs w:val="20"/>
        </w:rPr>
        <w:t xml:space="preserve"> calculation using</w:t>
      </w:r>
      <w:r w:rsidR="00144ED0" w:rsidRPr="006D5ACA">
        <w:rPr>
          <w:rFonts w:ascii="Open Sans" w:hAnsi="Open Sans" w:cs="Open Sans"/>
          <w:sz w:val="20"/>
          <w:szCs w:val="20"/>
        </w:rPr>
        <w:t xml:space="preserve"> a probability of connecting existing projects at between 60 -70%, set out in a Baringa study. With the full volume of applications in the </w:t>
      </w:r>
      <w:r w:rsidR="00334BF2">
        <w:rPr>
          <w:rFonts w:ascii="Open Sans" w:hAnsi="Open Sans" w:cs="Open Sans"/>
          <w:sz w:val="20"/>
          <w:szCs w:val="20"/>
        </w:rPr>
        <w:t>queue</w:t>
      </w:r>
      <w:r w:rsidRPr="006D5ACA">
        <w:rPr>
          <w:rFonts w:ascii="Open Sans" w:hAnsi="Open Sans" w:cs="Open Sans"/>
          <w:sz w:val="20"/>
          <w:szCs w:val="20"/>
        </w:rPr>
        <w:t xml:space="preserve">, </w:t>
      </w:r>
      <w:r w:rsidR="00144ED0" w:rsidRPr="006D5ACA">
        <w:rPr>
          <w:rFonts w:ascii="Open Sans" w:hAnsi="Open Sans" w:cs="Open Sans"/>
          <w:sz w:val="20"/>
          <w:szCs w:val="20"/>
        </w:rPr>
        <w:t>vs what NESO suggest is required and physically able to connect, this percentage seems to be higher than previous estimations and is, as a result, inflating the calculate</w:t>
      </w:r>
      <w:r w:rsidRPr="006D5ACA">
        <w:rPr>
          <w:rFonts w:ascii="Open Sans" w:hAnsi="Open Sans" w:cs="Open Sans"/>
          <w:sz w:val="20"/>
          <w:szCs w:val="20"/>
        </w:rPr>
        <w:t>d</w:t>
      </w:r>
      <w:r w:rsidR="00144ED0" w:rsidRPr="006D5ACA">
        <w:rPr>
          <w:rFonts w:ascii="Open Sans" w:hAnsi="Open Sans" w:cs="Open Sans"/>
          <w:sz w:val="20"/>
          <w:szCs w:val="20"/>
        </w:rPr>
        <w:t xml:space="preserve"> level of securities </w:t>
      </w:r>
      <w:r w:rsidRPr="006D5ACA">
        <w:rPr>
          <w:rFonts w:ascii="Open Sans" w:hAnsi="Open Sans" w:cs="Open Sans"/>
          <w:sz w:val="20"/>
          <w:szCs w:val="20"/>
        </w:rPr>
        <w:t xml:space="preserve">required </w:t>
      </w:r>
      <w:r w:rsidR="00144ED0" w:rsidRPr="006D5ACA">
        <w:rPr>
          <w:rFonts w:ascii="Open Sans" w:hAnsi="Open Sans" w:cs="Open Sans"/>
          <w:sz w:val="20"/>
          <w:szCs w:val="20"/>
        </w:rPr>
        <w:t>on a</w:t>
      </w:r>
      <w:r w:rsidRPr="006D5ACA">
        <w:rPr>
          <w:rFonts w:ascii="Open Sans" w:hAnsi="Open Sans" w:cs="Open Sans"/>
          <w:sz w:val="20"/>
          <w:szCs w:val="20"/>
        </w:rPr>
        <w:t>n</w:t>
      </w:r>
      <w:r w:rsidR="00144ED0" w:rsidRPr="006D5ACA">
        <w:rPr>
          <w:rFonts w:ascii="Open Sans" w:hAnsi="Open Sans" w:cs="Open Sans"/>
          <w:sz w:val="20"/>
          <w:szCs w:val="20"/>
        </w:rPr>
        <w:t xml:space="preserve"> NPV basis. Previous statements by NESO ha</w:t>
      </w:r>
      <w:r w:rsidRPr="006D5ACA">
        <w:rPr>
          <w:rFonts w:ascii="Open Sans" w:hAnsi="Open Sans" w:cs="Open Sans"/>
          <w:sz w:val="20"/>
          <w:szCs w:val="20"/>
        </w:rPr>
        <w:t xml:space="preserve">ve </w:t>
      </w:r>
      <w:r w:rsidR="00144ED0" w:rsidRPr="006D5ACA">
        <w:rPr>
          <w:rFonts w:ascii="Open Sans" w:hAnsi="Open Sans" w:cs="Open Sans"/>
          <w:sz w:val="20"/>
          <w:szCs w:val="20"/>
        </w:rPr>
        <w:t>suggested probability to be nearer 30 – 40 %</w:t>
      </w:r>
      <w:r w:rsidRPr="006D5ACA">
        <w:rPr>
          <w:rFonts w:ascii="Open Sans" w:hAnsi="Open Sans" w:cs="Open Sans"/>
          <w:sz w:val="20"/>
          <w:szCs w:val="20"/>
        </w:rPr>
        <w:t xml:space="preserve"> [1]</w:t>
      </w:r>
      <w:r w:rsidR="00144ED0" w:rsidRPr="006D5ACA">
        <w:rPr>
          <w:rFonts w:ascii="Open Sans" w:hAnsi="Open Sans" w:cs="Open Sans"/>
          <w:sz w:val="20"/>
          <w:szCs w:val="20"/>
        </w:rPr>
        <w:t xml:space="preserve">, which would suggest a figure of between £2- 5,000/ MW being a more appropriate level.  Given the substantial difference this would make to the level of risk developers </w:t>
      </w:r>
      <w:r w:rsidRPr="006D5ACA">
        <w:rPr>
          <w:rFonts w:ascii="Open Sans" w:hAnsi="Open Sans" w:cs="Open Sans"/>
          <w:sz w:val="20"/>
          <w:szCs w:val="20"/>
        </w:rPr>
        <w:t>are being required to take</w:t>
      </w:r>
      <w:r w:rsidR="004953B5">
        <w:rPr>
          <w:rFonts w:ascii="Open Sans" w:hAnsi="Open Sans" w:cs="Open Sans"/>
          <w:sz w:val="20"/>
          <w:szCs w:val="20"/>
        </w:rPr>
        <w:t xml:space="preserve"> on</w:t>
      </w:r>
      <w:r w:rsidRPr="006D5ACA">
        <w:rPr>
          <w:rFonts w:ascii="Open Sans" w:hAnsi="Open Sans" w:cs="Open Sans"/>
          <w:sz w:val="20"/>
          <w:szCs w:val="20"/>
        </w:rPr>
        <w:t xml:space="preserve">, </w:t>
      </w:r>
      <w:r w:rsidR="00144ED0" w:rsidRPr="006D5ACA">
        <w:rPr>
          <w:rFonts w:ascii="Open Sans" w:hAnsi="Open Sans" w:cs="Open Sans"/>
          <w:sz w:val="20"/>
          <w:szCs w:val="20"/>
        </w:rPr>
        <w:t>we believe there to be a strong case for considering a lower level of securities</w:t>
      </w:r>
      <w:r w:rsidRPr="006D5ACA">
        <w:rPr>
          <w:rFonts w:ascii="Open Sans" w:hAnsi="Open Sans" w:cs="Open Sans"/>
          <w:sz w:val="20"/>
          <w:szCs w:val="20"/>
        </w:rPr>
        <w:t xml:space="preserve"> while still achieving the aim of removing unrealistic applications from the </w:t>
      </w:r>
      <w:r w:rsidR="00334BF2">
        <w:rPr>
          <w:rFonts w:ascii="Open Sans" w:hAnsi="Open Sans" w:cs="Open Sans"/>
          <w:sz w:val="20"/>
          <w:szCs w:val="20"/>
        </w:rPr>
        <w:t>queue</w:t>
      </w:r>
      <w:r w:rsidRPr="006D5ACA">
        <w:rPr>
          <w:rFonts w:ascii="Open Sans" w:hAnsi="Open Sans" w:cs="Open Sans"/>
          <w:sz w:val="20"/>
          <w:szCs w:val="20"/>
        </w:rPr>
        <w:t xml:space="preserve">. </w:t>
      </w:r>
    </w:p>
    <w:p w14:paraId="7DB4D05E" w14:textId="05A6FDD1" w:rsidR="00144ED0" w:rsidRPr="006D5ACA" w:rsidRDefault="00144ED0" w:rsidP="00144ED0">
      <w:pPr>
        <w:rPr>
          <w:rFonts w:ascii="Open Sans" w:hAnsi="Open Sans" w:cs="Open Sans"/>
          <w:sz w:val="20"/>
          <w:szCs w:val="20"/>
        </w:rPr>
      </w:pPr>
      <w:r w:rsidRPr="006D5ACA">
        <w:rPr>
          <w:rFonts w:ascii="Open Sans" w:hAnsi="Open Sans" w:cs="Open Sans"/>
          <w:sz w:val="20"/>
          <w:szCs w:val="20"/>
        </w:rPr>
        <w:t>The proposals also do not appear</w:t>
      </w:r>
      <w:r w:rsidR="00E16985" w:rsidRPr="006D5ACA">
        <w:rPr>
          <w:rFonts w:ascii="Open Sans" w:hAnsi="Open Sans" w:cs="Open Sans"/>
          <w:sz w:val="20"/>
          <w:szCs w:val="20"/>
        </w:rPr>
        <w:t xml:space="preserve"> account for the level of</w:t>
      </w:r>
      <w:r w:rsidRPr="006D5ACA">
        <w:rPr>
          <w:rFonts w:ascii="Open Sans" w:hAnsi="Open Sans" w:cs="Open Sans"/>
          <w:sz w:val="20"/>
          <w:szCs w:val="20"/>
        </w:rPr>
        <w:t xml:space="preserve"> investment that is already required to get to </w:t>
      </w:r>
      <w:r w:rsidR="00E16985" w:rsidRPr="006D5ACA">
        <w:rPr>
          <w:rFonts w:ascii="Open Sans" w:hAnsi="Open Sans" w:cs="Open Sans"/>
          <w:sz w:val="20"/>
          <w:szCs w:val="20"/>
        </w:rPr>
        <w:t>G</w:t>
      </w:r>
      <w:r w:rsidRPr="006D5ACA">
        <w:rPr>
          <w:rFonts w:ascii="Open Sans" w:hAnsi="Open Sans" w:cs="Open Sans"/>
          <w:sz w:val="20"/>
          <w:szCs w:val="20"/>
        </w:rPr>
        <w:t xml:space="preserve">ate 2. Given this measure is intended to be applied to existing applications, many projects approaching Gate 2 will already be heavily invested, especially in securing planning rights. The retrospective nature of these proposals puts these commitments at risk. This may well </w:t>
      </w:r>
      <w:r w:rsidR="00E16985" w:rsidRPr="006D5ACA">
        <w:rPr>
          <w:rFonts w:ascii="Open Sans" w:hAnsi="Open Sans" w:cs="Open Sans"/>
          <w:sz w:val="20"/>
          <w:szCs w:val="20"/>
        </w:rPr>
        <w:t>achieve a</w:t>
      </w:r>
      <w:r w:rsidRPr="006D5ACA">
        <w:rPr>
          <w:rFonts w:ascii="Open Sans" w:hAnsi="Open Sans" w:cs="Open Sans"/>
          <w:sz w:val="20"/>
          <w:szCs w:val="20"/>
        </w:rPr>
        <w:t xml:space="preserve"> reduction in the </w:t>
      </w:r>
      <w:r w:rsidR="00334BF2">
        <w:rPr>
          <w:rFonts w:ascii="Open Sans" w:hAnsi="Open Sans" w:cs="Open Sans"/>
          <w:sz w:val="20"/>
          <w:szCs w:val="20"/>
        </w:rPr>
        <w:t>queue</w:t>
      </w:r>
      <w:r w:rsidR="003943A8">
        <w:rPr>
          <w:rFonts w:ascii="Open Sans" w:hAnsi="Open Sans" w:cs="Open Sans"/>
          <w:sz w:val="20"/>
          <w:szCs w:val="20"/>
        </w:rPr>
        <w:t>,</w:t>
      </w:r>
      <w:r w:rsidRPr="006D5ACA">
        <w:rPr>
          <w:rFonts w:ascii="Open Sans" w:hAnsi="Open Sans" w:cs="Open Sans"/>
          <w:sz w:val="20"/>
          <w:szCs w:val="20"/>
        </w:rPr>
        <w:t xml:space="preserve"> but at a serious cost of damaging investor</w:t>
      </w:r>
      <w:r w:rsidR="00E16985" w:rsidRPr="006D5ACA">
        <w:rPr>
          <w:rFonts w:ascii="Open Sans" w:hAnsi="Open Sans" w:cs="Open Sans"/>
          <w:sz w:val="20"/>
          <w:szCs w:val="20"/>
        </w:rPr>
        <w:t xml:space="preserve"> sentiment in the UK</w:t>
      </w:r>
      <w:r w:rsidRPr="006D5ACA">
        <w:rPr>
          <w:rFonts w:ascii="Open Sans" w:hAnsi="Open Sans" w:cs="Open Sans"/>
          <w:sz w:val="20"/>
          <w:szCs w:val="20"/>
        </w:rPr>
        <w:t xml:space="preserve"> and undermining broader efforts to get to clean power 2030. </w:t>
      </w:r>
    </w:p>
    <w:p w14:paraId="1CAA9C03" w14:textId="321F49AF" w:rsidR="00144ED0" w:rsidRPr="006D5ACA" w:rsidRDefault="00144ED0" w:rsidP="00144ED0">
      <w:pPr>
        <w:rPr>
          <w:rFonts w:ascii="Open Sans" w:hAnsi="Open Sans" w:cs="Open Sans"/>
          <w:sz w:val="20"/>
          <w:szCs w:val="20"/>
        </w:rPr>
      </w:pPr>
      <w:r w:rsidRPr="006D5ACA">
        <w:rPr>
          <w:rFonts w:ascii="Open Sans" w:hAnsi="Open Sans" w:cs="Open Sans"/>
          <w:sz w:val="20"/>
          <w:szCs w:val="20"/>
        </w:rPr>
        <w:lastRenderedPageBreak/>
        <w:t>The level of security cost is also expected to make it unlikely for projects to consider more expensive</w:t>
      </w:r>
      <w:r w:rsidR="00CB75ED" w:rsidRPr="006D5ACA">
        <w:rPr>
          <w:rFonts w:ascii="Open Sans" w:hAnsi="Open Sans" w:cs="Open Sans"/>
          <w:sz w:val="20"/>
          <w:szCs w:val="20"/>
        </w:rPr>
        <w:t xml:space="preserve"> or risky</w:t>
      </w:r>
      <w:r w:rsidR="00E16985" w:rsidRPr="006D5ACA">
        <w:rPr>
          <w:rFonts w:ascii="Open Sans" w:hAnsi="Open Sans" w:cs="Open Sans"/>
          <w:sz w:val="20"/>
          <w:szCs w:val="20"/>
        </w:rPr>
        <w:t>,</w:t>
      </w:r>
      <w:r w:rsidRPr="006D5ACA">
        <w:rPr>
          <w:rFonts w:ascii="Open Sans" w:hAnsi="Open Sans" w:cs="Open Sans"/>
          <w:sz w:val="20"/>
          <w:szCs w:val="20"/>
        </w:rPr>
        <w:t xml:space="preserve"> but </w:t>
      </w:r>
      <w:r w:rsidR="00E16985" w:rsidRPr="006D5ACA">
        <w:rPr>
          <w:rFonts w:ascii="Open Sans" w:hAnsi="Open Sans" w:cs="Open Sans"/>
          <w:sz w:val="20"/>
          <w:szCs w:val="20"/>
        </w:rPr>
        <w:t xml:space="preserve">potentially more beneficial, </w:t>
      </w:r>
      <w:r w:rsidRPr="006D5ACA">
        <w:rPr>
          <w:rFonts w:ascii="Open Sans" w:hAnsi="Open Sans" w:cs="Open Sans"/>
          <w:sz w:val="20"/>
          <w:szCs w:val="20"/>
        </w:rPr>
        <w:t xml:space="preserve">projects. This includes co-located storage projects that could deliver much needed flexibility to the system. </w:t>
      </w:r>
      <w:r w:rsidR="00CB75ED" w:rsidRPr="006D5ACA">
        <w:rPr>
          <w:rFonts w:ascii="Open Sans" w:hAnsi="Open Sans" w:cs="Open Sans"/>
          <w:sz w:val="20"/>
          <w:szCs w:val="20"/>
        </w:rPr>
        <w:t>If developing</w:t>
      </w:r>
      <w:r w:rsidRPr="006D5ACA">
        <w:rPr>
          <w:rFonts w:ascii="Open Sans" w:hAnsi="Open Sans" w:cs="Open Sans"/>
          <w:sz w:val="20"/>
          <w:szCs w:val="20"/>
        </w:rPr>
        <w:t xml:space="preserve"> a generation asset requires securities of £20,0000/MW, this is likely to impact possibilities for also funding </w:t>
      </w:r>
      <w:r w:rsidR="00CB75ED" w:rsidRPr="006D5ACA">
        <w:rPr>
          <w:rFonts w:ascii="Open Sans" w:hAnsi="Open Sans" w:cs="Open Sans"/>
          <w:sz w:val="20"/>
          <w:szCs w:val="20"/>
        </w:rPr>
        <w:t xml:space="preserve">additional </w:t>
      </w:r>
      <w:r w:rsidRPr="006D5ACA">
        <w:rPr>
          <w:rFonts w:ascii="Open Sans" w:hAnsi="Open Sans" w:cs="Open Sans"/>
          <w:sz w:val="20"/>
          <w:szCs w:val="20"/>
        </w:rPr>
        <w:t xml:space="preserve">opportunities </w:t>
      </w:r>
      <w:r w:rsidR="00CB75ED" w:rsidRPr="006D5ACA">
        <w:rPr>
          <w:rFonts w:ascii="Open Sans" w:hAnsi="Open Sans" w:cs="Open Sans"/>
          <w:sz w:val="20"/>
          <w:szCs w:val="20"/>
        </w:rPr>
        <w:t>or</w:t>
      </w:r>
      <w:r w:rsidRPr="006D5ACA">
        <w:rPr>
          <w:rFonts w:ascii="Open Sans" w:hAnsi="Open Sans" w:cs="Open Sans"/>
          <w:sz w:val="20"/>
          <w:szCs w:val="20"/>
        </w:rPr>
        <w:t xml:space="preserve"> appetite for adding any additional technology risk to projects. The increase in risk profile for the development of the generation technology makes project delivery more difficult. </w:t>
      </w:r>
    </w:p>
    <w:p w14:paraId="582FEE4A" w14:textId="4EBB21BB" w:rsidR="00144ED0" w:rsidRPr="006D5ACA" w:rsidRDefault="00144ED0" w:rsidP="00144ED0">
      <w:pPr>
        <w:rPr>
          <w:rFonts w:ascii="Open Sans" w:hAnsi="Open Sans" w:cs="Open Sans"/>
          <w:sz w:val="20"/>
          <w:szCs w:val="20"/>
        </w:rPr>
      </w:pPr>
      <w:r w:rsidRPr="006D5ACA">
        <w:rPr>
          <w:rFonts w:ascii="Open Sans" w:hAnsi="Open Sans" w:cs="Open Sans"/>
          <w:sz w:val="20"/>
          <w:szCs w:val="20"/>
        </w:rPr>
        <w:t xml:space="preserve">Finally, we note that much of these proposals seem to be focused on disincentivising ‘resellers’ within the </w:t>
      </w:r>
      <w:r w:rsidR="00334BF2">
        <w:rPr>
          <w:rFonts w:ascii="Open Sans" w:hAnsi="Open Sans" w:cs="Open Sans"/>
          <w:sz w:val="20"/>
          <w:szCs w:val="20"/>
        </w:rPr>
        <w:t>queue</w:t>
      </w:r>
      <w:r w:rsidRPr="006D5ACA">
        <w:rPr>
          <w:rFonts w:ascii="Open Sans" w:hAnsi="Open Sans" w:cs="Open Sans"/>
          <w:sz w:val="20"/>
          <w:szCs w:val="20"/>
        </w:rPr>
        <w:t>. We support the fact that applicants should not be able to sit on connection agreements and then ‘trade them in’ having made no progress on development. The propose</w:t>
      </w:r>
      <w:r w:rsidR="00CB75ED" w:rsidRPr="006D5ACA">
        <w:rPr>
          <w:rFonts w:ascii="Open Sans" w:hAnsi="Open Sans" w:cs="Open Sans"/>
          <w:sz w:val="20"/>
          <w:szCs w:val="20"/>
        </w:rPr>
        <w:t>d</w:t>
      </w:r>
      <w:r w:rsidRPr="006D5ACA">
        <w:rPr>
          <w:rFonts w:ascii="Open Sans" w:hAnsi="Open Sans" w:cs="Open Sans"/>
          <w:sz w:val="20"/>
          <w:szCs w:val="20"/>
        </w:rPr>
        <w:t xml:space="preserve"> reforms around Gate 1 and Gate 2 requirements go some way to addressing this issue. However, NESO should be aware that this does not represent all reseller situations. Where progress is made on </w:t>
      </w:r>
      <w:r w:rsidR="00CB75ED" w:rsidRPr="006D5ACA">
        <w:rPr>
          <w:rFonts w:ascii="Open Sans" w:hAnsi="Open Sans" w:cs="Open Sans"/>
          <w:sz w:val="20"/>
          <w:szCs w:val="20"/>
        </w:rPr>
        <w:t xml:space="preserve">contracted land </w:t>
      </w:r>
      <w:r w:rsidRPr="006D5ACA">
        <w:rPr>
          <w:rFonts w:ascii="Open Sans" w:hAnsi="Open Sans" w:cs="Open Sans"/>
          <w:sz w:val="20"/>
          <w:szCs w:val="20"/>
        </w:rPr>
        <w:t>for projects to be sold onto</w:t>
      </w:r>
      <w:r w:rsidR="00B36EBD">
        <w:rPr>
          <w:rFonts w:ascii="Open Sans" w:hAnsi="Open Sans" w:cs="Open Sans"/>
          <w:sz w:val="20"/>
          <w:szCs w:val="20"/>
        </w:rPr>
        <w:t xml:space="preserve"> renewable</w:t>
      </w:r>
      <w:r w:rsidRPr="006D5ACA">
        <w:rPr>
          <w:rFonts w:ascii="Open Sans" w:hAnsi="Open Sans" w:cs="Open Sans"/>
          <w:sz w:val="20"/>
          <w:szCs w:val="20"/>
        </w:rPr>
        <w:t xml:space="preserve"> developers,</w:t>
      </w:r>
      <w:r w:rsidR="00CB75ED" w:rsidRPr="006D5ACA">
        <w:rPr>
          <w:rFonts w:ascii="Open Sans" w:hAnsi="Open Sans" w:cs="Open Sans"/>
          <w:sz w:val="20"/>
          <w:szCs w:val="20"/>
        </w:rPr>
        <w:t xml:space="preserve"> they are providing</w:t>
      </w:r>
      <w:r w:rsidRPr="006D5ACA">
        <w:rPr>
          <w:rFonts w:ascii="Open Sans" w:hAnsi="Open Sans" w:cs="Open Sans"/>
          <w:sz w:val="20"/>
          <w:szCs w:val="20"/>
        </w:rPr>
        <w:t xml:space="preserve"> value </w:t>
      </w:r>
      <w:r w:rsidR="00CB75ED" w:rsidRPr="006D5ACA">
        <w:rPr>
          <w:rFonts w:ascii="Open Sans" w:hAnsi="Open Sans" w:cs="Open Sans"/>
          <w:sz w:val="20"/>
          <w:szCs w:val="20"/>
        </w:rPr>
        <w:t xml:space="preserve">to the connection </w:t>
      </w:r>
      <w:r w:rsidRPr="006D5ACA">
        <w:rPr>
          <w:rFonts w:ascii="Open Sans" w:hAnsi="Open Sans" w:cs="Open Sans"/>
          <w:sz w:val="20"/>
          <w:szCs w:val="20"/>
        </w:rPr>
        <w:t xml:space="preserve">which sees project advance. Members raise </w:t>
      </w:r>
      <w:proofErr w:type="gramStart"/>
      <w:r w:rsidRPr="006D5ACA">
        <w:rPr>
          <w:rFonts w:ascii="Open Sans" w:hAnsi="Open Sans" w:cs="Open Sans"/>
          <w:sz w:val="20"/>
          <w:szCs w:val="20"/>
        </w:rPr>
        <w:t>a number of</w:t>
      </w:r>
      <w:proofErr w:type="gramEnd"/>
      <w:r w:rsidRPr="006D5ACA">
        <w:rPr>
          <w:rFonts w:ascii="Open Sans" w:hAnsi="Open Sans" w:cs="Open Sans"/>
          <w:sz w:val="20"/>
          <w:szCs w:val="20"/>
        </w:rPr>
        <w:t xml:space="preserve"> examples where this approach has been successful</w:t>
      </w:r>
      <w:r w:rsidR="00CB75ED" w:rsidRPr="006D5ACA">
        <w:rPr>
          <w:rFonts w:ascii="Open Sans" w:hAnsi="Open Sans" w:cs="Open Sans"/>
          <w:sz w:val="20"/>
          <w:szCs w:val="20"/>
        </w:rPr>
        <w:t xml:space="preserve"> in either seeing those able to specialise in securing land rights the ability to then pass projects onto those better placed to actually deliver generation projects</w:t>
      </w:r>
      <w:r w:rsidRPr="006D5ACA">
        <w:rPr>
          <w:rFonts w:ascii="Open Sans" w:hAnsi="Open Sans" w:cs="Open Sans"/>
          <w:sz w:val="20"/>
          <w:szCs w:val="20"/>
        </w:rPr>
        <w:t xml:space="preserve">.  Where such arrangements help to move projects forward, they should be supported. </w:t>
      </w:r>
    </w:p>
    <w:p w14:paraId="41D5667F" w14:textId="77777777" w:rsidR="00144ED0" w:rsidRPr="006D5ACA" w:rsidRDefault="00144ED0" w:rsidP="00144ED0">
      <w:pPr>
        <w:rPr>
          <w:rFonts w:ascii="Open Sans" w:hAnsi="Open Sans" w:cs="Open Sans"/>
          <w:sz w:val="20"/>
          <w:szCs w:val="20"/>
        </w:rPr>
      </w:pPr>
      <w:r w:rsidRPr="006D5ACA">
        <w:rPr>
          <w:rFonts w:ascii="Open Sans" w:hAnsi="Open Sans" w:cs="Open Sans"/>
          <w:sz w:val="20"/>
          <w:szCs w:val="20"/>
        </w:rPr>
        <w:t>As stated, a financial instrument could well be beneficial, but members indicate the following design refinements should be considered:</w:t>
      </w:r>
    </w:p>
    <w:p w14:paraId="32C9F945" w14:textId="59883F35" w:rsidR="00144ED0" w:rsidRPr="006D5ACA" w:rsidRDefault="00144ED0" w:rsidP="00282144">
      <w:pPr>
        <w:pStyle w:val="ListParagraph"/>
        <w:numPr>
          <w:ilvl w:val="0"/>
          <w:numId w:val="3"/>
        </w:numPr>
        <w:rPr>
          <w:rFonts w:ascii="Open Sans" w:hAnsi="Open Sans" w:cs="Open Sans"/>
          <w:sz w:val="20"/>
          <w:szCs w:val="20"/>
        </w:rPr>
      </w:pPr>
      <w:r w:rsidRPr="006D5ACA">
        <w:rPr>
          <w:rFonts w:ascii="Open Sans" w:hAnsi="Open Sans" w:cs="Open Sans"/>
          <w:sz w:val="20"/>
          <w:szCs w:val="20"/>
        </w:rPr>
        <w:t>If having a capacity commitment fee, reducing the required fee to £3-5K/MW, which would be</w:t>
      </w:r>
      <w:r w:rsidR="00CB75ED" w:rsidRPr="006D5ACA">
        <w:rPr>
          <w:rFonts w:ascii="Open Sans" w:hAnsi="Open Sans" w:cs="Open Sans"/>
          <w:sz w:val="20"/>
          <w:szCs w:val="20"/>
        </w:rPr>
        <w:t xml:space="preserve"> a</w:t>
      </w:r>
      <w:r w:rsidRPr="006D5ACA">
        <w:rPr>
          <w:rFonts w:ascii="Open Sans" w:hAnsi="Open Sans" w:cs="Open Sans"/>
          <w:sz w:val="20"/>
          <w:szCs w:val="20"/>
        </w:rPr>
        <w:t xml:space="preserve"> more accurate reflection of lower probability of </w:t>
      </w:r>
      <w:r w:rsidR="00CB75ED" w:rsidRPr="006D5ACA">
        <w:rPr>
          <w:rFonts w:ascii="Open Sans" w:hAnsi="Open Sans" w:cs="Open Sans"/>
          <w:sz w:val="20"/>
          <w:szCs w:val="20"/>
        </w:rPr>
        <w:t>connections</w:t>
      </w:r>
      <w:r w:rsidRPr="006D5ACA">
        <w:rPr>
          <w:rFonts w:ascii="Open Sans" w:hAnsi="Open Sans" w:cs="Open Sans"/>
          <w:sz w:val="20"/>
          <w:szCs w:val="20"/>
        </w:rPr>
        <w:t xml:space="preserve">. This would still create an upfront commitment, but not one that would undermine the investor market. </w:t>
      </w:r>
    </w:p>
    <w:p w14:paraId="096C8B76" w14:textId="5839F45B" w:rsidR="00144ED0" w:rsidRPr="006D5ACA" w:rsidRDefault="00144ED0" w:rsidP="00282144">
      <w:pPr>
        <w:pStyle w:val="ListParagraph"/>
        <w:numPr>
          <w:ilvl w:val="0"/>
          <w:numId w:val="3"/>
        </w:numPr>
        <w:rPr>
          <w:rFonts w:ascii="Open Sans" w:hAnsi="Open Sans" w:cs="Open Sans"/>
          <w:sz w:val="20"/>
          <w:szCs w:val="20"/>
        </w:rPr>
      </w:pPr>
      <w:r w:rsidRPr="006D5ACA">
        <w:rPr>
          <w:rFonts w:ascii="Open Sans" w:hAnsi="Open Sans" w:cs="Open Sans"/>
          <w:sz w:val="20"/>
          <w:szCs w:val="20"/>
        </w:rPr>
        <w:t>Consider a financial instrument that is better aligned to individual technology classes. The relative DEVEX costs are significantly different between technologies</w:t>
      </w:r>
      <w:r w:rsidR="00CB75ED" w:rsidRPr="006D5ACA">
        <w:rPr>
          <w:rFonts w:ascii="Open Sans" w:hAnsi="Open Sans" w:cs="Open Sans"/>
          <w:sz w:val="20"/>
          <w:szCs w:val="20"/>
        </w:rPr>
        <w:t>. T</w:t>
      </w:r>
      <w:r w:rsidRPr="006D5ACA">
        <w:rPr>
          <w:rFonts w:ascii="Open Sans" w:hAnsi="Open Sans" w:cs="Open Sans"/>
          <w:sz w:val="20"/>
          <w:szCs w:val="20"/>
        </w:rPr>
        <w:t xml:space="preserve">he proposed </w:t>
      </w:r>
      <w:r w:rsidR="00CB75ED" w:rsidRPr="006D5ACA">
        <w:rPr>
          <w:rFonts w:ascii="Open Sans" w:hAnsi="Open Sans" w:cs="Open Sans"/>
          <w:sz w:val="20"/>
          <w:szCs w:val="20"/>
        </w:rPr>
        <w:t xml:space="preserve">capacity </w:t>
      </w:r>
      <w:r w:rsidRPr="006D5ACA">
        <w:rPr>
          <w:rFonts w:ascii="Open Sans" w:hAnsi="Open Sans" w:cs="Open Sans"/>
          <w:sz w:val="20"/>
          <w:szCs w:val="20"/>
        </w:rPr>
        <w:t>commitment fee should reflect this.</w:t>
      </w:r>
    </w:p>
    <w:p w14:paraId="242ED49B" w14:textId="24EE1C51" w:rsidR="00144ED0" w:rsidRPr="006D5ACA" w:rsidRDefault="00144ED0" w:rsidP="00282144">
      <w:pPr>
        <w:pStyle w:val="ListParagraph"/>
        <w:numPr>
          <w:ilvl w:val="0"/>
          <w:numId w:val="3"/>
        </w:numPr>
        <w:rPr>
          <w:rFonts w:ascii="Open Sans" w:hAnsi="Open Sans" w:cs="Open Sans"/>
          <w:sz w:val="20"/>
          <w:szCs w:val="20"/>
        </w:rPr>
      </w:pPr>
      <w:r w:rsidRPr="006D5ACA">
        <w:rPr>
          <w:rFonts w:ascii="Open Sans" w:hAnsi="Open Sans" w:cs="Open Sans"/>
          <w:sz w:val="20"/>
          <w:szCs w:val="20"/>
        </w:rPr>
        <w:t xml:space="preserve">Place a greater emphasis on evidnce-based milestones within the </w:t>
      </w:r>
      <w:r w:rsidR="00334BF2">
        <w:rPr>
          <w:rFonts w:ascii="Open Sans" w:hAnsi="Open Sans" w:cs="Open Sans"/>
          <w:sz w:val="20"/>
          <w:szCs w:val="20"/>
        </w:rPr>
        <w:t>queue</w:t>
      </w:r>
      <w:r w:rsidRPr="006D5ACA">
        <w:rPr>
          <w:rFonts w:ascii="Open Sans" w:hAnsi="Open Sans" w:cs="Open Sans"/>
          <w:sz w:val="20"/>
          <w:szCs w:val="20"/>
        </w:rPr>
        <w:t>. Advancing the wider proposals around Gate 2, as proposed will help this.  Requiring clear land contracting from Gate 2 will restrict resellers from</w:t>
      </w:r>
      <w:r w:rsidR="00CB75ED" w:rsidRPr="006D5ACA">
        <w:rPr>
          <w:rFonts w:ascii="Open Sans" w:hAnsi="Open Sans" w:cs="Open Sans"/>
          <w:sz w:val="20"/>
          <w:szCs w:val="20"/>
        </w:rPr>
        <w:t xml:space="preserve"> being able to ‘</w:t>
      </w:r>
      <w:r w:rsidRPr="006D5ACA">
        <w:rPr>
          <w:rFonts w:ascii="Open Sans" w:hAnsi="Open Sans" w:cs="Open Sans"/>
          <w:sz w:val="20"/>
          <w:szCs w:val="20"/>
        </w:rPr>
        <w:t>trad</w:t>
      </w:r>
      <w:r w:rsidR="00CB75ED" w:rsidRPr="006D5ACA">
        <w:rPr>
          <w:rFonts w:ascii="Open Sans" w:hAnsi="Open Sans" w:cs="Open Sans"/>
          <w:sz w:val="20"/>
          <w:szCs w:val="20"/>
        </w:rPr>
        <w:t>e</w:t>
      </w:r>
      <w:r w:rsidRPr="006D5ACA">
        <w:rPr>
          <w:rFonts w:ascii="Open Sans" w:hAnsi="Open Sans" w:cs="Open Sans"/>
          <w:sz w:val="20"/>
          <w:szCs w:val="20"/>
        </w:rPr>
        <w:t xml:space="preserve"> in</w:t>
      </w:r>
      <w:r w:rsidR="00CB75ED" w:rsidRPr="006D5ACA">
        <w:rPr>
          <w:rFonts w:ascii="Open Sans" w:hAnsi="Open Sans" w:cs="Open Sans"/>
          <w:sz w:val="20"/>
          <w:szCs w:val="20"/>
        </w:rPr>
        <w:t>’</w:t>
      </w:r>
      <w:r w:rsidRPr="006D5ACA">
        <w:rPr>
          <w:rFonts w:ascii="Open Sans" w:hAnsi="Open Sans" w:cs="Open Sans"/>
          <w:sz w:val="20"/>
          <w:szCs w:val="20"/>
        </w:rPr>
        <w:t xml:space="preserve"> connections. This will also mean that under current arrangements substantial securities of around £3k/MW will already need to be posted to achieve clear planning status and advance in the </w:t>
      </w:r>
      <w:r w:rsidR="00334BF2">
        <w:rPr>
          <w:rFonts w:ascii="Open Sans" w:hAnsi="Open Sans" w:cs="Open Sans"/>
          <w:sz w:val="20"/>
          <w:szCs w:val="20"/>
        </w:rPr>
        <w:t>queue</w:t>
      </w:r>
      <w:r w:rsidRPr="006D5ACA">
        <w:rPr>
          <w:rFonts w:ascii="Open Sans" w:hAnsi="Open Sans" w:cs="Open Sans"/>
          <w:sz w:val="20"/>
          <w:szCs w:val="20"/>
        </w:rPr>
        <w:t xml:space="preserve">. The expected impact of this should be considered and see reduced reliance on the capacity commitment fee, lowering he proposed amount. </w:t>
      </w:r>
    </w:p>
    <w:p w14:paraId="339F14A1" w14:textId="68A2F46F" w:rsidR="00144ED0" w:rsidRPr="006D5ACA" w:rsidRDefault="00144ED0" w:rsidP="00282144">
      <w:pPr>
        <w:pStyle w:val="ListParagraph"/>
        <w:numPr>
          <w:ilvl w:val="0"/>
          <w:numId w:val="3"/>
        </w:numPr>
        <w:rPr>
          <w:rFonts w:ascii="Open Sans" w:hAnsi="Open Sans" w:cs="Open Sans"/>
          <w:sz w:val="20"/>
          <w:szCs w:val="20"/>
        </w:rPr>
      </w:pPr>
      <w:r w:rsidRPr="006D5ACA">
        <w:rPr>
          <w:rFonts w:ascii="Open Sans" w:hAnsi="Open Sans" w:cs="Open Sans"/>
          <w:sz w:val="20"/>
          <w:szCs w:val="20"/>
        </w:rPr>
        <w:t xml:space="preserve">Consider an escalating, annual commitment fee that puts the incentive on advancing projects.  The commitment fee in year one could be relatively </w:t>
      </w:r>
      <w:proofErr w:type="gramStart"/>
      <w:r w:rsidRPr="006D5ACA">
        <w:rPr>
          <w:rFonts w:ascii="Open Sans" w:hAnsi="Open Sans" w:cs="Open Sans"/>
          <w:sz w:val="20"/>
          <w:szCs w:val="20"/>
        </w:rPr>
        <w:t>low</w:t>
      </w:r>
      <w:proofErr w:type="gramEnd"/>
      <w:r w:rsidRPr="006D5ACA">
        <w:rPr>
          <w:rFonts w:ascii="Open Sans" w:hAnsi="Open Sans" w:cs="Open Sans"/>
          <w:sz w:val="20"/>
          <w:szCs w:val="20"/>
        </w:rPr>
        <w:t xml:space="preserve"> but increases could be linked to milestones and demanded for each year that they do not reach User progression Milestone 7. This could be regardless of whether the project is resold and based on when the project originally entered the </w:t>
      </w:r>
      <w:r w:rsidR="00334BF2">
        <w:rPr>
          <w:rFonts w:ascii="Open Sans" w:hAnsi="Open Sans" w:cs="Open Sans"/>
          <w:sz w:val="20"/>
          <w:szCs w:val="20"/>
        </w:rPr>
        <w:t>queue</w:t>
      </w:r>
      <w:r w:rsidRPr="006D5ACA">
        <w:rPr>
          <w:rFonts w:ascii="Open Sans" w:hAnsi="Open Sans" w:cs="Open Sans"/>
          <w:sz w:val="20"/>
          <w:szCs w:val="20"/>
        </w:rPr>
        <w:t xml:space="preserve">.  This, therefore, creates an incentive to be building the project, rather than looking to resale it, while not creating an unnecessary high barrier and risk profile to join the </w:t>
      </w:r>
      <w:r w:rsidR="00334BF2">
        <w:rPr>
          <w:rFonts w:ascii="Open Sans" w:hAnsi="Open Sans" w:cs="Open Sans"/>
          <w:sz w:val="20"/>
          <w:szCs w:val="20"/>
        </w:rPr>
        <w:t>queue</w:t>
      </w:r>
      <w:r w:rsidRPr="006D5ACA">
        <w:rPr>
          <w:rFonts w:ascii="Open Sans" w:hAnsi="Open Sans" w:cs="Open Sans"/>
          <w:sz w:val="20"/>
          <w:szCs w:val="20"/>
        </w:rPr>
        <w:t xml:space="preserve">. </w:t>
      </w:r>
    </w:p>
    <w:p w14:paraId="3E8C2401" w14:textId="77777777" w:rsidR="00282144" w:rsidRPr="006D5ACA" w:rsidRDefault="00282144" w:rsidP="00282144">
      <w:pPr>
        <w:pStyle w:val="ListParagraph"/>
        <w:ind w:left="1080"/>
        <w:rPr>
          <w:rFonts w:ascii="Open Sans" w:hAnsi="Open Sans" w:cs="Open Sans"/>
          <w:sz w:val="20"/>
          <w:szCs w:val="20"/>
        </w:rPr>
      </w:pPr>
    </w:p>
    <w:p w14:paraId="4B026538" w14:textId="77777777" w:rsidR="00282144" w:rsidRPr="006D5ACA" w:rsidRDefault="00282144" w:rsidP="00282144">
      <w:pPr>
        <w:pStyle w:val="ListParagraph"/>
        <w:ind w:left="1080"/>
        <w:rPr>
          <w:rFonts w:ascii="Open Sans" w:hAnsi="Open Sans" w:cs="Open Sans"/>
          <w:sz w:val="20"/>
          <w:szCs w:val="20"/>
        </w:rPr>
      </w:pPr>
    </w:p>
    <w:p w14:paraId="1C9CF952" w14:textId="734306C9" w:rsidR="00282144" w:rsidRPr="00D901BB" w:rsidRDefault="004953B5" w:rsidP="00D901BB">
      <w:pPr>
        <w:rPr>
          <w:rFonts w:ascii="Open Sans" w:hAnsi="Open Sans" w:cs="Open Sans"/>
          <w:sz w:val="20"/>
          <w:szCs w:val="20"/>
        </w:rPr>
      </w:pPr>
      <w:r>
        <w:rPr>
          <w:rFonts w:ascii="Open Sans" w:hAnsi="Open Sans" w:cs="Open Sans"/>
          <w:sz w:val="20"/>
          <w:szCs w:val="20"/>
        </w:rPr>
        <w:lastRenderedPageBreak/>
        <w:t xml:space="preserve">[1] </w:t>
      </w:r>
      <w:hyperlink r:id="rId8" w:history="1">
        <w:r w:rsidRPr="004C33F0">
          <w:rPr>
            <w:rStyle w:val="Hyperlink"/>
            <w:rFonts w:ascii="Open Sans" w:hAnsi="Open Sans" w:cs="Open Sans"/>
            <w:sz w:val="20"/>
            <w:szCs w:val="20"/>
          </w:rPr>
          <w:t>https://www.neso.energy/news/eso-leads-way-major-initiative-accelerate-connections-electricity-transmission-grid</w:t>
        </w:r>
      </w:hyperlink>
      <w:r>
        <w:rPr>
          <w:rFonts w:ascii="Open Sans" w:hAnsi="Open Sans" w:cs="Open Sans"/>
          <w:sz w:val="20"/>
          <w:szCs w:val="20"/>
        </w:rPr>
        <w:t xml:space="preserve"> </w:t>
      </w:r>
    </w:p>
    <w:p w14:paraId="55FF1FD9" w14:textId="595D7BE0" w:rsidR="00144ED0" w:rsidRPr="006D5ACA" w:rsidRDefault="00144ED0" w:rsidP="00144ED0">
      <w:pPr>
        <w:rPr>
          <w:rFonts w:ascii="Open Sans" w:hAnsi="Open Sans" w:cs="Open Sans"/>
          <w:b/>
          <w:bCs/>
          <w:sz w:val="20"/>
          <w:szCs w:val="20"/>
        </w:rPr>
      </w:pPr>
      <w:r w:rsidRPr="006D5ACA">
        <w:rPr>
          <w:rFonts w:ascii="Open Sans" w:hAnsi="Open Sans" w:cs="Open Sans"/>
          <w:b/>
          <w:bCs/>
          <w:sz w:val="20"/>
          <w:szCs w:val="20"/>
        </w:rPr>
        <w:t xml:space="preserve">Q2: What </w:t>
      </w:r>
      <w:proofErr w:type="spellStart"/>
      <w:r w:rsidRPr="006D5ACA">
        <w:rPr>
          <w:rFonts w:ascii="Open Sans" w:hAnsi="Open Sans" w:cs="Open Sans"/>
          <w:b/>
          <w:bCs/>
          <w:sz w:val="20"/>
          <w:szCs w:val="20"/>
        </w:rPr>
        <w:t>conse</w:t>
      </w:r>
      <w:r w:rsidR="00334BF2">
        <w:rPr>
          <w:rFonts w:ascii="Open Sans" w:hAnsi="Open Sans" w:cs="Open Sans"/>
          <w:b/>
          <w:bCs/>
          <w:sz w:val="20"/>
          <w:szCs w:val="20"/>
        </w:rPr>
        <w:t>queue</w:t>
      </w:r>
      <w:r w:rsidRPr="006D5ACA">
        <w:rPr>
          <w:rFonts w:ascii="Open Sans" w:hAnsi="Open Sans" w:cs="Open Sans"/>
          <w:b/>
          <w:bCs/>
          <w:sz w:val="20"/>
          <w:szCs w:val="20"/>
        </w:rPr>
        <w:t>nces</w:t>
      </w:r>
      <w:proofErr w:type="spellEnd"/>
      <w:r w:rsidRPr="006D5ACA">
        <w:rPr>
          <w:rFonts w:ascii="Open Sans" w:hAnsi="Open Sans" w:cs="Open Sans"/>
          <w:b/>
          <w:bCs/>
          <w:sz w:val="20"/>
          <w:szCs w:val="20"/>
        </w:rPr>
        <w:t xml:space="preserve"> do you anticipate from introducing a financial instrument in the form that we have proposed? Please explain your response.</w:t>
      </w:r>
    </w:p>
    <w:p w14:paraId="3775AAF7" w14:textId="6AC32F6C" w:rsidR="00144ED0" w:rsidRPr="006D5ACA" w:rsidRDefault="00144ED0" w:rsidP="00144ED0">
      <w:pPr>
        <w:rPr>
          <w:rFonts w:ascii="Open Sans" w:hAnsi="Open Sans" w:cs="Open Sans"/>
          <w:sz w:val="20"/>
          <w:szCs w:val="20"/>
        </w:rPr>
      </w:pPr>
      <w:r w:rsidRPr="006D5ACA">
        <w:rPr>
          <w:rFonts w:ascii="Open Sans" w:hAnsi="Open Sans" w:cs="Open Sans"/>
          <w:sz w:val="20"/>
          <w:szCs w:val="20"/>
        </w:rPr>
        <w:t xml:space="preserve">REA members have indicated the high proposed commitment fee will see viable projects no longer able to continue with the risk being too high. Such developers </w:t>
      </w:r>
      <w:r w:rsidR="000450EF" w:rsidRPr="006D5ACA">
        <w:rPr>
          <w:rFonts w:ascii="Open Sans" w:hAnsi="Open Sans" w:cs="Open Sans"/>
          <w:sz w:val="20"/>
          <w:szCs w:val="20"/>
        </w:rPr>
        <w:t xml:space="preserve">suggest they </w:t>
      </w:r>
      <w:r w:rsidR="007A1E19" w:rsidRPr="006D5ACA">
        <w:rPr>
          <w:rFonts w:ascii="Open Sans" w:hAnsi="Open Sans" w:cs="Open Sans"/>
          <w:sz w:val="20"/>
          <w:szCs w:val="20"/>
        </w:rPr>
        <w:t>could</w:t>
      </w:r>
      <w:r w:rsidRPr="006D5ACA">
        <w:rPr>
          <w:rFonts w:ascii="Open Sans" w:hAnsi="Open Sans" w:cs="Open Sans"/>
          <w:sz w:val="20"/>
          <w:szCs w:val="20"/>
        </w:rPr>
        <w:t xml:space="preserve"> lose significant levels of DEVEX</w:t>
      </w:r>
      <w:r w:rsidR="000450EF" w:rsidRPr="006D5ACA">
        <w:rPr>
          <w:rFonts w:ascii="Open Sans" w:hAnsi="Open Sans" w:cs="Open Sans"/>
          <w:sz w:val="20"/>
          <w:szCs w:val="20"/>
        </w:rPr>
        <w:t xml:space="preserve"> that</w:t>
      </w:r>
      <w:r w:rsidRPr="006D5ACA">
        <w:rPr>
          <w:rFonts w:ascii="Open Sans" w:hAnsi="Open Sans" w:cs="Open Sans"/>
          <w:sz w:val="20"/>
          <w:szCs w:val="20"/>
        </w:rPr>
        <w:t xml:space="preserve"> is already committed, as a result. This is especially true for smaller developers, which state they are likely to exit the market, reducing competition. </w:t>
      </w:r>
    </w:p>
    <w:p w14:paraId="382C851F" w14:textId="77777777" w:rsidR="00144ED0" w:rsidRPr="006D5ACA" w:rsidRDefault="00144ED0" w:rsidP="00144ED0">
      <w:pPr>
        <w:rPr>
          <w:rFonts w:ascii="Open Sans" w:hAnsi="Open Sans" w:cs="Open Sans"/>
          <w:sz w:val="20"/>
          <w:szCs w:val="20"/>
        </w:rPr>
      </w:pPr>
      <w:r w:rsidRPr="006D5ACA">
        <w:rPr>
          <w:rFonts w:ascii="Open Sans" w:hAnsi="Open Sans" w:cs="Open Sans"/>
          <w:sz w:val="20"/>
          <w:szCs w:val="20"/>
        </w:rPr>
        <w:t xml:space="preserve">The presences of these proposals are also already having an impact with some members reporting that they are delaying development activities (such as surveys and planning) due to increased financial risks. </w:t>
      </w:r>
    </w:p>
    <w:p w14:paraId="4EBEB18E" w14:textId="24EC9DBF" w:rsidR="000450EF" w:rsidRPr="006D5ACA" w:rsidRDefault="00144ED0" w:rsidP="00144ED0">
      <w:pPr>
        <w:rPr>
          <w:rFonts w:ascii="Open Sans" w:hAnsi="Open Sans" w:cs="Open Sans"/>
          <w:sz w:val="20"/>
          <w:szCs w:val="20"/>
        </w:rPr>
      </w:pPr>
      <w:r w:rsidRPr="006D5ACA">
        <w:rPr>
          <w:rFonts w:ascii="Open Sans" w:hAnsi="Open Sans" w:cs="Open Sans"/>
          <w:sz w:val="20"/>
          <w:szCs w:val="20"/>
        </w:rPr>
        <w:t>The proposals a</w:t>
      </w:r>
      <w:r w:rsidR="009F667D">
        <w:rPr>
          <w:rFonts w:ascii="Open Sans" w:hAnsi="Open Sans" w:cs="Open Sans"/>
          <w:sz w:val="20"/>
          <w:szCs w:val="20"/>
        </w:rPr>
        <w:t>r</w:t>
      </w:r>
      <w:r w:rsidRPr="006D5ACA">
        <w:rPr>
          <w:rFonts w:ascii="Open Sans" w:hAnsi="Open Sans" w:cs="Open Sans"/>
          <w:sz w:val="20"/>
          <w:szCs w:val="20"/>
        </w:rPr>
        <w:t>e also considered retrospective in nature, which will undermine investor confidence across the UK renewable sector.</w:t>
      </w:r>
    </w:p>
    <w:p w14:paraId="1EFBC35E" w14:textId="1D7B409B" w:rsidR="00144ED0" w:rsidRPr="006D5ACA" w:rsidRDefault="00144ED0" w:rsidP="00144ED0">
      <w:pPr>
        <w:rPr>
          <w:rFonts w:ascii="Open Sans" w:hAnsi="Open Sans" w:cs="Open Sans"/>
          <w:sz w:val="20"/>
          <w:szCs w:val="20"/>
        </w:rPr>
      </w:pPr>
      <w:r w:rsidRPr="006D5ACA">
        <w:rPr>
          <w:rFonts w:ascii="Open Sans" w:hAnsi="Open Sans" w:cs="Open Sans"/>
          <w:sz w:val="20"/>
          <w:szCs w:val="20"/>
        </w:rPr>
        <w:t xml:space="preserve">Below in </w:t>
      </w:r>
      <w:r w:rsidR="00EA1C4D">
        <w:rPr>
          <w:rFonts w:ascii="Open Sans" w:hAnsi="Open Sans" w:cs="Open Sans"/>
          <w:sz w:val="20"/>
          <w:szCs w:val="20"/>
        </w:rPr>
        <w:t>quest</w:t>
      </w:r>
      <w:r w:rsidR="00EA1C4D" w:rsidRPr="006D5ACA">
        <w:rPr>
          <w:rFonts w:ascii="Open Sans" w:hAnsi="Open Sans" w:cs="Open Sans"/>
          <w:sz w:val="20"/>
          <w:szCs w:val="20"/>
        </w:rPr>
        <w:t>ion</w:t>
      </w:r>
      <w:r w:rsidRPr="006D5ACA">
        <w:rPr>
          <w:rFonts w:ascii="Open Sans" w:hAnsi="Open Sans" w:cs="Open Sans"/>
          <w:sz w:val="20"/>
          <w:szCs w:val="20"/>
        </w:rPr>
        <w:t xml:space="preserve"> 5, we provide </w:t>
      </w:r>
      <w:r w:rsidR="00F41505">
        <w:rPr>
          <w:rFonts w:ascii="Open Sans" w:hAnsi="Open Sans" w:cs="Open Sans"/>
          <w:sz w:val="20"/>
          <w:szCs w:val="20"/>
        </w:rPr>
        <w:t xml:space="preserve">a </w:t>
      </w:r>
      <w:r w:rsidRPr="006D5ACA">
        <w:rPr>
          <w:rFonts w:ascii="Open Sans" w:hAnsi="Open Sans" w:cs="Open Sans"/>
          <w:sz w:val="20"/>
          <w:szCs w:val="20"/>
        </w:rPr>
        <w:t>case stud</w:t>
      </w:r>
      <w:r w:rsidR="00F41505">
        <w:rPr>
          <w:rFonts w:ascii="Open Sans" w:hAnsi="Open Sans" w:cs="Open Sans"/>
          <w:sz w:val="20"/>
          <w:szCs w:val="20"/>
        </w:rPr>
        <w:t>y</w:t>
      </w:r>
      <w:r w:rsidRPr="006D5ACA">
        <w:rPr>
          <w:rFonts w:ascii="Open Sans" w:hAnsi="Open Sans" w:cs="Open Sans"/>
          <w:sz w:val="20"/>
          <w:szCs w:val="20"/>
        </w:rPr>
        <w:t xml:space="preserve"> of where significant investment has already been made and where these new requirements could undermine </w:t>
      </w:r>
      <w:r w:rsidR="000450EF" w:rsidRPr="006D5ACA">
        <w:rPr>
          <w:rFonts w:ascii="Open Sans" w:hAnsi="Open Sans" w:cs="Open Sans"/>
          <w:sz w:val="20"/>
          <w:szCs w:val="20"/>
        </w:rPr>
        <w:t>such</w:t>
      </w:r>
      <w:r w:rsidRPr="006D5ACA">
        <w:rPr>
          <w:rFonts w:ascii="Open Sans" w:hAnsi="Open Sans" w:cs="Open Sans"/>
          <w:sz w:val="20"/>
          <w:szCs w:val="20"/>
        </w:rPr>
        <w:t xml:space="preserve"> projects. This could drive investment to other markets and place achieving Clean Power 2030 at risk. </w:t>
      </w:r>
    </w:p>
    <w:p w14:paraId="1CD1D1E1" w14:textId="4DBC9552" w:rsidR="00144ED0" w:rsidRPr="006D5ACA" w:rsidRDefault="00144ED0" w:rsidP="00144ED0">
      <w:pPr>
        <w:rPr>
          <w:rFonts w:ascii="Open Sans" w:hAnsi="Open Sans" w:cs="Open Sans"/>
          <w:b/>
          <w:bCs/>
          <w:sz w:val="20"/>
          <w:szCs w:val="20"/>
        </w:rPr>
      </w:pPr>
      <w:r w:rsidRPr="006D5ACA">
        <w:rPr>
          <w:rFonts w:ascii="Open Sans" w:hAnsi="Open Sans" w:cs="Open Sans"/>
          <w:b/>
          <w:bCs/>
          <w:sz w:val="20"/>
          <w:szCs w:val="20"/>
        </w:rPr>
        <w:t>Q3: Do you agree that only parties that are currently subject to User Commitment obligations should be subject to the new requirement? Are there any additional parties that it should be applicable to? Or should there be any exclusions? Please explain.</w:t>
      </w:r>
    </w:p>
    <w:p w14:paraId="5614A532" w14:textId="1ACBC53F" w:rsidR="00144ED0" w:rsidRPr="006D5ACA" w:rsidRDefault="00144ED0" w:rsidP="00144ED0">
      <w:pPr>
        <w:rPr>
          <w:rFonts w:ascii="Open Sans" w:hAnsi="Open Sans" w:cs="Open Sans"/>
          <w:sz w:val="20"/>
          <w:szCs w:val="20"/>
        </w:rPr>
      </w:pPr>
      <w:r w:rsidRPr="006D5ACA">
        <w:rPr>
          <w:rFonts w:ascii="Open Sans" w:hAnsi="Open Sans" w:cs="Open Sans"/>
          <w:sz w:val="20"/>
          <w:szCs w:val="20"/>
        </w:rPr>
        <w:t xml:space="preserve">If a financial instrument is introduced, then it should only apply to those currently subject to User Commitment Obligations. As express in </w:t>
      </w:r>
      <w:r w:rsidR="00F41505">
        <w:rPr>
          <w:rFonts w:ascii="Open Sans" w:hAnsi="Open Sans" w:cs="Open Sans"/>
          <w:sz w:val="20"/>
          <w:szCs w:val="20"/>
        </w:rPr>
        <w:t>quest</w:t>
      </w:r>
      <w:r w:rsidR="00F41505" w:rsidRPr="006D5ACA">
        <w:rPr>
          <w:rFonts w:ascii="Open Sans" w:hAnsi="Open Sans" w:cs="Open Sans"/>
          <w:sz w:val="20"/>
          <w:szCs w:val="20"/>
        </w:rPr>
        <w:t>ion</w:t>
      </w:r>
      <w:r w:rsidRPr="006D5ACA">
        <w:rPr>
          <w:rFonts w:ascii="Open Sans" w:hAnsi="Open Sans" w:cs="Open Sans"/>
          <w:sz w:val="20"/>
          <w:szCs w:val="20"/>
        </w:rPr>
        <w:t xml:space="preserve"> 1, we believe the required security needs to be appropriate to the size of the developer and technology class. This does not equate to an exclusion, but ensuring required commitments are proportionate.</w:t>
      </w:r>
    </w:p>
    <w:p w14:paraId="6539E086" w14:textId="1E4B11FD" w:rsidR="00144ED0" w:rsidRPr="006D5ACA" w:rsidRDefault="00144ED0" w:rsidP="00144ED0">
      <w:pPr>
        <w:rPr>
          <w:rFonts w:ascii="Open Sans" w:hAnsi="Open Sans" w:cs="Open Sans"/>
          <w:b/>
          <w:bCs/>
          <w:sz w:val="20"/>
          <w:szCs w:val="20"/>
        </w:rPr>
      </w:pPr>
      <w:r w:rsidRPr="006D5ACA">
        <w:rPr>
          <w:rFonts w:ascii="Open Sans" w:hAnsi="Open Sans" w:cs="Open Sans"/>
          <w:b/>
          <w:bCs/>
          <w:sz w:val="20"/>
          <w:szCs w:val="20"/>
        </w:rPr>
        <w:t>Q4: Please detail any existing financial security requirements you believe should be considered in the development of a financial instrument modification.</w:t>
      </w:r>
    </w:p>
    <w:p w14:paraId="786770AF" w14:textId="69DA63F7" w:rsidR="00144ED0" w:rsidRPr="006D5ACA" w:rsidRDefault="00144ED0" w:rsidP="00144ED0">
      <w:pPr>
        <w:spacing w:after="0" w:line="240" w:lineRule="auto"/>
        <w:rPr>
          <w:rFonts w:ascii="Open Sans" w:hAnsi="Open Sans" w:cs="Open Sans"/>
          <w:sz w:val="20"/>
          <w:szCs w:val="20"/>
        </w:rPr>
      </w:pPr>
      <w:r w:rsidRPr="006D5ACA">
        <w:rPr>
          <w:rFonts w:ascii="Open Sans" w:hAnsi="Open Sans" w:cs="Open Sans"/>
          <w:sz w:val="20"/>
          <w:szCs w:val="20"/>
        </w:rPr>
        <w:t>The proposed capacity co</w:t>
      </w:r>
      <w:r w:rsidR="000450EF" w:rsidRPr="006D5ACA">
        <w:rPr>
          <w:rFonts w:ascii="Open Sans" w:hAnsi="Open Sans" w:cs="Open Sans"/>
          <w:sz w:val="20"/>
          <w:szCs w:val="20"/>
        </w:rPr>
        <w:t>mmitment</w:t>
      </w:r>
      <w:r w:rsidRPr="006D5ACA">
        <w:rPr>
          <w:rFonts w:ascii="Open Sans" w:hAnsi="Open Sans" w:cs="Open Sans"/>
          <w:sz w:val="20"/>
          <w:szCs w:val="20"/>
        </w:rPr>
        <w:t xml:space="preserve"> fee </w:t>
      </w:r>
      <w:r w:rsidR="000450EF" w:rsidRPr="006D5ACA">
        <w:rPr>
          <w:rFonts w:ascii="Open Sans" w:hAnsi="Open Sans" w:cs="Open Sans"/>
          <w:sz w:val="20"/>
          <w:szCs w:val="20"/>
        </w:rPr>
        <w:t xml:space="preserve">raises </w:t>
      </w:r>
      <w:r w:rsidR="00794440" w:rsidRPr="006D5ACA">
        <w:rPr>
          <w:rFonts w:ascii="Open Sans" w:hAnsi="Open Sans" w:cs="Open Sans"/>
          <w:sz w:val="20"/>
          <w:szCs w:val="20"/>
        </w:rPr>
        <w:t>are</w:t>
      </w:r>
      <w:r w:rsidR="000450EF" w:rsidRPr="006D5ACA">
        <w:rPr>
          <w:rFonts w:ascii="Open Sans" w:hAnsi="Open Sans" w:cs="Open Sans"/>
          <w:sz w:val="20"/>
          <w:szCs w:val="20"/>
        </w:rPr>
        <w:t xml:space="preserve"> estimated in many cases to raise the</w:t>
      </w:r>
      <w:r w:rsidRPr="006D5ACA">
        <w:rPr>
          <w:rFonts w:ascii="Open Sans" w:hAnsi="Open Sans" w:cs="Open Sans"/>
          <w:sz w:val="20"/>
          <w:szCs w:val="20"/>
        </w:rPr>
        <w:t xml:space="preserve"> committed development risk from a couple of million to tens of millions of pounds, which </w:t>
      </w:r>
      <w:proofErr w:type="gramStart"/>
      <w:r w:rsidRPr="006D5ACA">
        <w:rPr>
          <w:rFonts w:ascii="Open Sans" w:hAnsi="Open Sans" w:cs="Open Sans"/>
          <w:sz w:val="20"/>
          <w:szCs w:val="20"/>
        </w:rPr>
        <w:t>has to</w:t>
      </w:r>
      <w:proofErr w:type="gramEnd"/>
      <w:r w:rsidRPr="006D5ACA">
        <w:rPr>
          <w:rFonts w:ascii="Open Sans" w:hAnsi="Open Sans" w:cs="Open Sans"/>
          <w:sz w:val="20"/>
          <w:szCs w:val="20"/>
        </w:rPr>
        <w:t xml:space="preserve"> be put up in advance and would likely be lost if the project does not proceed. </w:t>
      </w:r>
    </w:p>
    <w:p w14:paraId="5CC594D7" w14:textId="77777777" w:rsidR="00144ED0" w:rsidRPr="006D5ACA" w:rsidRDefault="00144ED0" w:rsidP="00144ED0">
      <w:pPr>
        <w:spacing w:after="0" w:line="240" w:lineRule="auto"/>
        <w:rPr>
          <w:rFonts w:ascii="Open Sans" w:hAnsi="Open Sans" w:cs="Open Sans"/>
          <w:sz w:val="20"/>
          <w:szCs w:val="20"/>
        </w:rPr>
      </w:pPr>
    </w:p>
    <w:p w14:paraId="3F910298" w14:textId="77D2E476" w:rsidR="00144ED0" w:rsidRPr="006D5ACA" w:rsidRDefault="00144ED0" w:rsidP="00144ED0">
      <w:pPr>
        <w:spacing w:after="0" w:line="240" w:lineRule="auto"/>
        <w:rPr>
          <w:rFonts w:ascii="Open Sans" w:hAnsi="Open Sans" w:cs="Open Sans"/>
          <w:sz w:val="20"/>
          <w:szCs w:val="20"/>
        </w:rPr>
      </w:pPr>
      <w:r w:rsidRPr="006D5ACA">
        <w:rPr>
          <w:rFonts w:ascii="Open Sans" w:hAnsi="Open Sans" w:cs="Open Sans"/>
          <w:sz w:val="20"/>
          <w:szCs w:val="20"/>
        </w:rPr>
        <w:t xml:space="preserve">Such </w:t>
      </w:r>
      <w:r w:rsidR="000450EF" w:rsidRPr="006D5ACA">
        <w:rPr>
          <w:rFonts w:ascii="Open Sans" w:hAnsi="Open Sans" w:cs="Open Sans"/>
          <w:sz w:val="20"/>
          <w:szCs w:val="20"/>
        </w:rPr>
        <w:t xml:space="preserve">additional commitments </w:t>
      </w:r>
      <w:r w:rsidRPr="006D5ACA">
        <w:rPr>
          <w:rFonts w:ascii="Open Sans" w:hAnsi="Open Sans" w:cs="Open Sans"/>
          <w:sz w:val="20"/>
          <w:szCs w:val="20"/>
        </w:rPr>
        <w:t>include:</w:t>
      </w:r>
    </w:p>
    <w:p w14:paraId="391D4867" w14:textId="77777777" w:rsidR="00144ED0" w:rsidRPr="006D5ACA" w:rsidRDefault="00144ED0" w:rsidP="00144ED0">
      <w:pPr>
        <w:spacing w:after="0" w:line="240" w:lineRule="auto"/>
        <w:rPr>
          <w:rFonts w:ascii="Open Sans" w:hAnsi="Open Sans" w:cs="Open Sans"/>
          <w:sz w:val="20"/>
          <w:szCs w:val="20"/>
        </w:rPr>
      </w:pPr>
      <w:r w:rsidRPr="006D5ACA">
        <w:rPr>
          <w:rFonts w:ascii="Open Sans" w:hAnsi="Open Sans" w:cs="Open Sans"/>
          <w:sz w:val="20"/>
          <w:szCs w:val="20"/>
        </w:rPr>
        <w:t>-</w:t>
      </w:r>
      <w:r w:rsidRPr="006D5ACA">
        <w:rPr>
          <w:rFonts w:ascii="Open Sans" w:hAnsi="Open Sans" w:cs="Open Sans"/>
          <w:sz w:val="20"/>
          <w:szCs w:val="20"/>
        </w:rPr>
        <w:tab/>
        <w:t>Existing connection securities and User Commitments</w:t>
      </w:r>
    </w:p>
    <w:p w14:paraId="336F6053" w14:textId="77777777" w:rsidR="00144ED0" w:rsidRPr="006D5ACA" w:rsidRDefault="00144ED0" w:rsidP="00144ED0">
      <w:pPr>
        <w:spacing w:after="0" w:line="240" w:lineRule="auto"/>
        <w:rPr>
          <w:rFonts w:ascii="Open Sans" w:hAnsi="Open Sans" w:cs="Open Sans"/>
          <w:sz w:val="20"/>
          <w:szCs w:val="20"/>
        </w:rPr>
      </w:pPr>
      <w:r w:rsidRPr="006D5ACA">
        <w:rPr>
          <w:rFonts w:ascii="Open Sans" w:hAnsi="Open Sans" w:cs="Open Sans"/>
          <w:sz w:val="20"/>
          <w:szCs w:val="20"/>
        </w:rPr>
        <w:t>-</w:t>
      </w:r>
      <w:r w:rsidRPr="006D5ACA">
        <w:rPr>
          <w:rFonts w:ascii="Open Sans" w:hAnsi="Open Sans" w:cs="Open Sans"/>
          <w:sz w:val="20"/>
          <w:szCs w:val="20"/>
        </w:rPr>
        <w:tab/>
        <w:t>Planning Permissions</w:t>
      </w:r>
    </w:p>
    <w:p w14:paraId="52CF1FE0" w14:textId="77777777" w:rsidR="00144ED0" w:rsidRPr="006D5ACA" w:rsidRDefault="00144ED0" w:rsidP="00144ED0">
      <w:pPr>
        <w:spacing w:after="0" w:line="240" w:lineRule="auto"/>
        <w:rPr>
          <w:rFonts w:ascii="Open Sans" w:hAnsi="Open Sans" w:cs="Open Sans"/>
          <w:sz w:val="20"/>
          <w:szCs w:val="20"/>
        </w:rPr>
      </w:pPr>
      <w:r w:rsidRPr="006D5ACA">
        <w:rPr>
          <w:rFonts w:ascii="Open Sans" w:hAnsi="Open Sans" w:cs="Open Sans"/>
          <w:sz w:val="20"/>
          <w:szCs w:val="20"/>
        </w:rPr>
        <w:t>-</w:t>
      </w:r>
      <w:r w:rsidRPr="006D5ACA">
        <w:rPr>
          <w:rFonts w:ascii="Open Sans" w:hAnsi="Open Sans" w:cs="Open Sans"/>
          <w:sz w:val="20"/>
          <w:szCs w:val="20"/>
        </w:rPr>
        <w:tab/>
        <w:t>DCO examinations</w:t>
      </w:r>
    </w:p>
    <w:p w14:paraId="495252C8" w14:textId="77777777" w:rsidR="00144ED0" w:rsidRPr="006D5ACA" w:rsidRDefault="00144ED0" w:rsidP="00144ED0">
      <w:pPr>
        <w:spacing w:after="0" w:line="240" w:lineRule="auto"/>
        <w:rPr>
          <w:rFonts w:ascii="Open Sans" w:hAnsi="Open Sans" w:cs="Open Sans"/>
          <w:sz w:val="20"/>
          <w:szCs w:val="20"/>
        </w:rPr>
      </w:pPr>
    </w:p>
    <w:p w14:paraId="6FDD3410" w14:textId="4D4A3298" w:rsidR="00144ED0" w:rsidRPr="006D5ACA" w:rsidRDefault="00144ED0" w:rsidP="00144ED0">
      <w:pPr>
        <w:spacing w:after="0" w:line="240" w:lineRule="auto"/>
        <w:rPr>
          <w:rFonts w:ascii="Open Sans" w:hAnsi="Open Sans" w:cs="Open Sans"/>
          <w:sz w:val="20"/>
          <w:szCs w:val="20"/>
        </w:rPr>
      </w:pPr>
      <w:r w:rsidRPr="006D5ACA">
        <w:rPr>
          <w:rFonts w:ascii="Open Sans" w:hAnsi="Open Sans" w:cs="Open Sans"/>
          <w:sz w:val="20"/>
          <w:szCs w:val="20"/>
        </w:rPr>
        <w:t xml:space="preserve">Mitigating the impact of the Connection Commitment Fee, when considered alongside these additional costs, could be </w:t>
      </w:r>
      <w:r w:rsidR="000450EF" w:rsidRPr="006D5ACA">
        <w:rPr>
          <w:rFonts w:ascii="Open Sans" w:hAnsi="Open Sans" w:cs="Open Sans"/>
          <w:sz w:val="20"/>
          <w:szCs w:val="20"/>
        </w:rPr>
        <w:t xml:space="preserve">done </w:t>
      </w:r>
      <w:r w:rsidRPr="006D5ACA">
        <w:rPr>
          <w:rFonts w:ascii="Open Sans" w:hAnsi="Open Sans" w:cs="Open Sans"/>
          <w:sz w:val="20"/>
          <w:szCs w:val="20"/>
        </w:rPr>
        <w:t>through a structure that recognises that early-stage projects</w:t>
      </w:r>
      <w:r w:rsidR="000450EF" w:rsidRPr="006D5ACA">
        <w:rPr>
          <w:rFonts w:ascii="Open Sans" w:hAnsi="Open Sans" w:cs="Open Sans"/>
          <w:sz w:val="20"/>
          <w:szCs w:val="20"/>
        </w:rPr>
        <w:t xml:space="preserve"> are unable </w:t>
      </w:r>
      <w:r w:rsidRPr="006D5ACA">
        <w:rPr>
          <w:rFonts w:ascii="Open Sans" w:hAnsi="Open Sans" w:cs="Open Sans"/>
          <w:sz w:val="20"/>
          <w:szCs w:val="20"/>
        </w:rPr>
        <w:t>to put up significant volumes of securities. A requirement that</w:t>
      </w:r>
      <w:r w:rsidR="000450EF" w:rsidRPr="006D5ACA">
        <w:rPr>
          <w:rFonts w:ascii="Open Sans" w:hAnsi="Open Sans" w:cs="Open Sans"/>
          <w:sz w:val="20"/>
          <w:szCs w:val="20"/>
        </w:rPr>
        <w:t>,</w:t>
      </w:r>
      <w:r w:rsidRPr="006D5ACA">
        <w:rPr>
          <w:rFonts w:ascii="Open Sans" w:hAnsi="Open Sans" w:cs="Open Sans"/>
          <w:sz w:val="20"/>
          <w:szCs w:val="20"/>
        </w:rPr>
        <w:t xml:space="preserve"> therefore</w:t>
      </w:r>
      <w:r w:rsidR="000450EF" w:rsidRPr="006D5ACA">
        <w:rPr>
          <w:rFonts w:ascii="Open Sans" w:hAnsi="Open Sans" w:cs="Open Sans"/>
          <w:sz w:val="20"/>
          <w:szCs w:val="20"/>
        </w:rPr>
        <w:t>,</w:t>
      </w:r>
      <w:r w:rsidRPr="006D5ACA">
        <w:rPr>
          <w:rFonts w:ascii="Open Sans" w:hAnsi="Open Sans" w:cs="Open Sans"/>
          <w:sz w:val="20"/>
          <w:szCs w:val="20"/>
        </w:rPr>
        <w:t xml:space="preserve"> starts low and increases over time, aligned with the grid milestones would help to ensure that projects are being encouraged to progress and that securities remain proportional as projects develop.  </w:t>
      </w:r>
    </w:p>
    <w:p w14:paraId="4E0544DE" w14:textId="77777777" w:rsidR="00144ED0" w:rsidRPr="006D5ACA" w:rsidRDefault="00144ED0" w:rsidP="00144ED0">
      <w:pPr>
        <w:spacing w:after="0" w:line="240" w:lineRule="auto"/>
        <w:rPr>
          <w:rFonts w:ascii="Open Sans" w:hAnsi="Open Sans" w:cs="Open Sans"/>
          <w:sz w:val="20"/>
          <w:szCs w:val="20"/>
        </w:rPr>
      </w:pPr>
    </w:p>
    <w:p w14:paraId="254EF612" w14:textId="1FE59FAD" w:rsidR="00144ED0" w:rsidRPr="006D5ACA" w:rsidRDefault="00144ED0" w:rsidP="00144ED0">
      <w:pPr>
        <w:rPr>
          <w:rFonts w:ascii="Open Sans" w:hAnsi="Open Sans" w:cs="Open Sans"/>
          <w:sz w:val="20"/>
          <w:szCs w:val="20"/>
        </w:rPr>
      </w:pPr>
      <w:r w:rsidRPr="006D5ACA">
        <w:rPr>
          <w:rFonts w:ascii="Open Sans" w:hAnsi="Open Sans" w:cs="Open Sans"/>
          <w:sz w:val="20"/>
          <w:szCs w:val="20"/>
        </w:rPr>
        <w:t xml:space="preserve">It is also important to consider how these reforms will interact with the wider connection reform proposals. Proposals to increase requirements for achieving Gate 2 are </w:t>
      </w:r>
      <w:r w:rsidR="000450EF" w:rsidRPr="006D5ACA">
        <w:rPr>
          <w:rFonts w:ascii="Open Sans" w:hAnsi="Open Sans" w:cs="Open Sans"/>
          <w:sz w:val="20"/>
          <w:szCs w:val="20"/>
        </w:rPr>
        <w:t>welcome but</w:t>
      </w:r>
      <w:r w:rsidRPr="006D5ACA">
        <w:rPr>
          <w:rFonts w:ascii="Open Sans" w:hAnsi="Open Sans" w:cs="Open Sans"/>
          <w:sz w:val="20"/>
          <w:szCs w:val="20"/>
        </w:rPr>
        <w:t xml:space="preserve"> do themselves come with requirements for increased committed investment, which is added to the </w:t>
      </w:r>
      <w:r w:rsidRPr="006D5ACA">
        <w:rPr>
          <w:rFonts w:ascii="Open Sans" w:hAnsi="Open Sans" w:cs="Open Sans"/>
          <w:sz w:val="20"/>
          <w:szCs w:val="20"/>
        </w:rPr>
        <w:lastRenderedPageBreak/>
        <w:t xml:space="preserve">securities being proposed here. </w:t>
      </w:r>
      <w:r w:rsidR="000450EF" w:rsidRPr="006D5ACA">
        <w:rPr>
          <w:rFonts w:ascii="Open Sans" w:hAnsi="Open Sans" w:cs="Open Sans"/>
          <w:sz w:val="20"/>
          <w:szCs w:val="20"/>
        </w:rPr>
        <w:t xml:space="preserve">The impact of these reforms should be properly assessed and delivered first, before setting the level of the Capacity Commitment Fee. </w:t>
      </w:r>
    </w:p>
    <w:p w14:paraId="5A10377E" w14:textId="5A98A1EB" w:rsidR="00144ED0" w:rsidRPr="006D5ACA" w:rsidRDefault="00144ED0" w:rsidP="00144ED0">
      <w:pPr>
        <w:rPr>
          <w:rFonts w:ascii="Open Sans" w:hAnsi="Open Sans" w:cs="Open Sans"/>
          <w:b/>
          <w:bCs/>
          <w:sz w:val="20"/>
          <w:szCs w:val="20"/>
        </w:rPr>
      </w:pPr>
      <w:r w:rsidRPr="006D5ACA">
        <w:rPr>
          <w:rFonts w:ascii="Open Sans" w:hAnsi="Open Sans" w:cs="Open Sans"/>
          <w:b/>
          <w:bCs/>
          <w:sz w:val="20"/>
          <w:szCs w:val="20"/>
        </w:rPr>
        <w:t xml:space="preserve">Q5: Do you see any </w:t>
      </w:r>
      <w:proofErr w:type="gramStart"/>
      <w:r w:rsidRPr="006D5ACA">
        <w:rPr>
          <w:rFonts w:ascii="Open Sans" w:hAnsi="Open Sans" w:cs="Open Sans"/>
          <w:b/>
          <w:bCs/>
          <w:sz w:val="20"/>
          <w:szCs w:val="20"/>
        </w:rPr>
        <w:t>risks  to</w:t>
      </w:r>
      <w:proofErr w:type="gramEnd"/>
      <w:r w:rsidRPr="006D5ACA">
        <w:rPr>
          <w:rFonts w:ascii="Open Sans" w:hAnsi="Open Sans" w:cs="Open Sans"/>
          <w:b/>
          <w:bCs/>
          <w:sz w:val="20"/>
          <w:szCs w:val="20"/>
        </w:rPr>
        <w:t xml:space="preserve"> the profitability or financial viability of your projects arising from the introduction of the financial instrument? If so, </w:t>
      </w:r>
    </w:p>
    <w:p w14:paraId="3B2DCF90" w14:textId="11EC0F71" w:rsidR="00144ED0" w:rsidRPr="006D5ACA" w:rsidRDefault="00144ED0" w:rsidP="00144ED0">
      <w:pPr>
        <w:spacing w:after="0" w:line="240" w:lineRule="auto"/>
        <w:rPr>
          <w:rFonts w:ascii="Open Sans" w:hAnsi="Open Sans" w:cs="Open Sans"/>
          <w:i/>
          <w:iCs/>
          <w:sz w:val="20"/>
          <w:szCs w:val="20"/>
        </w:rPr>
      </w:pPr>
      <w:r w:rsidRPr="006D5ACA">
        <w:rPr>
          <w:rFonts w:ascii="Open Sans" w:hAnsi="Open Sans" w:cs="Open Sans"/>
          <w:i/>
          <w:iCs/>
          <w:sz w:val="20"/>
          <w:szCs w:val="20"/>
        </w:rPr>
        <w:t xml:space="preserve">• Please explain what those risks are, their cause and whether they are technology </w:t>
      </w:r>
      <w:proofErr w:type="gramStart"/>
      <w:r w:rsidRPr="006D5ACA">
        <w:rPr>
          <w:rFonts w:ascii="Open Sans" w:hAnsi="Open Sans" w:cs="Open Sans"/>
          <w:i/>
          <w:iCs/>
          <w:sz w:val="20"/>
          <w:szCs w:val="20"/>
        </w:rPr>
        <w:t>dependent;</w:t>
      </w:r>
      <w:proofErr w:type="gramEnd"/>
    </w:p>
    <w:p w14:paraId="6780ABA4" w14:textId="66C01DAD" w:rsidR="00144ED0" w:rsidRPr="006D5ACA" w:rsidRDefault="00144ED0" w:rsidP="00144ED0">
      <w:pPr>
        <w:spacing w:after="0" w:line="240" w:lineRule="auto"/>
        <w:rPr>
          <w:rFonts w:ascii="Open Sans" w:hAnsi="Open Sans" w:cs="Open Sans"/>
          <w:i/>
          <w:iCs/>
          <w:sz w:val="20"/>
          <w:szCs w:val="20"/>
        </w:rPr>
      </w:pPr>
      <w:r w:rsidRPr="006D5ACA">
        <w:rPr>
          <w:rFonts w:ascii="Open Sans" w:hAnsi="Open Sans" w:cs="Open Sans"/>
          <w:i/>
          <w:iCs/>
          <w:sz w:val="20"/>
          <w:szCs w:val="20"/>
        </w:rPr>
        <w:t>• If possible, please provide a ranking of those risks in the order of their likely magnitude; and</w:t>
      </w:r>
    </w:p>
    <w:p w14:paraId="4E4594BC" w14:textId="62B7F861" w:rsidR="00144ED0" w:rsidRPr="006D5ACA" w:rsidRDefault="00144ED0" w:rsidP="00144ED0">
      <w:pPr>
        <w:spacing w:after="0" w:line="240" w:lineRule="auto"/>
        <w:rPr>
          <w:rFonts w:ascii="Open Sans" w:hAnsi="Open Sans" w:cs="Open Sans"/>
          <w:i/>
          <w:iCs/>
          <w:sz w:val="20"/>
          <w:szCs w:val="20"/>
        </w:rPr>
      </w:pPr>
      <w:r w:rsidRPr="006D5ACA">
        <w:rPr>
          <w:rFonts w:ascii="Open Sans" w:hAnsi="Open Sans" w:cs="Open Sans"/>
          <w:i/>
          <w:iCs/>
          <w:sz w:val="20"/>
          <w:szCs w:val="20"/>
        </w:rPr>
        <w:t>• Outline any mitigations for those risks that should be considered.</w:t>
      </w:r>
    </w:p>
    <w:p w14:paraId="26AA0A8C" w14:textId="77777777" w:rsidR="00144ED0" w:rsidRPr="006D5ACA" w:rsidRDefault="00144ED0" w:rsidP="00144ED0">
      <w:pPr>
        <w:rPr>
          <w:rFonts w:ascii="Open Sans" w:hAnsi="Open Sans" w:cs="Open Sans"/>
          <w:sz w:val="20"/>
          <w:szCs w:val="20"/>
        </w:rPr>
      </w:pPr>
    </w:p>
    <w:p w14:paraId="4E77B5C0" w14:textId="53F07B6F" w:rsidR="00144ED0" w:rsidRPr="006D5ACA" w:rsidRDefault="0067595C" w:rsidP="00144ED0">
      <w:pPr>
        <w:rPr>
          <w:rFonts w:ascii="Open Sans" w:hAnsi="Open Sans" w:cs="Open Sans"/>
          <w:sz w:val="20"/>
          <w:szCs w:val="20"/>
        </w:rPr>
      </w:pPr>
      <w:r w:rsidRPr="006D5ACA">
        <w:rPr>
          <w:rFonts w:ascii="Open Sans" w:hAnsi="Open Sans" w:cs="Open Sans"/>
          <w:sz w:val="20"/>
          <w:szCs w:val="20"/>
        </w:rPr>
        <w:t>A few</w:t>
      </w:r>
      <w:r w:rsidR="00144ED0" w:rsidRPr="006D5ACA">
        <w:rPr>
          <w:rFonts w:ascii="Open Sans" w:hAnsi="Open Sans" w:cs="Open Sans"/>
          <w:sz w:val="20"/>
          <w:szCs w:val="20"/>
        </w:rPr>
        <w:t xml:space="preserve"> members have indicated that the development risk that will be placed on</w:t>
      </w:r>
      <w:r w:rsidR="000450EF" w:rsidRPr="006D5ACA">
        <w:rPr>
          <w:rFonts w:ascii="Open Sans" w:hAnsi="Open Sans" w:cs="Open Sans"/>
          <w:sz w:val="20"/>
          <w:szCs w:val="20"/>
        </w:rPr>
        <w:t xml:space="preserve"> them </w:t>
      </w:r>
      <w:proofErr w:type="gramStart"/>
      <w:r w:rsidR="00144ED0" w:rsidRPr="006D5ACA">
        <w:rPr>
          <w:rFonts w:ascii="Open Sans" w:hAnsi="Open Sans" w:cs="Open Sans"/>
          <w:sz w:val="20"/>
          <w:szCs w:val="20"/>
        </w:rPr>
        <w:t>as a result of</w:t>
      </w:r>
      <w:proofErr w:type="gramEnd"/>
      <w:r w:rsidR="00144ED0" w:rsidRPr="006D5ACA">
        <w:rPr>
          <w:rFonts w:ascii="Open Sans" w:hAnsi="Open Sans" w:cs="Open Sans"/>
          <w:sz w:val="20"/>
          <w:szCs w:val="20"/>
        </w:rPr>
        <w:t xml:space="preserve"> these proposals </w:t>
      </w:r>
      <w:r w:rsidR="000450EF" w:rsidRPr="006D5ACA">
        <w:rPr>
          <w:rFonts w:ascii="Open Sans" w:hAnsi="Open Sans" w:cs="Open Sans"/>
          <w:sz w:val="20"/>
          <w:szCs w:val="20"/>
        </w:rPr>
        <w:t xml:space="preserve">could </w:t>
      </w:r>
      <w:r w:rsidR="00144ED0" w:rsidRPr="006D5ACA">
        <w:rPr>
          <w:rFonts w:ascii="Open Sans" w:hAnsi="Open Sans" w:cs="Open Sans"/>
          <w:sz w:val="20"/>
          <w:szCs w:val="20"/>
        </w:rPr>
        <w:t>create too higher a risk for their projects to continue. Below we provide individual case studies. These have been anonymised for commercial sensitives:</w:t>
      </w:r>
    </w:p>
    <w:p w14:paraId="2D386103" w14:textId="478CADB3" w:rsidR="00144ED0" w:rsidRPr="006D5ACA" w:rsidRDefault="000450EF" w:rsidP="00144ED0">
      <w:pPr>
        <w:rPr>
          <w:rFonts w:ascii="Open Sans" w:hAnsi="Open Sans" w:cs="Open Sans"/>
          <w:sz w:val="20"/>
          <w:szCs w:val="20"/>
          <w:highlight w:val="yellow"/>
        </w:rPr>
      </w:pPr>
      <w:r w:rsidRPr="006D5ACA">
        <w:rPr>
          <w:rFonts w:ascii="Open Sans" w:hAnsi="Open Sans" w:cs="Open Sans"/>
          <w:sz w:val="20"/>
          <w:szCs w:val="20"/>
          <w:highlight w:val="yellow"/>
        </w:rPr>
        <w:t xml:space="preserve">Members of the REA are </w:t>
      </w:r>
      <w:r w:rsidR="00A87D9C" w:rsidRPr="006D5ACA">
        <w:rPr>
          <w:rFonts w:ascii="Open Sans" w:hAnsi="Open Sans" w:cs="Open Sans"/>
          <w:sz w:val="20"/>
          <w:szCs w:val="20"/>
          <w:highlight w:val="yellow"/>
        </w:rPr>
        <w:t>invited</w:t>
      </w:r>
      <w:r w:rsidRPr="006D5ACA">
        <w:rPr>
          <w:rFonts w:ascii="Open Sans" w:hAnsi="Open Sans" w:cs="Open Sans"/>
          <w:sz w:val="20"/>
          <w:szCs w:val="20"/>
          <w:highlight w:val="yellow"/>
        </w:rPr>
        <w:t xml:space="preserve"> to provide </w:t>
      </w:r>
      <w:r w:rsidR="00A87D9C" w:rsidRPr="006D5ACA">
        <w:rPr>
          <w:rFonts w:ascii="Open Sans" w:hAnsi="Open Sans" w:cs="Open Sans"/>
          <w:sz w:val="20"/>
          <w:szCs w:val="20"/>
          <w:highlight w:val="yellow"/>
        </w:rPr>
        <w:t>short</w:t>
      </w:r>
      <w:r w:rsidRPr="006D5ACA">
        <w:rPr>
          <w:rFonts w:ascii="Open Sans" w:hAnsi="Open Sans" w:cs="Open Sans"/>
          <w:sz w:val="20"/>
          <w:szCs w:val="20"/>
          <w:highlight w:val="yellow"/>
        </w:rPr>
        <w:t xml:space="preserve"> case studies here on how the proposals would </w:t>
      </w:r>
      <w:r w:rsidR="00A87D9C" w:rsidRPr="006D5ACA">
        <w:rPr>
          <w:rFonts w:ascii="Open Sans" w:hAnsi="Open Sans" w:cs="Open Sans"/>
          <w:sz w:val="20"/>
          <w:szCs w:val="20"/>
          <w:highlight w:val="yellow"/>
        </w:rPr>
        <w:t>impact</w:t>
      </w:r>
      <w:r w:rsidRPr="006D5ACA">
        <w:rPr>
          <w:rFonts w:ascii="Open Sans" w:hAnsi="Open Sans" w:cs="Open Sans"/>
          <w:sz w:val="20"/>
          <w:szCs w:val="20"/>
          <w:highlight w:val="yellow"/>
        </w:rPr>
        <w:t xml:space="preserve"> their projects. Please ensure you include details of already committed spend, the size of the project, when the project was started and what your total liabilities will be with these proposals in place. The R</w:t>
      </w:r>
      <w:r w:rsidR="00A87D9C" w:rsidRPr="006D5ACA">
        <w:rPr>
          <w:rFonts w:ascii="Open Sans" w:hAnsi="Open Sans" w:cs="Open Sans"/>
          <w:sz w:val="20"/>
          <w:szCs w:val="20"/>
          <w:highlight w:val="yellow"/>
        </w:rPr>
        <w:t xml:space="preserve">EA </w:t>
      </w:r>
      <w:r w:rsidRPr="006D5ACA">
        <w:rPr>
          <w:rFonts w:ascii="Open Sans" w:hAnsi="Open Sans" w:cs="Open Sans"/>
          <w:sz w:val="20"/>
          <w:szCs w:val="20"/>
          <w:highlight w:val="yellow"/>
        </w:rPr>
        <w:t xml:space="preserve">already has one case from a member to include here (removed from </w:t>
      </w:r>
      <w:r w:rsidR="00A87D9C" w:rsidRPr="006D5ACA">
        <w:rPr>
          <w:rFonts w:ascii="Open Sans" w:hAnsi="Open Sans" w:cs="Open Sans"/>
          <w:sz w:val="20"/>
          <w:szCs w:val="20"/>
          <w:highlight w:val="yellow"/>
        </w:rPr>
        <w:t>draft</w:t>
      </w:r>
      <w:r w:rsidRPr="006D5ACA">
        <w:rPr>
          <w:rFonts w:ascii="Open Sans" w:hAnsi="Open Sans" w:cs="Open Sans"/>
          <w:sz w:val="20"/>
          <w:szCs w:val="20"/>
          <w:highlight w:val="yellow"/>
        </w:rPr>
        <w:t xml:space="preserve"> due to commercial </w:t>
      </w:r>
      <w:r w:rsidR="00A87D9C" w:rsidRPr="006D5ACA">
        <w:rPr>
          <w:rFonts w:ascii="Open Sans" w:hAnsi="Open Sans" w:cs="Open Sans"/>
          <w:sz w:val="20"/>
          <w:szCs w:val="20"/>
          <w:highlight w:val="yellow"/>
        </w:rPr>
        <w:t>sensitives</w:t>
      </w:r>
      <w:r w:rsidRPr="006D5ACA">
        <w:rPr>
          <w:rFonts w:ascii="Open Sans" w:hAnsi="Open Sans" w:cs="Open Sans"/>
          <w:sz w:val="20"/>
          <w:szCs w:val="20"/>
          <w:highlight w:val="yellow"/>
        </w:rPr>
        <w:t>)</w:t>
      </w:r>
      <w:r w:rsidR="00A87D9C" w:rsidRPr="006D5ACA">
        <w:rPr>
          <w:rFonts w:ascii="Open Sans" w:hAnsi="Open Sans" w:cs="Open Sans"/>
          <w:sz w:val="20"/>
          <w:szCs w:val="20"/>
          <w:highlight w:val="yellow"/>
        </w:rPr>
        <w:t xml:space="preserve"> but we would </w:t>
      </w:r>
      <w:r w:rsidR="00144ED0" w:rsidRPr="006D5ACA">
        <w:rPr>
          <w:rFonts w:ascii="Open Sans" w:hAnsi="Open Sans" w:cs="Open Sans"/>
          <w:sz w:val="20"/>
          <w:szCs w:val="20"/>
          <w:highlight w:val="yellow"/>
        </w:rPr>
        <w:t>welcome further case studies to include in this section</w:t>
      </w:r>
      <w:r w:rsidR="00A87D9C" w:rsidRPr="006D5ACA">
        <w:rPr>
          <w:rFonts w:ascii="Open Sans" w:hAnsi="Open Sans" w:cs="Open Sans"/>
          <w:sz w:val="20"/>
          <w:szCs w:val="20"/>
          <w:highlight w:val="yellow"/>
        </w:rPr>
        <w:t xml:space="preserve">. </w:t>
      </w:r>
    </w:p>
    <w:p w14:paraId="477CADE3" w14:textId="028B7E38" w:rsidR="00144ED0" w:rsidRPr="006D5ACA" w:rsidRDefault="00786271" w:rsidP="00144ED0">
      <w:pPr>
        <w:rPr>
          <w:rFonts w:ascii="Open Sans" w:hAnsi="Open Sans" w:cs="Open Sans"/>
          <w:b/>
          <w:bCs/>
          <w:sz w:val="20"/>
          <w:szCs w:val="20"/>
          <w:u w:val="single"/>
        </w:rPr>
      </w:pPr>
      <w:r>
        <w:rPr>
          <w:rFonts w:ascii="Open Sans" w:hAnsi="Open Sans" w:cs="Open Sans"/>
          <w:b/>
          <w:bCs/>
          <w:sz w:val="20"/>
          <w:szCs w:val="20"/>
          <w:u w:val="single"/>
        </w:rPr>
        <w:t>Quest</w:t>
      </w:r>
      <w:r w:rsidRPr="006D5ACA">
        <w:rPr>
          <w:rFonts w:ascii="Open Sans" w:hAnsi="Open Sans" w:cs="Open Sans"/>
          <w:b/>
          <w:bCs/>
          <w:sz w:val="20"/>
          <w:szCs w:val="20"/>
          <w:u w:val="single"/>
        </w:rPr>
        <w:t>ions</w:t>
      </w:r>
      <w:r w:rsidR="00144ED0" w:rsidRPr="006D5ACA">
        <w:rPr>
          <w:rFonts w:ascii="Open Sans" w:hAnsi="Open Sans" w:cs="Open Sans"/>
          <w:b/>
          <w:bCs/>
          <w:sz w:val="20"/>
          <w:szCs w:val="20"/>
          <w:u w:val="single"/>
        </w:rPr>
        <w:t xml:space="preserve"> regarding developers’ approaches to financing the instrument</w:t>
      </w:r>
    </w:p>
    <w:p w14:paraId="1527B31C" w14:textId="5D5C7D09" w:rsidR="00144ED0" w:rsidRPr="006D5ACA" w:rsidRDefault="00144ED0" w:rsidP="00144ED0">
      <w:pPr>
        <w:rPr>
          <w:rFonts w:ascii="Open Sans" w:hAnsi="Open Sans" w:cs="Open Sans"/>
          <w:sz w:val="20"/>
          <w:szCs w:val="20"/>
        </w:rPr>
      </w:pPr>
      <w:r w:rsidRPr="006D5ACA">
        <w:rPr>
          <w:rFonts w:ascii="Open Sans" w:hAnsi="Open Sans" w:cs="Open Sans"/>
          <w:sz w:val="20"/>
          <w:szCs w:val="20"/>
        </w:rPr>
        <w:t xml:space="preserve">The following </w:t>
      </w:r>
      <w:r w:rsidR="00786271">
        <w:rPr>
          <w:rFonts w:ascii="Open Sans" w:hAnsi="Open Sans" w:cs="Open Sans"/>
          <w:sz w:val="20"/>
          <w:szCs w:val="20"/>
        </w:rPr>
        <w:t>quest</w:t>
      </w:r>
      <w:r w:rsidR="00786271" w:rsidRPr="006D5ACA">
        <w:rPr>
          <w:rFonts w:ascii="Open Sans" w:hAnsi="Open Sans" w:cs="Open Sans"/>
          <w:sz w:val="20"/>
          <w:szCs w:val="20"/>
        </w:rPr>
        <w:t>ions</w:t>
      </w:r>
      <w:r w:rsidRPr="006D5ACA">
        <w:rPr>
          <w:rFonts w:ascii="Open Sans" w:hAnsi="Open Sans" w:cs="Open Sans"/>
          <w:sz w:val="20"/>
          <w:szCs w:val="20"/>
        </w:rPr>
        <w:t xml:space="preserve"> will help us understand the financial impact that the instrument may have on developers:</w:t>
      </w:r>
    </w:p>
    <w:p w14:paraId="2F0F0440" w14:textId="5391A7F2" w:rsidR="00144ED0" w:rsidRPr="006D5ACA" w:rsidRDefault="00144ED0" w:rsidP="00144ED0">
      <w:pPr>
        <w:rPr>
          <w:rFonts w:ascii="Open Sans" w:hAnsi="Open Sans" w:cs="Open Sans"/>
          <w:b/>
          <w:bCs/>
          <w:sz w:val="20"/>
          <w:szCs w:val="20"/>
        </w:rPr>
      </w:pPr>
      <w:r w:rsidRPr="006D5ACA">
        <w:rPr>
          <w:rFonts w:ascii="Open Sans" w:hAnsi="Open Sans" w:cs="Open Sans"/>
          <w:b/>
          <w:bCs/>
          <w:sz w:val="20"/>
          <w:szCs w:val="20"/>
        </w:rPr>
        <w:t xml:space="preserve">Q6: Please let us know how much you typically spend on </w:t>
      </w:r>
      <w:proofErr w:type="gramStart"/>
      <w:r w:rsidRPr="006D5ACA">
        <w:rPr>
          <w:rFonts w:ascii="Open Sans" w:hAnsi="Open Sans" w:cs="Open Sans"/>
          <w:b/>
          <w:bCs/>
          <w:sz w:val="20"/>
          <w:szCs w:val="20"/>
        </w:rPr>
        <w:t>DEVEX,  identifying</w:t>
      </w:r>
      <w:proofErr w:type="gramEnd"/>
      <w:r w:rsidRPr="006D5ACA">
        <w:rPr>
          <w:rFonts w:ascii="Open Sans" w:hAnsi="Open Sans" w:cs="Open Sans"/>
          <w:b/>
          <w:bCs/>
          <w:sz w:val="20"/>
          <w:szCs w:val="20"/>
        </w:rPr>
        <w:t xml:space="preserve"> this by technology? Can you also let us know how much of a premium you would expect to pay on top of this if you were acquiring a Ready to Build (RTB) asset?</w:t>
      </w:r>
    </w:p>
    <w:p w14:paraId="6E22E53D" w14:textId="1615DBAB" w:rsidR="00144ED0" w:rsidRPr="006D5ACA" w:rsidRDefault="00144ED0" w:rsidP="00144ED0">
      <w:pPr>
        <w:rPr>
          <w:rFonts w:ascii="Open Sans" w:hAnsi="Open Sans" w:cs="Open Sans"/>
          <w:sz w:val="20"/>
          <w:szCs w:val="20"/>
        </w:rPr>
      </w:pPr>
      <w:r w:rsidRPr="006D5ACA">
        <w:rPr>
          <w:rFonts w:ascii="Open Sans" w:hAnsi="Open Sans" w:cs="Open Sans"/>
          <w:sz w:val="20"/>
          <w:szCs w:val="20"/>
        </w:rPr>
        <w:t>Members will need to reply directly to this with estimates of existing DEVEX, however NESO should be aware that a range of £5 – 15 million is not uncommon</w:t>
      </w:r>
      <w:r w:rsidR="00A87D9C" w:rsidRPr="006D5ACA">
        <w:rPr>
          <w:rFonts w:ascii="Open Sans" w:hAnsi="Open Sans" w:cs="Open Sans"/>
          <w:sz w:val="20"/>
          <w:szCs w:val="20"/>
        </w:rPr>
        <w:t xml:space="preserve"> depending on the technology and size of project. </w:t>
      </w:r>
    </w:p>
    <w:p w14:paraId="4BC134C5" w14:textId="04892AB4" w:rsidR="00144ED0" w:rsidRPr="006D5ACA" w:rsidRDefault="00144ED0" w:rsidP="00144ED0">
      <w:pPr>
        <w:rPr>
          <w:rFonts w:ascii="Open Sans" w:hAnsi="Open Sans" w:cs="Open Sans"/>
          <w:b/>
          <w:bCs/>
          <w:sz w:val="20"/>
          <w:szCs w:val="20"/>
        </w:rPr>
      </w:pPr>
      <w:r w:rsidRPr="006D5ACA">
        <w:rPr>
          <w:rFonts w:ascii="Open Sans" w:hAnsi="Open Sans" w:cs="Open Sans"/>
          <w:b/>
          <w:bCs/>
          <w:sz w:val="20"/>
          <w:szCs w:val="20"/>
        </w:rPr>
        <w:t>Q7: Please explain how you fund your DEVEX? As part of this, can you also comment on the point at which you would expect to secure debt finance (if at all)?</w:t>
      </w:r>
    </w:p>
    <w:p w14:paraId="4E123AB7" w14:textId="063B07AB" w:rsidR="00144ED0" w:rsidRPr="006D5ACA" w:rsidRDefault="00144ED0" w:rsidP="00144ED0">
      <w:pPr>
        <w:rPr>
          <w:rFonts w:ascii="Open Sans" w:hAnsi="Open Sans" w:cs="Open Sans"/>
          <w:b/>
          <w:bCs/>
          <w:sz w:val="20"/>
          <w:szCs w:val="20"/>
        </w:rPr>
      </w:pPr>
      <w:r w:rsidRPr="006D5ACA">
        <w:rPr>
          <w:rFonts w:ascii="Open Sans" w:hAnsi="Open Sans" w:cs="Open Sans"/>
          <w:b/>
          <w:bCs/>
          <w:sz w:val="20"/>
          <w:szCs w:val="20"/>
        </w:rPr>
        <w:t>Q8: Do you expect that you would be able to raise finance to cover the cost of the financial instrument? If so, what sort of finance would this be and what sort of cost do you expect that it may have?</w:t>
      </w:r>
    </w:p>
    <w:p w14:paraId="2C634D75" w14:textId="11634BAE" w:rsidR="00144ED0" w:rsidRPr="006D5ACA" w:rsidRDefault="00144ED0" w:rsidP="00144ED0">
      <w:pPr>
        <w:rPr>
          <w:rFonts w:ascii="Open Sans" w:hAnsi="Open Sans" w:cs="Open Sans"/>
          <w:sz w:val="20"/>
          <w:szCs w:val="20"/>
        </w:rPr>
      </w:pPr>
      <w:r w:rsidRPr="006D5ACA">
        <w:rPr>
          <w:rFonts w:ascii="Open Sans" w:hAnsi="Open Sans" w:cs="Open Sans"/>
          <w:sz w:val="20"/>
          <w:szCs w:val="20"/>
        </w:rPr>
        <w:t>Some members indicate that raising finance to cover the costs of the proposals will require them to rely more heavily on higher risk and high</w:t>
      </w:r>
      <w:r w:rsidR="00A87D9C" w:rsidRPr="006D5ACA">
        <w:rPr>
          <w:rFonts w:ascii="Open Sans" w:hAnsi="Open Sans" w:cs="Open Sans"/>
          <w:sz w:val="20"/>
          <w:szCs w:val="20"/>
        </w:rPr>
        <w:t>er</w:t>
      </w:r>
      <w:r w:rsidRPr="006D5ACA">
        <w:rPr>
          <w:rFonts w:ascii="Open Sans" w:hAnsi="Open Sans" w:cs="Open Sans"/>
          <w:sz w:val="20"/>
          <w:szCs w:val="20"/>
        </w:rPr>
        <w:t>-cost debt, raising the cost of capital for projects. While others suggest that that the risk now being place</w:t>
      </w:r>
      <w:r w:rsidR="00A87D9C" w:rsidRPr="006D5ACA">
        <w:rPr>
          <w:rFonts w:ascii="Open Sans" w:hAnsi="Open Sans" w:cs="Open Sans"/>
          <w:sz w:val="20"/>
          <w:szCs w:val="20"/>
        </w:rPr>
        <w:t>d</w:t>
      </w:r>
      <w:r w:rsidRPr="006D5ACA">
        <w:rPr>
          <w:rFonts w:ascii="Open Sans" w:hAnsi="Open Sans" w:cs="Open Sans"/>
          <w:sz w:val="20"/>
          <w:szCs w:val="20"/>
        </w:rPr>
        <w:t xml:space="preserve"> on the developer, would mean </w:t>
      </w:r>
      <w:r w:rsidR="00A87D9C" w:rsidRPr="006D5ACA">
        <w:rPr>
          <w:rFonts w:ascii="Open Sans" w:hAnsi="Open Sans" w:cs="Open Sans"/>
          <w:sz w:val="20"/>
          <w:szCs w:val="20"/>
        </w:rPr>
        <w:t>t</w:t>
      </w:r>
      <w:r w:rsidRPr="006D5ACA">
        <w:rPr>
          <w:rFonts w:ascii="Open Sans" w:hAnsi="Open Sans" w:cs="Open Sans"/>
          <w:sz w:val="20"/>
          <w:szCs w:val="20"/>
        </w:rPr>
        <w:t xml:space="preserve">hey would be unwilling to finance in this manner and would likely leave the market. As such, the proposal </w:t>
      </w:r>
      <w:r w:rsidR="00A87D9C" w:rsidRPr="006D5ACA">
        <w:rPr>
          <w:rFonts w:ascii="Open Sans" w:hAnsi="Open Sans" w:cs="Open Sans"/>
          <w:sz w:val="20"/>
          <w:szCs w:val="20"/>
        </w:rPr>
        <w:t xml:space="preserve">could </w:t>
      </w:r>
      <w:r w:rsidRPr="006D5ACA">
        <w:rPr>
          <w:rFonts w:ascii="Open Sans" w:hAnsi="Open Sans" w:cs="Open Sans"/>
          <w:sz w:val="20"/>
          <w:szCs w:val="20"/>
        </w:rPr>
        <w:t xml:space="preserve">impact the competitiveness of the UK market. </w:t>
      </w:r>
    </w:p>
    <w:p w14:paraId="789F4636" w14:textId="3C658FB3" w:rsidR="00144ED0" w:rsidRPr="006D5ACA" w:rsidRDefault="000A3DE6" w:rsidP="00144ED0">
      <w:pPr>
        <w:rPr>
          <w:rFonts w:ascii="Open Sans" w:hAnsi="Open Sans" w:cs="Open Sans"/>
          <w:b/>
          <w:bCs/>
          <w:sz w:val="20"/>
          <w:szCs w:val="20"/>
          <w:u w:val="single"/>
        </w:rPr>
      </w:pPr>
      <w:r>
        <w:rPr>
          <w:rFonts w:ascii="Open Sans" w:hAnsi="Open Sans" w:cs="Open Sans"/>
          <w:b/>
          <w:bCs/>
          <w:sz w:val="20"/>
          <w:szCs w:val="20"/>
          <w:u w:val="single"/>
        </w:rPr>
        <w:t>Quest</w:t>
      </w:r>
      <w:r w:rsidRPr="006D5ACA">
        <w:rPr>
          <w:rFonts w:ascii="Open Sans" w:hAnsi="Open Sans" w:cs="Open Sans"/>
          <w:b/>
          <w:bCs/>
          <w:sz w:val="20"/>
          <w:szCs w:val="20"/>
          <w:u w:val="single"/>
        </w:rPr>
        <w:t>ions</w:t>
      </w:r>
      <w:r w:rsidR="00144ED0" w:rsidRPr="006D5ACA">
        <w:rPr>
          <w:rFonts w:ascii="Open Sans" w:hAnsi="Open Sans" w:cs="Open Sans"/>
          <w:b/>
          <w:bCs/>
          <w:sz w:val="20"/>
          <w:szCs w:val="20"/>
          <w:u w:val="single"/>
        </w:rPr>
        <w:t xml:space="preserve"> regarding parameters that we have included in our modelling</w:t>
      </w:r>
    </w:p>
    <w:p w14:paraId="1155751D" w14:textId="5DEB82A2" w:rsidR="00144ED0" w:rsidRPr="006D5ACA" w:rsidRDefault="00144ED0" w:rsidP="00144ED0">
      <w:pPr>
        <w:rPr>
          <w:rFonts w:ascii="Open Sans" w:hAnsi="Open Sans" w:cs="Open Sans"/>
          <w:i/>
          <w:iCs/>
          <w:sz w:val="20"/>
          <w:szCs w:val="20"/>
        </w:rPr>
      </w:pPr>
      <w:r w:rsidRPr="006D5ACA">
        <w:rPr>
          <w:rFonts w:ascii="Open Sans" w:hAnsi="Open Sans" w:cs="Open Sans"/>
          <w:i/>
          <w:iCs/>
          <w:sz w:val="20"/>
          <w:szCs w:val="20"/>
        </w:rPr>
        <w:t xml:space="preserve">The below </w:t>
      </w:r>
      <w:r w:rsidR="000A3DE6">
        <w:rPr>
          <w:rFonts w:ascii="Open Sans" w:hAnsi="Open Sans" w:cs="Open Sans"/>
          <w:i/>
          <w:iCs/>
          <w:sz w:val="20"/>
          <w:szCs w:val="20"/>
        </w:rPr>
        <w:t>quest</w:t>
      </w:r>
      <w:r w:rsidR="000A3DE6" w:rsidRPr="006D5ACA">
        <w:rPr>
          <w:rFonts w:ascii="Open Sans" w:hAnsi="Open Sans" w:cs="Open Sans"/>
          <w:i/>
          <w:iCs/>
          <w:sz w:val="20"/>
          <w:szCs w:val="20"/>
        </w:rPr>
        <w:t>ion</w:t>
      </w:r>
      <w:r w:rsidRPr="006D5ACA">
        <w:rPr>
          <w:rFonts w:ascii="Open Sans" w:hAnsi="Open Sans" w:cs="Open Sans"/>
          <w:i/>
          <w:iCs/>
          <w:sz w:val="20"/>
          <w:szCs w:val="20"/>
        </w:rPr>
        <w:t xml:space="preserve"> will help us sense-check the assumptions used in our analysis:</w:t>
      </w:r>
    </w:p>
    <w:p w14:paraId="167A97CE" w14:textId="0D7198DA" w:rsidR="00144ED0" w:rsidRPr="006D5ACA" w:rsidRDefault="00144ED0" w:rsidP="00144ED0">
      <w:pPr>
        <w:rPr>
          <w:rFonts w:ascii="Open Sans" w:hAnsi="Open Sans" w:cs="Open Sans"/>
          <w:b/>
          <w:bCs/>
          <w:sz w:val="20"/>
          <w:szCs w:val="20"/>
        </w:rPr>
      </w:pPr>
      <w:r w:rsidRPr="006D5ACA">
        <w:rPr>
          <w:rFonts w:ascii="Open Sans" w:hAnsi="Open Sans" w:cs="Open Sans"/>
          <w:b/>
          <w:bCs/>
          <w:sz w:val="20"/>
          <w:szCs w:val="20"/>
        </w:rPr>
        <w:lastRenderedPageBreak/>
        <w:t>Q9: What is the typical cost of capital (real, project-level, pre-tax) that you use to perform an “all-in” financial assessment of a project (i.e. from development through to end of operation)? How much higher would the cost of capital be for just the development stage (which we define as covering all costs and activities prior to the start of construction)?</w:t>
      </w:r>
    </w:p>
    <w:p w14:paraId="781E6B23" w14:textId="0B348831" w:rsidR="00144ED0" w:rsidRPr="006D5ACA" w:rsidRDefault="00144ED0" w:rsidP="00144ED0">
      <w:pPr>
        <w:rPr>
          <w:rFonts w:ascii="Open Sans" w:hAnsi="Open Sans" w:cs="Open Sans"/>
          <w:b/>
          <w:bCs/>
          <w:sz w:val="20"/>
          <w:szCs w:val="20"/>
        </w:rPr>
      </w:pPr>
      <w:r w:rsidRPr="006D5ACA">
        <w:rPr>
          <w:rFonts w:ascii="Open Sans" w:hAnsi="Open Sans" w:cs="Open Sans"/>
          <w:b/>
          <w:bCs/>
          <w:sz w:val="20"/>
          <w:szCs w:val="20"/>
        </w:rPr>
        <w:t>Q10: Do you agree that a 0.5% outperformance on cost of capital (project level) is a reasonable lower-end outperformance that developers would target? If not, what would it be?</w:t>
      </w:r>
    </w:p>
    <w:p w14:paraId="25EF286C" w14:textId="43E3DA23" w:rsidR="00A87D9C" w:rsidRPr="006D5ACA" w:rsidRDefault="00A87D9C" w:rsidP="00144ED0">
      <w:pPr>
        <w:rPr>
          <w:rFonts w:ascii="Open Sans" w:hAnsi="Open Sans" w:cs="Open Sans"/>
          <w:sz w:val="20"/>
          <w:szCs w:val="20"/>
        </w:rPr>
      </w:pPr>
      <w:r w:rsidRPr="006D5ACA">
        <w:rPr>
          <w:rFonts w:ascii="Open Sans" w:hAnsi="Open Sans" w:cs="Open Sans"/>
          <w:sz w:val="20"/>
          <w:szCs w:val="20"/>
          <w:highlight w:val="yellow"/>
        </w:rPr>
        <w:t>Member input welcome</w:t>
      </w:r>
    </w:p>
    <w:p w14:paraId="3D2271EF" w14:textId="176EF125" w:rsidR="00144ED0" w:rsidRPr="006D5ACA" w:rsidRDefault="00144ED0" w:rsidP="00144ED0">
      <w:pPr>
        <w:rPr>
          <w:rFonts w:ascii="Open Sans" w:hAnsi="Open Sans" w:cs="Open Sans"/>
          <w:b/>
          <w:bCs/>
          <w:sz w:val="20"/>
          <w:szCs w:val="20"/>
        </w:rPr>
      </w:pPr>
      <w:r w:rsidRPr="006D5ACA">
        <w:rPr>
          <w:rFonts w:ascii="Open Sans" w:hAnsi="Open Sans" w:cs="Open Sans"/>
          <w:b/>
          <w:bCs/>
          <w:sz w:val="20"/>
          <w:szCs w:val="20"/>
        </w:rPr>
        <w:t xml:space="preserve">Q11: What proportion of all projects that make it to Gate 2 do you expect to fail – i.e. to drop out of the </w:t>
      </w:r>
      <w:r w:rsidR="000A3DE6">
        <w:rPr>
          <w:rFonts w:ascii="Open Sans" w:hAnsi="Open Sans" w:cs="Open Sans"/>
          <w:b/>
          <w:bCs/>
          <w:sz w:val="20"/>
          <w:szCs w:val="20"/>
        </w:rPr>
        <w:t>queue</w:t>
      </w:r>
      <w:r w:rsidRPr="006D5ACA">
        <w:rPr>
          <w:rFonts w:ascii="Open Sans" w:hAnsi="Open Sans" w:cs="Open Sans"/>
          <w:b/>
          <w:bCs/>
          <w:sz w:val="20"/>
          <w:szCs w:val="20"/>
        </w:rPr>
        <w:t>? Do you expect the drop-out rate to differ materially by technology, and if so, how?</w:t>
      </w:r>
    </w:p>
    <w:p w14:paraId="6D79A827" w14:textId="4C096873" w:rsidR="00144ED0" w:rsidRPr="006D5ACA" w:rsidRDefault="00144ED0" w:rsidP="00144ED0">
      <w:pPr>
        <w:rPr>
          <w:rFonts w:ascii="Open Sans" w:hAnsi="Open Sans" w:cs="Open Sans"/>
          <w:sz w:val="20"/>
          <w:szCs w:val="20"/>
        </w:rPr>
      </w:pPr>
      <w:r w:rsidRPr="006D5ACA">
        <w:rPr>
          <w:rFonts w:ascii="Open Sans" w:hAnsi="Open Sans" w:cs="Open Sans"/>
          <w:sz w:val="20"/>
          <w:szCs w:val="20"/>
        </w:rPr>
        <w:t>As demonstrated above, projects approaching Gate 2 are already heavily invested</w:t>
      </w:r>
      <w:r w:rsidR="00A87D9C" w:rsidRPr="006D5ACA">
        <w:rPr>
          <w:rFonts w:ascii="Open Sans" w:hAnsi="Open Sans" w:cs="Open Sans"/>
          <w:sz w:val="20"/>
          <w:szCs w:val="20"/>
        </w:rPr>
        <w:t xml:space="preserve">. </w:t>
      </w:r>
      <w:r w:rsidR="000A3DE6">
        <w:rPr>
          <w:rFonts w:ascii="Open Sans" w:hAnsi="Open Sans" w:cs="Open Sans"/>
          <w:sz w:val="20"/>
          <w:szCs w:val="20"/>
        </w:rPr>
        <w:t>This, b</w:t>
      </w:r>
      <w:r w:rsidR="00A87D9C" w:rsidRPr="006D5ACA">
        <w:rPr>
          <w:rFonts w:ascii="Open Sans" w:hAnsi="Open Sans" w:cs="Open Sans"/>
          <w:sz w:val="20"/>
          <w:szCs w:val="20"/>
        </w:rPr>
        <w:t>y their nature</w:t>
      </w:r>
      <w:r w:rsidR="000A3DE6">
        <w:rPr>
          <w:rFonts w:ascii="Open Sans" w:hAnsi="Open Sans" w:cs="Open Sans"/>
          <w:sz w:val="20"/>
          <w:szCs w:val="20"/>
        </w:rPr>
        <w:t>,</w:t>
      </w:r>
      <w:r w:rsidR="00A87D9C" w:rsidRPr="006D5ACA">
        <w:rPr>
          <w:rFonts w:ascii="Open Sans" w:hAnsi="Open Sans" w:cs="Open Sans"/>
          <w:sz w:val="20"/>
          <w:szCs w:val="20"/>
        </w:rPr>
        <w:t xml:space="preserve"> means they are most likely to proceed, however if </w:t>
      </w:r>
      <w:r w:rsidR="000A3DE6">
        <w:rPr>
          <w:rFonts w:ascii="Open Sans" w:hAnsi="Open Sans" w:cs="Open Sans"/>
          <w:sz w:val="20"/>
          <w:szCs w:val="20"/>
        </w:rPr>
        <w:t>t</w:t>
      </w:r>
      <w:r w:rsidR="00A87D9C" w:rsidRPr="006D5ACA">
        <w:rPr>
          <w:rFonts w:ascii="Open Sans" w:hAnsi="Open Sans" w:cs="Open Sans"/>
          <w:sz w:val="20"/>
          <w:szCs w:val="20"/>
        </w:rPr>
        <w:t>he level of committed funding required to get to gate</w:t>
      </w:r>
      <w:r w:rsidR="000A3DE6">
        <w:rPr>
          <w:rFonts w:ascii="Open Sans" w:hAnsi="Open Sans" w:cs="Open Sans"/>
          <w:sz w:val="20"/>
          <w:szCs w:val="20"/>
        </w:rPr>
        <w:t xml:space="preserve"> 2</w:t>
      </w:r>
      <w:r w:rsidR="00A87D9C" w:rsidRPr="006D5ACA">
        <w:rPr>
          <w:rFonts w:ascii="Open Sans" w:hAnsi="Open Sans" w:cs="Open Sans"/>
          <w:sz w:val="20"/>
          <w:szCs w:val="20"/>
        </w:rPr>
        <w:t xml:space="preserve"> increases significantly, we can expect less to manage to achieve this milestone. While his maybe desirable from a </w:t>
      </w:r>
      <w:r w:rsidR="00334BF2">
        <w:rPr>
          <w:rFonts w:ascii="Open Sans" w:hAnsi="Open Sans" w:cs="Open Sans"/>
          <w:sz w:val="20"/>
          <w:szCs w:val="20"/>
        </w:rPr>
        <w:t>queue</w:t>
      </w:r>
      <w:r w:rsidR="00A87D9C" w:rsidRPr="006D5ACA">
        <w:rPr>
          <w:rFonts w:ascii="Open Sans" w:hAnsi="Open Sans" w:cs="Open Sans"/>
          <w:sz w:val="20"/>
          <w:szCs w:val="20"/>
        </w:rPr>
        <w:t xml:space="preserve"> management perspective, this should not come at the cost of losing smaller developers and damaging investor sentiment.  </w:t>
      </w:r>
    </w:p>
    <w:p w14:paraId="6F34C133" w14:textId="7B86FC35" w:rsidR="00144ED0" w:rsidRPr="006D5ACA" w:rsidRDefault="00144ED0" w:rsidP="00144ED0">
      <w:pPr>
        <w:rPr>
          <w:rFonts w:ascii="Open Sans" w:hAnsi="Open Sans" w:cs="Open Sans"/>
          <w:b/>
          <w:bCs/>
          <w:sz w:val="20"/>
          <w:szCs w:val="20"/>
        </w:rPr>
      </w:pPr>
      <w:r w:rsidRPr="006D5ACA">
        <w:rPr>
          <w:rFonts w:ascii="Open Sans" w:hAnsi="Open Sans" w:cs="Open Sans"/>
          <w:b/>
          <w:bCs/>
          <w:sz w:val="20"/>
          <w:szCs w:val="20"/>
        </w:rPr>
        <w:t>Q12: The speculative project archetype is a developer that incurs the absolute minimum amount of costs needed to secure a connection agreement. Do you have a view on:</w:t>
      </w:r>
    </w:p>
    <w:p w14:paraId="55E4A40F" w14:textId="77777777" w:rsidR="00144ED0" w:rsidRPr="006D5ACA" w:rsidRDefault="00144ED0" w:rsidP="00144ED0">
      <w:pPr>
        <w:spacing w:after="0" w:line="240" w:lineRule="auto"/>
        <w:rPr>
          <w:rFonts w:ascii="Open Sans" w:hAnsi="Open Sans" w:cs="Open Sans"/>
          <w:i/>
          <w:iCs/>
          <w:sz w:val="20"/>
          <w:szCs w:val="20"/>
        </w:rPr>
      </w:pPr>
      <w:r w:rsidRPr="006D5ACA">
        <w:rPr>
          <w:rFonts w:ascii="Open Sans" w:hAnsi="Open Sans" w:cs="Open Sans"/>
          <w:i/>
          <w:iCs/>
          <w:sz w:val="20"/>
          <w:szCs w:val="20"/>
        </w:rPr>
        <w:t>•</w:t>
      </w:r>
      <w:r w:rsidRPr="006D5ACA">
        <w:rPr>
          <w:rFonts w:ascii="Open Sans" w:hAnsi="Open Sans" w:cs="Open Sans"/>
          <w:i/>
          <w:iCs/>
          <w:sz w:val="20"/>
          <w:szCs w:val="20"/>
        </w:rPr>
        <w:tab/>
        <w:t>the proportion of speculative projects that get to Gate 2 that are likely to result in successful project development and how this compares to the proportion for non-speculative projects?</w:t>
      </w:r>
    </w:p>
    <w:p w14:paraId="3F76A7E5" w14:textId="77777777" w:rsidR="00144ED0" w:rsidRPr="006D5ACA" w:rsidRDefault="00144ED0" w:rsidP="00144ED0">
      <w:pPr>
        <w:spacing w:after="0" w:line="240" w:lineRule="auto"/>
        <w:rPr>
          <w:rFonts w:ascii="Open Sans" w:hAnsi="Open Sans" w:cs="Open Sans"/>
          <w:i/>
          <w:iCs/>
          <w:sz w:val="20"/>
          <w:szCs w:val="20"/>
        </w:rPr>
      </w:pPr>
      <w:r w:rsidRPr="006D5ACA">
        <w:rPr>
          <w:rFonts w:ascii="Open Sans" w:hAnsi="Open Sans" w:cs="Open Sans"/>
          <w:i/>
          <w:iCs/>
          <w:sz w:val="20"/>
          <w:szCs w:val="20"/>
        </w:rPr>
        <w:t>•</w:t>
      </w:r>
      <w:r w:rsidRPr="006D5ACA">
        <w:rPr>
          <w:rFonts w:ascii="Open Sans" w:hAnsi="Open Sans" w:cs="Open Sans"/>
          <w:i/>
          <w:iCs/>
          <w:sz w:val="20"/>
          <w:szCs w:val="20"/>
        </w:rPr>
        <w:tab/>
        <w:t>the typical resale value (ideally by technology type and on a per MW basis) that such a speculative project may be able to command from selling the connection agreement?</w:t>
      </w:r>
    </w:p>
    <w:p w14:paraId="1D83BADE" w14:textId="77777777" w:rsidR="00A87D9C" w:rsidRPr="006D5ACA" w:rsidRDefault="00A87D9C" w:rsidP="00144ED0">
      <w:pPr>
        <w:spacing w:after="0" w:line="240" w:lineRule="auto"/>
        <w:rPr>
          <w:rFonts w:ascii="Open Sans" w:hAnsi="Open Sans" w:cs="Open Sans"/>
          <w:i/>
          <w:iCs/>
          <w:sz w:val="20"/>
          <w:szCs w:val="20"/>
        </w:rPr>
      </w:pPr>
    </w:p>
    <w:p w14:paraId="7FE0C477" w14:textId="69F18BD4" w:rsidR="00A87D9C" w:rsidRPr="006D5ACA" w:rsidRDefault="00A87D9C" w:rsidP="00A87D9C">
      <w:pPr>
        <w:spacing w:after="0" w:line="240" w:lineRule="auto"/>
        <w:jc w:val="right"/>
        <w:rPr>
          <w:rFonts w:ascii="Open Sans" w:hAnsi="Open Sans" w:cs="Open Sans"/>
          <w:b/>
          <w:bCs/>
          <w:i/>
          <w:iCs/>
          <w:sz w:val="20"/>
          <w:szCs w:val="20"/>
        </w:rPr>
      </w:pPr>
      <w:r w:rsidRPr="006D5ACA">
        <w:rPr>
          <w:rFonts w:ascii="Open Sans" w:hAnsi="Open Sans" w:cs="Open Sans"/>
          <w:b/>
          <w:bCs/>
          <w:i/>
          <w:iCs/>
          <w:sz w:val="20"/>
          <w:szCs w:val="20"/>
        </w:rPr>
        <w:t xml:space="preserve">November 2024 </w:t>
      </w:r>
    </w:p>
    <w:p w14:paraId="6D12AC5A" w14:textId="77777777" w:rsidR="006D270D" w:rsidRPr="006D5ACA" w:rsidRDefault="006D270D">
      <w:pPr>
        <w:rPr>
          <w:rFonts w:ascii="Open Sans" w:hAnsi="Open Sans" w:cs="Open Sans"/>
          <w:sz w:val="20"/>
          <w:szCs w:val="20"/>
        </w:rPr>
      </w:pPr>
    </w:p>
    <w:sectPr w:rsidR="006D270D" w:rsidRPr="006D5ACA" w:rsidSect="00A87D9C">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444AAC" w14:textId="77777777" w:rsidR="00144ED0" w:rsidRDefault="00144ED0" w:rsidP="00144ED0">
      <w:pPr>
        <w:spacing w:after="0" w:line="240" w:lineRule="auto"/>
      </w:pPr>
      <w:r>
        <w:separator/>
      </w:r>
    </w:p>
  </w:endnote>
  <w:endnote w:type="continuationSeparator" w:id="0">
    <w:p w14:paraId="2924A772" w14:textId="77777777" w:rsidR="00144ED0" w:rsidRDefault="00144ED0" w:rsidP="00144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7203596"/>
      <w:docPartObj>
        <w:docPartGallery w:val="Page Numbers (Bottom of Page)"/>
        <w:docPartUnique/>
      </w:docPartObj>
    </w:sdtPr>
    <w:sdtEndPr/>
    <w:sdtContent>
      <w:p w14:paraId="61182A17" w14:textId="77777777" w:rsidR="002A2F34" w:rsidRDefault="002A2F34" w:rsidP="002A2F34">
        <w:pPr>
          <w:pStyle w:val="Footer"/>
          <w:jc w:val="right"/>
        </w:pPr>
        <w:r>
          <w:t xml:space="preserve">Page | </w:t>
        </w:r>
        <w:r>
          <w:fldChar w:fldCharType="begin"/>
        </w:r>
        <w:r>
          <w:instrText xml:space="preserve"> PAGE   \* MERGEFORMAT </w:instrText>
        </w:r>
        <w:r>
          <w:fldChar w:fldCharType="separate"/>
        </w:r>
        <w:r>
          <w:t>2</w:t>
        </w:r>
        <w:r>
          <w:rPr>
            <w:noProof/>
          </w:rPr>
          <w:fldChar w:fldCharType="end"/>
        </w:r>
        <w:r>
          <w:t xml:space="preserve"> </w:t>
        </w:r>
      </w:p>
    </w:sdtContent>
  </w:sdt>
  <w:p w14:paraId="77139635" w14:textId="77777777" w:rsidR="002A2F34" w:rsidRDefault="002A2F34" w:rsidP="002A2F34">
    <w:pPr>
      <w:pStyle w:val="Footer"/>
    </w:pPr>
  </w:p>
  <w:p w14:paraId="40BE56E3" w14:textId="77777777" w:rsidR="002A2F34" w:rsidRDefault="002A2F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F1BFA" w14:textId="77777777" w:rsidR="00A87D9C" w:rsidRPr="00C509D2" w:rsidRDefault="00A87D9C" w:rsidP="00A87D9C">
    <w:pPr>
      <w:pStyle w:val="Footer"/>
      <w:tabs>
        <w:tab w:val="center" w:pos="3402"/>
        <w:tab w:val="right" w:pos="9072"/>
      </w:tabs>
      <w:rPr>
        <w:rFonts w:cs="Arial"/>
        <w:color w:val="999999"/>
        <w:sz w:val="16"/>
      </w:rPr>
    </w:pPr>
    <w:r>
      <w:rPr>
        <w:rFonts w:cs="Arial"/>
        <w:color w:val="999999"/>
        <w:sz w:val="16"/>
      </w:rPr>
      <w:t>York House,</w:t>
    </w:r>
    <w:r w:rsidRPr="00C509D2">
      <w:rPr>
        <w:rFonts w:cs="Arial"/>
        <w:color w:val="999999"/>
        <w:sz w:val="16"/>
      </w:rPr>
      <w:tab/>
    </w:r>
    <w:r>
      <w:rPr>
        <w:rFonts w:cs="Arial"/>
        <w:color w:val="999999"/>
        <w:sz w:val="16"/>
      </w:rPr>
      <w:t xml:space="preserve">         </w:t>
    </w:r>
    <w:r w:rsidRPr="00C509D2">
      <w:rPr>
        <w:rFonts w:cs="Arial"/>
        <w:color w:val="999999"/>
        <w:sz w:val="16"/>
      </w:rPr>
      <w:tab/>
    </w:r>
    <w:r>
      <w:rPr>
        <w:rFonts w:cs="Arial"/>
        <w:color w:val="999999"/>
        <w:sz w:val="16"/>
      </w:rPr>
      <w:tab/>
    </w:r>
    <w:hyperlink r:id="rId1" w:history="1">
      <w:r w:rsidRPr="00DE7757">
        <w:rPr>
          <w:rStyle w:val="Hyperlink"/>
          <w:sz w:val="16"/>
        </w:rPr>
        <w:t>http://www.r-e-a.net/</w:t>
      </w:r>
    </w:hyperlink>
  </w:p>
  <w:p w14:paraId="7781334A" w14:textId="77777777" w:rsidR="00A87D9C" w:rsidRDefault="00A87D9C" w:rsidP="00A87D9C">
    <w:pPr>
      <w:spacing w:after="0" w:line="240" w:lineRule="auto"/>
      <w:rPr>
        <w:rFonts w:cs="Arial"/>
        <w:color w:val="999999"/>
        <w:sz w:val="16"/>
      </w:rPr>
    </w:pPr>
    <w:r>
      <w:rPr>
        <w:rFonts w:cs="Arial"/>
        <w:color w:val="999999"/>
        <w:sz w:val="16"/>
      </w:rPr>
      <w:t xml:space="preserve">23 Kingsway </w:t>
    </w:r>
    <w:r w:rsidRPr="00C509D2">
      <w:rPr>
        <w:rFonts w:cs="Arial"/>
        <w:color w:val="999999"/>
        <w:sz w:val="16"/>
      </w:rPr>
      <w:t>London</w:t>
    </w:r>
    <w:r>
      <w:rPr>
        <w:rFonts w:cs="Arial"/>
        <w:color w:val="999999"/>
        <w:sz w:val="16"/>
      </w:rPr>
      <w:t xml:space="preserve">, </w:t>
    </w:r>
    <w:r>
      <w:rPr>
        <w:rFonts w:cs="Arial"/>
        <w:color w:val="999999"/>
        <w:sz w:val="16"/>
      </w:rPr>
      <w:tab/>
    </w:r>
    <w:r>
      <w:rPr>
        <w:rFonts w:cs="Arial"/>
        <w:color w:val="999999"/>
        <w:sz w:val="16"/>
      </w:rPr>
      <w:tab/>
    </w:r>
    <w:r>
      <w:rPr>
        <w:rFonts w:cs="Arial"/>
        <w:color w:val="999999"/>
        <w:sz w:val="16"/>
      </w:rPr>
      <w:tab/>
    </w:r>
    <w:r>
      <w:rPr>
        <w:rFonts w:cs="Arial"/>
        <w:color w:val="999999"/>
        <w:sz w:val="16"/>
      </w:rPr>
      <w:tab/>
    </w:r>
    <w:r>
      <w:rPr>
        <w:rFonts w:cs="Arial"/>
        <w:color w:val="999999"/>
        <w:sz w:val="16"/>
      </w:rPr>
      <w:tab/>
    </w:r>
    <w:r>
      <w:rPr>
        <w:rFonts w:cs="Arial"/>
        <w:color w:val="999999"/>
        <w:sz w:val="16"/>
      </w:rPr>
      <w:tab/>
    </w:r>
    <w:r>
      <w:rPr>
        <w:rFonts w:cs="Arial"/>
        <w:color w:val="999999"/>
        <w:sz w:val="16"/>
      </w:rPr>
      <w:tab/>
    </w:r>
    <w:r>
      <w:rPr>
        <w:rFonts w:cs="Arial"/>
        <w:color w:val="999999"/>
        <w:sz w:val="16"/>
      </w:rPr>
      <w:tab/>
    </w:r>
    <w:r w:rsidRPr="00C509D2">
      <w:rPr>
        <w:rFonts w:cs="Arial"/>
        <w:color w:val="999999"/>
        <w:sz w:val="16"/>
      </w:rPr>
      <w:t>Tel: 020 7925 3570</w:t>
    </w:r>
  </w:p>
  <w:p w14:paraId="3299862F" w14:textId="77777777" w:rsidR="00A87D9C" w:rsidRPr="00043694" w:rsidRDefault="00A87D9C" w:rsidP="00A87D9C">
    <w:pPr>
      <w:spacing w:after="0" w:line="240" w:lineRule="auto"/>
      <w:rPr>
        <w:rFonts w:cs="Arial"/>
        <w:color w:val="999999"/>
        <w:sz w:val="16"/>
      </w:rPr>
    </w:pPr>
    <w:r>
      <w:rPr>
        <w:rFonts w:cs="Arial"/>
        <w:color w:val="999999"/>
        <w:sz w:val="16"/>
      </w:rPr>
      <w:t>WC2B 6UJ</w:t>
    </w:r>
    <w:r w:rsidRPr="00C509D2">
      <w:rPr>
        <w:rFonts w:cs="Arial"/>
        <w:color w:val="999999"/>
        <w:sz w:val="16"/>
      </w:rPr>
      <w:t xml:space="preserve">  </w:t>
    </w:r>
  </w:p>
  <w:p w14:paraId="081CACD5" w14:textId="77777777" w:rsidR="00A87D9C" w:rsidRDefault="00A87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886A1B" w14:textId="77777777" w:rsidR="00144ED0" w:rsidRDefault="00144ED0" w:rsidP="00144ED0">
      <w:pPr>
        <w:spacing w:after="0" w:line="240" w:lineRule="auto"/>
      </w:pPr>
      <w:r>
        <w:separator/>
      </w:r>
    </w:p>
  </w:footnote>
  <w:footnote w:type="continuationSeparator" w:id="0">
    <w:p w14:paraId="43D5FEE5" w14:textId="77777777" w:rsidR="00144ED0" w:rsidRDefault="00144ED0" w:rsidP="00144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46E88" w14:textId="77777777" w:rsidR="00A87D9C" w:rsidRPr="00A87D9C" w:rsidRDefault="00A87D9C" w:rsidP="00A87D9C">
    <w:pPr>
      <w:jc w:val="center"/>
      <w:rPr>
        <w:i/>
        <w:iCs/>
        <w:sz w:val="20"/>
        <w:szCs w:val="20"/>
      </w:rPr>
    </w:pPr>
    <w:r w:rsidRPr="00A87D9C">
      <w:rPr>
        <w:i/>
        <w:iCs/>
        <w:sz w:val="20"/>
        <w:szCs w:val="20"/>
      </w:rPr>
      <w:t>REA Response to NESO Call for Input: Financial Instrument Proposal</w:t>
    </w:r>
  </w:p>
  <w:p w14:paraId="73F20CBE" w14:textId="77777777" w:rsidR="00A87D9C" w:rsidRDefault="00A87D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9C309" w14:textId="5A65D680" w:rsidR="00A87D9C" w:rsidRDefault="00A87D9C" w:rsidP="001B0A79">
    <w:pPr>
      <w:pStyle w:val="Header"/>
      <w:jc w:val="right"/>
    </w:pPr>
    <w:r>
      <w:rPr>
        <w:noProof/>
      </w:rPr>
      <w:drawing>
        <wp:inline distT="0" distB="0" distL="0" distR="0" wp14:anchorId="094D0B2A" wp14:editId="6BB20021">
          <wp:extent cx="1347274" cy="701040"/>
          <wp:effectExtent l="0" t="0" r="5715" b="3810"/>
          <wp:docPr id="1660897783" name="Picture 166089778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4074" cy="7045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84074"/>
    <w:multiLevelType w:val="hybridMultilevel"/>
    <w:tmpl w:val="E9503B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1CD2EDC"/>
    <w:multiLevelType w:val="hybridMultilevel"/>
    <w:tmpl w:val="A1BE6F40"/>
    <w:lvl w:ilvl="0" w:tplc="264CA93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B2F1A9D"/>
    <w:multiLevelType w:val="hybridMultilevel"/>
    <w:tmpl w:val="CEAAED9A"/>
    <w:lvl w:ilvl="0" w:tplc="08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03124224">
    <w:abstractNumId w:val="0"/>
  </w:num>
  <w:num w:numId="2" w16cid:durableId="916789503">
    <w:abstractNumId w:val="1"/>
  </w:num>
  <w:num w:numId="3" w16cid:durableId="9746078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ED0"/>
    <w:rsid w:val="000450EF"/>
    <w:rsid w:val="000A3DE6"/>
    <w:rsid w:val="000E1625"/>
    <w:rsid w:val="00121EF8"/>
    <w:rsid w:val="00144ED0"/>
    <w:rsid w:val="00193C0D"/>
    <w:rsid w:val="001B0A79"/>
    <w:rsid w:val="00282144"/>
    <w:rsid w:val="002A2F34"/>
    <w:rsid w:val="00334BF2"/>
    <w:rsid w:val="00344F38"/>
    <w:rsid w:val="003943A8"/>
    <w:rsid w:val="003B7ED8"/>
    <w:rsid w:val="004953B5"/>
    <w:rsid w:val="004D38FB"/>
    <w:rsid w:val="005908C3"/>
    <w:rsid w:val="005B4B17"/>
    <w:rsid w:val="0067595C"/>
    <w:rsid w:val="006D270D"/>
    <w:rsid w:val="006D5ACA"/>
    <w:rsid w:val="00786271"/>
    <w:rsid w:val="00794440"/>
    <w:rsid w:val="007A1E19"/>
    <w:rsid w:val="009F667D"/>
    <w:rsid w:val="00A45BEB"/>
    <w:rsid w:val="00A87D9C"/>
    <w:rsid w:val="00B36EBD"/>
    <w:rsid w:val="00BA6FE4"/>
    <w:rsid w:val="00CB75ED"/>
    <w:rsid w:val="00D901BB"/>
    <w:rsid w:val="00DF7F88"/>
    <w:rsid w:val="00E16985"/>
    <w:rsid w:val="00EA1C4D"/>
    <w:rsid w:val="00F41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74EF3"/>
  <w15:chartTrackingRefBased/>
  <w15:docId w15:val="{586D6084-A37C-486A-BB94-6CB194142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4E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4E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4E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4E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4E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4E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4E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E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4E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E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4E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4E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4E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4E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E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E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E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ED0"/>
    <w:rPr>
      <w:rFonts w:eastAsiaTheme="majorEastAsia" w:cstheme="majorBidi"/>
      <w:color w:val="272727" w:themeColor="text1" w:themeTint="D8"/>
    </w:rPr>
  </w:style>
  <w:style w:type="paragraph" w:styleId="Title">
    <w:name w:val="Title"/>
    <w:basedOn w:val="Normal"/>
    <w:next w:val="Normal"/>
    <w:link w:val="TitleChar"/>
    <w:uiPriority w:val="10"/>
    <w:qFormat/>
    <w:rsid w:val="00144E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E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E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E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ED0"/>
    <w:pPr>
      <w:spacing w:before="160"/>
      <w:jc w:val="center"/>
    </w:pPr>
    <w:rPr>
      <w:i/>
      <w:iCs/>
      <w:color w:val="404040" w:themeColor="text1" w:themeTint="BF"/>
    </w:rPr>
  </w:style>
  <w:style w:type="character" w:customStyle="1" w:styleId="QuoteChar">
    <w:name w:val="Quote Char"/>
    <w:basedOn w:val="DefaultParagraphFont"/>
    <w:link w:val="Quote"/>
    <w:uiPriority w:val="29"/>
    <w:rsid w:val="00144ED0"/>
    <w:rPr>
      <w:i/>
      <w:iCs/>
      <w:color w:val="404040" w:themeColor="text1" w:themeTint="BF"/>
    </w:rPr>
  </w:style>
  <w:style w:type="paragraph" w:styleId="ListParagraph">
    <w:name w:val="List Paragraph"/>
    <w:basedOn w:val="Normal"/>
    <w:uiPriority w:val="34"/>
    <w:qFormat/>
    <w:rsid w:val="00144ED0"/>
    <w:pPr>
      <w:ind w:left="720"/>
      <w:contextualSpacing/>
    </w:pPr>
  </w:style>
  <w:style w:type="character" w:styleId="IntenseEmphasis">
    <w:name w:val="Intense Emphasis"/>
    <w:basedOn w:val="DefaultParagraphFont"/>
    <w:uiPriority w:val="21"/>
    <w:qFormat/>
    <w:rsid w:val="00144ED0"/>
    <w:rPr>
      <w:i/>
      <w:iCs/>
      <w:color w:val="0F4761" w:themeColor="accent1" w:themeShade="BF"/>
    </w:rPr>
  </w:style>
  <w:style w:type="paragraph" w:styleId="IntenseQuote">
    <w:name w:val="Intense Quote"/>
    <w:basedOn w:val="Normal"/>
    <w:next w:val="Normal"/>
    <w:link w:val="IntenseQuoteChar"/>
    <w:uiPriority w:val="30"/>
    <w:qFormat/>
    <w:rsid w:val="00144E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ED0"/>
    <w:rPr>
      <w:i/>
      <w:iCs/>
      <w:color w:val="0F4761" w:themeColor="accent1" w:themeShade="BF"/>
    </w:rPr>
  </w:style>
  <w:style w:type="character" w:styleId="IntenseReference">
    <w:name w:val="Intense Reference"/>
    <w:basedOn w:val="DefaultParagraphFont"/>
    <w:uiPriority w:val="32"/>
    <w:qFormat/>
    <w:rsid w:val="00144ED0"/>
    <w:rPr>
      <w:b/>
      <w:bCs/>
      <w:smallCaps/>
      <w:color w:val="0F4761" w:themeColor="accent1" w:themeShade="BF"/>
      <w:spacing w:val="5"/>
    </w:rPr>
  </w:style>
  <w:style w:type="character" w:styleId="Hyperlink">
    <w:name w:val="Hyperlink"/>
    <w:basedOn w:val="DefaultParagraphFont"/>
    <w:uiPriority w:val="99"/>
    <w:unhideWhenUsed/>
    <w:rsid w:val="00144ED0"/>
    <w:rPr>
      <w:color w:val="467886" w:themeColor="hyperlink"/>
      <w:u w:val="single"/>
    </w:rPr>
  </w:style>
  <w:style w:type="paragraph" w:styleId="Header">
    <w:name w:val="header"/>
    <w:basedOn w:val="Normal"/>
    <w:link w:val="HeaderChar"/>
    <w:unhideWhenUsed/>
    <w:rsid w:val="00A87D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7D9C"/>
  </w:style>
  <w:style w:type="paragraph" w:styleId="Footer">
    <w:name w:val="footer"/>
    <w:basedOn w:val="Normal"/>
    <w:link w:val="FooterChar"/>
    <w:uiPriority w:val="99"/>
    <w:unhideWhenUsed/>
    <w:rsid w:val="00A87D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7D9C"/>
  </w:style>
  <w:style w:type="character" w:styleId="UnresolvedMention">
    <w:name w:val="Unresolved Mention"/>
    <w:basedOn w:val="DefaultParagraphFont"/>
    <w:uiPriority w:val="99"/>
    <w:semiHidden/>
    <w:unhideWhenUsed/>
    <w:rsid w:val="00495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so.energy/news/eso-leads-way-major-initiative-accelerate-connections-electricity-transmission-gr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newableenergyassocation.sharepoint.com/sites/Docs/POLICY/Consultation%20Responses/Responses%202023/www.r-e-a.net" TargetMode="Externa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r-e-a.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REA Letterhead Template" ma:contentTypeID="0x0101002BF67B921FA26845A467BC387B1CB75F" ma:contentTypeVersion="16" ma:contentTypeDescription="Create a new document." ma:contentTypeScope="" ma:versionID="a5834ae6a9739363d73dccb30d507920">
  <xsd:schema xmlns:xsd="http://www.w3.org/2001/XMLSchema" xmlns:xs="http://www.w3.org/2001/XMLSchema" xmlns:p="http://schemas.microsoft.com/office/2006/metadata/properties" xmlns:ns2="08b28fe2-aad7-446e-968d-b56429c2090b" xmlns:ns3="3bbbe167-487c-408d-acef-8d2427bd1be5" targetNamespace="http://schemas.microsoft.com/office/2006/metadata/properties" ma:root="true" ma:fieldsID="d4b262e81f52d699873e7a2cface1ccc" ns2:_="" ns3:_="">
    <xsd:import namespace="08b28fe2-aad7-446e-968d-b56429c2090b"/>
    <xsd:import namespace="3bbbe167-487c-408d-acef-8d2427bd1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8fe2-aad7-446e-968d-b56429c20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30c0f61-5948-43bc-a271-85f0a6a6477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bbe167-487c-408d-acef-8d2427bd1b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1515b0-2a35-4da5-8b7e-44c2b7a78b9d}" ma:internalName="TaxCatchAll" ma:showField="CatchAllData" ma:web="3bbbe167-487c-408d-acef-8d2427bd1be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b28fe2-aad7-446e-968d-b56429c2090b">
      <Terms xmlns="http://schemas.microsoft.com/office/infopath/2007/PartnerControls"/>
    </lcf76f155ced4ddcb4097134ff3c332f>
    <TaxCatchAll xmlns="3bbbe167-487c-408d-acef-8d2427bd1be5" xsi:nil="true"/>
  </documentManagement>
</p:properties>
</file>

<file path=customXml/itemProps1.xml><?xml version="1.0" encoding="utf-8"?>
<ds:datastoreItem xmlns:ds="http://schemas.openxmlformats.org/officeDocument/2006/customXml" ds:itemID="{104AB56D-DFC3-48F0-B40A-506059F22144}"/>
</file>

<file path=customXml/itemProps2.xml><?xml version="1.0" encoding="utf-8"?>
<ds:datastoreItem xmlns:ds="http://schemas.openxmlformats.org/officeDocument/2006/customXml" ds:itemID="{65EAACF0-0E88-4F5C-AD16-E0F8F046C1AD}"/>
</file>

<file path=customXml/itemProps3.xml><?xml version="1.0" encoding="utf-8"?>
<ds:datastoreItem xmlns:ds="http://schemas.openxmlformats.org/officeDocument/2006/customXml" ds:itemID="{166CE91F-6189-4D11-92A7-C57FF57D3978}"/>
</file>

<file path=docProps/app.xml><?xml version="1.0" encoding="utf-8"?>
<Properties xmlns="http://schemas.openxmlformats.org/officeDocument/2006/extended-properties" xmlns:vt="http://schemas.openxmlformats.org/officeDocument/2006/docPropsVTypes">
  <Template>Normal</Template>
  <TotalTime>96</TotalTime>
  <Pages>5</Pages>
  <Words>2183</Words>
  <Characters>12448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Sommerfeld</dc:creator>
  <cp:keywords/>
  <dc:description/>
  <cp:lastModifiedBy>Mark Sommerfeld</cp:lastModifiedBy>
  <cp:revision>23</cp:revision>
  <dcterms:created xsi:type="dcterms:W3CDTF">2024-11-19T15:59:00Z</dcterms:created>
  <dcterms:modified xsi:type="dcterms:W3CDTF">2024-11-19T18:14:00Z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0x0101002BF67B921FA26845A467BC387B1CB75F</vt:lpwstr>
  </property>
</Properties>
</file>