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771F9" w14:textId="77777777" w:rsidR="00F146C4" w:rsidRPr="00D93F68" w:rsidRDefault="00F146C4" w:rsidP="00F146C4">
      <w:pPr>
        <w:rPr>
          <w:sz w:val="24"/>
          <w:szCs w:val="24"/>
          <w:u w:val="single"/>
        </w:rPr>
      </w:pPr>
      <w:r w:rsidRPr="00D93F68">
        <w:rPr>
          <w:sz w:val="24"/>
          <w:szCs w:val="24"/>
          <w:u w:val="single"/>
        </w:rPr>
        <w:t>Ofgem agreement regarding the timetable for issuing connection offers under the Gate 2 to Whole Queue (“G2tWQ”) process</w:t>
      </w:r>
    </w:p>
    <w:p w14:paraId="6CCCAFEF" w14:textId="58953829" w:rsidR="00F146C4" w:rsidRPr="00F146C4" w:rsidRDefault="00F146C4" w:rsidP="00F146C4">
      <w:pPr>
        <w:rPr>
          <w:i/>
          <w:iCs/>
        </w:rPr>
      </w:pPr>
      <w:r w:rsidRPr="00F146C4">
        <w:rPr>
          <w:i/>
          <w:iCs/>
        </w:rPr>
        <w:t>Summary</w:t>
      </w:r>
      <w:r w:rsidR="00D93F68">
        <w:rPr>
          <w:i/>
          <w:iCs/>
        </w:rPr>
        <w:br/>
        <w:t>4</w:t>
      </w:r>
      <w:r w:rsidR="00D93F68" w:rsidRPr="00D93F68">
        <w:rPr>
          <w:i/>
          <w:iCs/>
          <w:vertAlign w:val="superscript"/>
        </w:rPr>
        <w:t>th</w:t>
      </w:r>
      <w:r w:rsidR="00D93F68">
        <w:rPr>
          <w:i/>
          <w:iCs/>
        </w:rPr>
        <w:t xml:space="preserve"> June 2026</w:t>
      </w:r>
    </w:p>
    <w:p w14:paraId="4EF9D644" w14:textId="77777777" w:rsidR="00F146C4" w:rsidRDefault="00F146C4" w:rsidP="00F146C4"/>
    <w:p w14:paraId="3A46182D" w14:textId="337FF612" w:rsidR="00F146C4" w:rsidRPr="00D93F68" w:rsidRDefault="00D93F68" w:rsidP="00F146C4">
      <w:pPr>
        <w:rPr>
          <w:b/>
          <w:bCs/>
        </w:rPr>
      </w:pPr>
      <w:r w:rsidRPr="00D93F68">
        <w:rPr>
          <w:b/>
          <w:bCs/>
        </w:rPr>
        <w:t>Understanding the Connections Queue</w:t>
      </w:r>
    </w:p>
    <w:p w14:paraId="75C5B306" w14:textId="359F8AE9" w:rsidR="002830AB" w:rsidRDefault="00386B3F" w:rsidP="00F146C4">
      <w:r>
        <w:t xml:space="preserve">The vast majority of new energy projects require a connection to the </w:t>
      </w:r>
      <w:r w:rsidR="00E1128A">
        <w:t>national grid</w:t>
      </w:r>
      <w:r w:rsidR="00C720DC">
        <w:t xml:space="preserve">. </w:t>
      </w:r>
      <w:r w:rsidR="00C26D88">
        <w:t>In the past, GB’s grid was primar</w:t>
      </w:r>
      <w:r w:rsidR="00B54D5B">
        <w:t>il</w:t>
      </w:r>
      <w:r w:rsidR="00C26D88">
        <w:t xml:space="preserve">y served </w:t>
      </w:r>
      <w:r w:rsidR="00803D28">
        <w:t>by a small number of fossil fuel and nuclear power stations</w:t>
      </w:r>
      <w:r w:rsidR="00B54D5B">
        <w:t>; a</w:t>
      </w:r>
      <w:r w:rsidR="00803D28">
        <w:t>s a result</w:t>
      </w:r>
      <w:r w:rsidR="002830AB">
        <w:t xml:space="preserve">, new connections to the </w:t>
      </w:r>
      <w:r w:rsidR="00B54D5B">
        <w:t>grid</w:t>
      </w:r>
      <w:r w:rsidR="002830AB">
        <w:t xml:space="preserve"> were issued on a </w:t>
      </w:r>
      <w:r w:rsidR="002830AB" w:rsidRPr="002F0A97">
        <w:rPr>
          <w:b/>
          <w:bCs/>
          <w:i/>
          <w:iCs/>
        </w:rPr>
        <w:t>first come, first served</w:t>
      </w:r>
      <w:r w:rsidR="002830AB">
        <w:t xml:space="preserve"> basis. </w:t>
      </w:r>
      <w:r w:rsidR="0025324F">
        <w:t xml:space="preserve">However, with the shift to a more decentralised energy system </w:t>
      </w:r>
      <w:r w:rsidR="00B54D5B">
        <w:t>and</w:t>
      </w:r>
      <w:r w:rsidR="0025324F">
        <w:t xml:space="preserve"> a</w:t>
      </w:r>
      <w:r w:rsidR="00824987">
        <w:t xml:space="preserve">n increased </w:t>
      </w:r>
      <w:r w:rsidR="0025324F">
        <w:t xml:space="preserve">number of </w:t>
      </w:r>
      <w:r w:rsidR="00824987">
        <w:t>smaller renewable energy installations (solar, BESS etc</w:t>
      </w:r>
      <w:r w:rsidR="00B54D5B">
        <w:t>.</w:t>
      </w:r>
      <w:r w:rsidR="00824987">
        <w:t>)</w:t>
      </w:r>
      <w:r w:rsidR="00B54D5B">
        <w:t>,</w:t>
      </w:r>
      <w:r w:rsidR="00824987">
        <w:t xml:space="preserve"> t</w:t>
      </w:r>
      <w:r w:rsidR="00B004C8">
        <w:t xml:space="preserve">he </w:t>
      </w:r>
      <w:r w:rsidR="00982297">
        <w:t>size of the</w:t>
      </w:r>
      <w:r w:rsidR="00B004C8">
        <w:t xml:space="preserve"> </w:t>
      </w:r>
      <w:r w:rsidR="00B54D5B">
        <w:t>connections queue</w:t>
      </w:r>
      <w:r w:rsidR="00B004C8">
        <w:t xml:space="preserve"> has skyrocketed.</w:t>
      </w:r>
      <w:r w:rsidR="00803D28">
        <w:t xml:space="preserve"> According to NESO, the current connections queue stands at over 738GW</w:t>
      </w:r>
      <w:r w:rsidR="00767393">
        <w:rPr>
          <w:rStyle w:val="FootnoteReference"/>
        </w:rPr>
        <w:footnoteReference w:id="1"/>
      </w:r>
      <w:r w:rsidR="009F6544">
        <w:t xml:space="preserve">; to put this into perspective, approximately 200GW of clean generation capacity is required by 2030, and the daily average demand </w:t>
      </w:r>
      <w:r w:rsidR="00FA724B">
        <w:t>in GB over the past year was only 31.3GW</w:t>
      </w:r>
      <w:r w:rsidR="00FA724B">
        <w:rPr>
          <w:rStyle w:val="FootnoteReference"/>
        </w:rPr>
        <w:footnoteReference w:id="2"/>
      </w:r>
      <w:r w:rsidR="00FA724B">
        <w:t>.</w:t>
      </w:r>
      <w:r w:rsidR="00B004C8">
        <w:t xml:space="preserve"> </w:t>
      </w:r>
    </w:p>
    <w:p w14:paraId="2F82C9B7" w14:textId="77777777" w:rsidR="00D93F68" w:rsidRDefault="00D93F68" w:rsidP="00F146C4"/>
    <w:p w14:paraId="4408936C" w14:textId="672C2954" w:rsidR="00D93F68" w:rsidRDefault="00D93F68" w:rsidP="00F146C4">
      <w:pPr>
        <w:rPr>
          <w:b/>
          <w:bCs/>
        </w:rPr>
      </w:pPr>
      <w:r w:rsidRPr="00D93F68">
        <w:rPr>
          <w:b/>
          <w:bCs/>
        </w:rPr>
        <w:t>What is Connection Reform?</w:t>
      </w:r>
    </w:p>
    <w:p w14:paraId="0F8A11EE" w14:textId="43A5DDD4" w:rsidR="00982297" w:rsidRDefault="00982297" w:rsidP="00F146C4">
      <w:r>
        <w:t>Under the first come, first served system,</w:t>
      </w:r>
      <w:r w:rsidR="00E7749B">
        <w:t xml:space="preserve"> many applicants </w:t>
      </w:r>
      <w:r w:rsidR="001672A4">
        <w:t>would request a place in the queue as a speculative investment,</w:t>
      </w:r>
      <w:r w:rsidR="00E7749B">
        <w:t xml:space="preserve"> clogging up the queue and</w:t>
      </w:r>
      <w:r w:rsidR="001672A4">
        <w:t xml:space="preserve"> preventing </w:t>
      </w:r>
      <w:r w:rsidR="00734EFC">
        <w:t xml:space="preserve">crucial new renewable energy projects from </w:t>
      </w:r>
      <w:r w:rsidR="00426F97">
        <w:t>acquiring a timely grid connection.</w:t>
      </w:r>
    </w:p>
    <w:p w14:paraId="554B3184" w14:textId="72406B10" w:rsidR="00426F97" w:rsidRPr="00982297" w:rsidRDefault="00426F97" w:rsidP="00F146C4">
      <w:r>
        <w:t>To address this, NESO (</w:t>
      </w:r>
      <w:r w:rsidR="00E7749B">
        <w:t xml:space="preserve">with support from </w:t>
      </w:r>
      <w:r>
        <w:t>Ofgem, Transmission Owners</w:t>
      </w:r>
      <w:r w:rsidR="00E7749B">
        <w:t xml:space="preserve"> and </w:t>
      </w:r>
      <w:r>
        <w:t xml:space="preserve">Distribution Network Operators) is changing the way the connections queue works in order to move to </w:t>
      </w:r>
      <w:r w:rsidRPr="00770293">
        <w:rPr>
          <w:b/>
          <w:bCs/>
          <w:i/>
          <w:iCs/>
        </w:rPr>
        <w:t xml:space="preserve">first ready and </w:t>
      </w:r>
      <w:r w:rsidR="00E7749B">
        <w:rPr>
          <w:b/>
          <w:bCs/>
          <w:i/>
          <w:iCs/>
        </w:rPr>
        <w:t>needed</w:t>
      </w:r>
      <w:r w:rsidR="00770293" w:rsidRPr="00770293">
        <w:rPr>
          <w:b/>
          <w:bCs/>
          <w:i/>
          <w:iCs/>
        </w:rPr>
        <w:t>, first served</w:t>
      </w:r>
      <w:r w:rsidR="00770293">
        <w:t>.</w:t>
      </w:r>
      <w:r w:rsidR="005E6346">
        <w:t xml:space="preserve"> NESO aims to remove speculative, unviable projects from the queue, and ensure that </w:t>
      </w:r>
      <w:r w:rsidR="00C12068">
        <w:t>the renewable energy</w:t>
      </w:r>
      <w:r w:rsidR="009D212E">
        <w:t xml:space="preserve"> projects </w:t>
      </w:r>
      <w:r w:rsidR="00C12068">
        <w:t xml:space="preserve">needed to achieve Clean Power 2030 and future climate targets </w:t>
      </w:r>
      <w:r w:rsidR="009D212E">
        <w:t>can connect to the grid in a timely manner.</w:t>
      </w:r>
    </w:p>
    <w:p w14:paraId="7019B100" w14:textId="77777777" w:rsidR="00D93F68" w:rsidRDefault="00D93F68" w:rsidP="00F146C4"/>
    <w:p w14:paraId="64A9F809" w14:textId="1DCC9F19" w:rsidR="00D93F68" w:rsidRDefault="00D93F68" w:rsidP="00F146C4">
      <w:pPr>
        <w:rPr>
          <w:b/>
          <w:bCs/>
        </w:rPr>
      </w:pPr>
      <w:r w:rsidRPr="00D93F68">
        <w:rPr>
          <w:b/>
          <w:bCs/>
        </w:rPr>
        <w:t>What is the Gate 2 to Whole Queue (G2tWQ) Process?</w:t>
      </w:r>
    </w:p>
    <w:p w14:paraId="2EA410FA" w14:textId="00F30A8C" w:rsidR="00FD7AED" w:rsidRDefault="00977705" w:rsidP="00F146C4">
      <w:r>
        <w:lastRenderedPageBreak/>
        <w:t xml:space="preserve">The G2tWQ process describes the assessment process by which NESO determines which projects are ready to connect. </w:t>
      </w:r>
      <w:r w:rsidR="009D212E">
        <w:t xml:space="preserve">In order to demonstrate readiness, new projects must </w:t>
      </w:r>
      <w:r w:rsidR="00B72434">
        <w:t>meet a series of criteria</w:t>
      </w:r>
      <w:r w:rsidR="00E76855">
        <w:t xml:space="preserve"> (e</w:t>
      </w:r>
      <w:r w:rsidR="00276748">
        <w:t xml:space="preserve">.g. </w:t>
      </w:r>
      <w:r w:rsidR="00DB745B">
        <w:t>securing</w:t>
      </w:r>
      <w:r w:rsidR="00276748">
        <w:t xml:space="preserve"> land rights, </w:t>
      </w:r>
      <w:r w:rsidR="00DB745B">
        <w:t xml:space="preserve">getting </w:t>
      </w:r>
      <w:r w:rsidR="00276748">
        <w:t>planning consent)</w:t>
      </w:r>
      <w:r w:rsidR="00B72434">
        <w:t xml:space="preserve"> before they can receive a grid connection.</w:t>
      </w:r>
      <w:r w:rsidR="00FD7AED">
        <w:t xml:space="preserve"> Projects which meet these criteria are said to have passed through </w:t>
      </w:r>
      <w:r w:rsidR="00FD7AED" w:rsidRPr="00FD7AED">
        <w:rPr>
          <w:b/>
          <w:bCs/>
          <w:i/>
          <w:iCs/>
        </w:rPr>
        <w:t>Gate 2</w:t>
      </w:r>
      <w:r w:rsidR="00FD7AED">
        <w:t>, and can therefore receive a confirmed connection date, connection point and spot in the queue.</w:t>
      </w:r>
    </w:p>
    <w:p w14:paraId="24F9C52D" w14:textId="400E7CEE" w:rsidR="009F3950" w:rsidRDefault="009F3950" w:rsidP="00F146C4">
      <w:r>
        <w:t xml:space="preserve">If Projects do not meet the new requirements for readiness, they can either terminate their connection </w:t>
      </w:r>
      <w:r w:rsidR="00394D92">
        <w:t>request or</w:t>
      </w:r>
      <w:r>
        <w:t xml:space="preserve"> </w:t>
      </w:r>
      <w:r w:rsidR="00394D92">
        <w:t xml:space="preserve">receive a </w:t>
      </w:r>
      <w:r w:rsidR="00394D92" w:rsidRPr="00394D92">
        <w:rPr>
          <w:b/>
          <w:bCs/>
          <w:i/>
          <w:iCs/>
        </w:rPr>
        <w:t>Gate 1</w:t>
      </w:r>
      <w:r w:rsidR="00394D92">
        <w:t xml:space="preserve"> offer. Projects passing through Gate 1 will not receive a connection date but can progress through Gate 2 in the future if they meet the requirements.</w:t>
      </w:r>
    </w:p>
    <w:p w14:paraId="4294383E" w14:textId="77777777" w:rsidR="00D93F68" w:rsidRDefault="00D93F68" w:rsidP="00F146C4"/>
    <w:p w14:paraId="582EBE6A" w14:textId="528D9585" w:rsidR="00F146C4" w:rsidRPr="001F610B" w:rsidRDefault="001F610B" w:rsidP="00F146C4">
      <w:pPr>
        <w:rPr>
          <w:b/>
          <w:bCs/>
        </w:rPr>
      </w:pPr>
      <w:r w:rsidRPr="001F610B">
        <w:rPr>
          <w:b/>
          <w:bCs/>
        </w:rPr>
        <w:t>Ofgem agreement regarding timetable</w:t>
      </w:r>
      <w:r w:rsidR="00754265">
        <w:rPr>
          <w:rStyle w:val="FootnoteReference"/>
          <w:b/>
          <w:bCs/>
        </w:rPr>
        <w:footnoteReference w:id="3"/>
      </w:r>
    </w:p>
    <w:p w14:paraId="49CD4F6F" w14:textId="1F5250AC" w:rsidR="00A34E42" w:rsidRDefault="00BF2E4D" w:rsidP="00103507">
      <w:r>
        <w:t xml:space="preserve">NESO requested an alternative timetable for the G2tWQ process, </w:t>
      </w:r>
      <w:r w:rsidR="00F21D8B">
        <w:t>which has been accepted by Ofgem.</w:t>
      </w:r>
      <w:r w:rsidR="004C28BE">
        <w:t xml:space="preserve"> The up-to-date Connections Reform timeline is available on the NESO website </w:t>
      </w:r>
      <w:hyperlink r:id="rId11" w:history="1">
        <w:r w:rsidR="004C28BE" w:rsidRPr="004C28BE">
          <w:rPr>
            <w:rStyle w:val="Hyperlink"/>
          </w:rPr>
          <w:t>Connections reform timeline | National Energy System Operator</w:t>
        </w:r>
      </w:hyperlink>
    </w:p>
    <w:p w14:paraId="52E4EBB2" w14:textId="3178F6B3" w:rsidR="004C28BE" w:rsidRDefault="00923042" w:rsidP="00103507">
      <w:r>
        <w:t>Ofgem has set the timetable as follows:</w:t>
      </w:r>
    </w:p>
    <w:p w14:paraId="141D9583" w14:textId="089AD455" w:rsidR="00CB3C3D" w:rsidRDefault="00CB3C3D" w:rsidP="00103507">
      <w:pPr>
        <w:pStyle w:val="ListParagraph"/>
        <w:numPr>
          <w:ilvl w:val="0"/>
          <w:numId w:val="39"/>
        </w:numPr>
      </w:pPr>
      <w:r w:rsidRPr="00CB3C3D">
        <w:t xml:space="preserve">Gate 2 Phase 1 offers: to be issued by NESO no later than 30 September 2026 </w:t>
      </w:r>
    </w:p>
    <w:p w14:paraId="54DEA6AF" w14:textId="49F9A0CE" w:rsidR="00CB3C3D" w:rsidRDefault="00CB3C3D" w:rsidP="00103507">
      <w:pPr>
        <w:pStyle w:val="ListParagraph"/>
        <w:numPr>
          <w:ilvl w:val="0"/>
          <w:numId w:val="39"/>
        </w:numPr>
      </w:pPr>
      <w:r w:rsidRPr="00CB3C3D">
        <w:t xml:space="preserve">Gate 2 Phase 2 offers: to be issued by NESO by no later than 31 January 2027 </w:t>
      </w:r>
    </w:p>
    <w:p w14:paraId="0AC9FD39" w14:textId="7759C579" w:rsidR="00CB3C3D" w:rsidRDefault="00CB3C3D" w:rsidP="00103507">
      <w:pPr>
        <w:pStyle w:val="ListParagraph"/>
        <w:numPr>
          <w:ilvl w:val="0"/>
          <w:numId w:val="39"/>
        </w:numPr>
      </w:pPr>
      <w:r w:rsidRPr="00CB3C3D">
        <w:t xml:space="preserve">Gate 2 Phase 1 Distribution Offer Completion: no later than 30 November 2026 </w:t>
      </w:r>
    </w:p>
    <w:p w14:paraId="07332C50" w14:textId="02043B0B" w:rsidR="00923042" w:rsidRDefault="00CB3C3D" w:rsidP="00103507">
      <w:pPr>
        <w:pStyle w:val="ListParagraph"/>
        <w:numPr>
          <w:ilvl w:val="0"/>
          <w:numId w:val="39"/>
        </w:numPr>
      </w:pPr>
      <w:r w:rsidRPr="00CB3C3D">
        <w:t>Gate 2 Phase 2 Distribution Offer Completion: no later than 31 March 2027</w:t>
      </w:r>
    </w:p>
    <w:p w14:paraId="2475F903" w14:textId="77777777" w:rsidR="00A34A25" w:rsidRDefault="00A34A25" w:rsidP="00A34A25"/>
    <w:p w14:paraId="6D48AE01" w14:textId="6541515A" w:rsidR="001304AA" w:rsidRDefault="001304AA" w:rsidP="00A34A25">
      <w:r w:rsidRPr="0036339A">
        <w:rPr>
          <w:b/>
          <w:bCs/>
          <w:i/>
          <w:iCs/>
        </w:rPr>
        <w:t>Phase 1</w:t>
      </w:r>
      <w:r>
        <w:t xml:space="preserve"> offers are for projects needed to </w:t>
      </w:r>
      <w:r w:rsidR="00847B6D">
        <w:t xml:space="preserve">connect by 2030, whereas </w:t>
      </w:r>
      <w:r w:rsidR="00847B6D" w:rsidRPr="0036339A">
        <w:rPr>
          <w:b/>
          <w:bCs/>
          <w:i/>
          <w:iCs/>
        </w:rPr>
        <w:t>Phase 2</w:t>
      </w:r>
      <w:r w:rsidR="00847B6D">
        <w:t xml:space="preserve"> offers are for projects connecting after 2030.</w:t>
      </w:r>
    </w:p>
    <w:p w14:paraId="44BE7424" w14:textId="357D2571" w:rsidR="00A816BA" w:rsidRDefault="00A34A25" w:rsidP="00103507">
      <w:r>
        <w:t>If a project d</w:t>
      </w:r>
      <w:r w:rsidR="0063180A">
        <w:t xml:space="preserve">oes not accept a Gate 2 offer, </w:t>
      </w:r>
      <w:r>
        <w:t>NESO must also provide</w:t>
      </w:r>
      <w:r w:rsidR="0063180A">
        <w:t xml:space="preserve"> a Gate 1 offer</w:t>
      </w:r>
      <w:r w:rsidR="00D06B5E">
        <w:t xml:space="preserve"> as soon as possible, and no later than 6 weeks after the rejection.</w:t>
      </w:r>
      <w:r w:rsidR="004E0B4B">
        <w:t xml:space="preserve"> </w:t>
      </w:r>
      <w:r w:rsidR="004045EF">
        <w:t>NESO must inform Ofgem immediately if there is a risk of the timetable slipping</w:t>
      </w:r>
      <w:r w:rsidR="00CD666A">
        <w:t xml:space="preserve"> from these dates.</w:t>
      </w:r>
      <w:r w:rsidR="00A27412">
        <w:t xml:space="preserve"> Ofgem will continue to monitor progres</w:t>
      </w:r>
      <w:r w:rsidR="0027245C">
        <w:t>s against Phase 1 and Phase 2 milestones.</w:t>
      </w:r>
    </w:p>
    <w:p w14:paraId="444644AB" w14:textId="77777777" w:rsidR="00A816BA" w:rsidRDefault="00A816BA" w:rsidP="00103507"/>
    <w:p w14:paraId="65084D78" w14:textId="70CA647D" w:rsidR="00A816BA" w:rsidRPr="004E0B4B" w:rsidRDefault="00625D2F" w:rsidP="00103507">
      <w:pPr>
        <w:rPr>
          <w:i/>
          <w:iCs/>
        </w:rPr>
      </w:pPr>
      <w:r w:rsidRPr="004E0B4B">
        <w:rPr>
          <w:i/>
          <w:iCs/>
        </w:rPr>
        <w:t xml:space="preserve">For more information on </w:t>
      </w:r>
      <w:r w:rsidR="00597948" w:rsidRPr="004E0B4B">
        <w:rPr>
          <w:i/>
          <w:iCs/>
        </w:rPr>
        <w:t xml:space="preserve">Connections Reform, </w:t>
      </w:r>
      <w:r w:rsidR="00EE7761" w:rsidRPr="004E0B4B">
        <w:rPr>
          <w:i/>
          <w:iCs/>
        </w:rPr>
        <w:t>please contact the REA’s Power team</w:t>
      </w:r>
      <w:r w:rsidR="004E0B4B" w:rsidRPr="004E0B4B">
        <w:rPr>
          <w:i/>
          <w:iCs/>
        </w:rPr>
        <w:t xml:space="preserve"> or refer to the NESO website </w:t>
      </w:r>
      <w:hyperlink r:id="rId12" w:history="1">
        <w:r w:rsidR="004E0B4B" w:rsidRPr="004E0B4B">
          <w:rPr>
            <w:rStyle w:val="Hyperlink"/>
            <w:i/>
            <w:iCs/>
          </w:rPr>
          <w:t>Connections Reform | National Energy System Operator</w:t>
        </w:r>
      </w:hyperlink>
    </w:p>
    <w:p w14:paraId="732C28E3" w14:textId="77777777" w:rsidR="00A816BA" w:rsidRDefault="00A816BA" w:rsidP="00103507"/>
    <w:p w14:paraId="4082B080" w14:textId="77777777" w:rsidR="00A816BA" w:rsidRPr="00103507" w:rsidRDefault="00A816BA" w:rsidP="00103507"/>
    <w:sectPr w:rsidR="00A816BA" w:rsidRPr="00103507" w:rsidSect="00835D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4" w:right="1440" w:bottom="1440" w:left="1440" w:header="290" w:footer="3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EE083" w14:textId="77777777" w:rsidR="00C459E3" w:rsidRDefault="00C459E3" w:rsidP="00B31E85">
      <w:r>
        <w:separator/>
      </w:r>
    </w:p>
  </w:endnote>
  <w:endnote w:type="continuationSeparator" w:id="0">
    <w:p w14:paraId="4B22BE76" w14:textId="77777777" w:rsidR="00C459E3" w:rsidRDefault="00C459E3" w:rsidP="00B3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PT-Light">
    <w:altName w:val="Century Gothic"/>
    <w:charset w:val="00"/>
    <w:family w:val="swiss"/>
    <w:pitch w:val="variable"/>
  </w:font>
  <w:font w:name="Futura PT Book">
    <w:altName w:val="Century Gothic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4CC1" w14:textId="77777777" w:rsidR="00FB25A6" w:rsidRDefault="00FB25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43771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CD2A945" w14:textId="77777777" w:rsidR="00835DAE" w:rsidRDefault="00835DAE" w:rsidP="00B31E85">
        <w:pPr>
          <w:pStyle w:val="Footer"/>
          <w:rPr>
            <w:b/>
            <w:bCs/>
          </w:rPr>
        </w:pPr>
        <w:r w:rsidRPr="00835DAE">
          <w:fldChar w:fldCharType="begin"/>
        </w:r>
        <w:r w:rsidRPr="00835DAE">
          <w:instrText xml:space="preserve"> PAGE   \* MERGEFORMAT </w:instrText>
        </w:r>
        <w:r w:rsidRPr="00835DAE">
          <w:fldChar w:fldCharType="separate"/>
        </w:r>
        <w:r w:rsidRPr="00835DAE">
          <w:rPr>
            <w:b/>
            <w:bCs/>
            <w:noProof/>
          </w:rPr>
          <w:t>2</w:t>
        </w:r>
        <w:r w:rsidRPr="00835DAE">
          <w:rPr>
            <w:b/>
            <w:bCs/>
            <w:noProof/>
          </w:rPr>
          <w:fldChar w:fldCharType="end"/>
        </w:r>
        <w:r w:rsidRPr="00835DAE">
          <w:rPr>
            <w:b/>
            <w:bCs/>
          </w:rPr>
          <w:t xml:space="preserve"> | </w:t>
        </w:r>
        <w:r w:rsidRPr="00835DAE">
          <w:rPr>
            <w:color w:val="7F7F7F" w:themeColor="background1" w:themeShade="7F"/>
            <w:spacing w:val="60"/>
          </w:rPr>
          <w:t>Page</w:t>
        </w:r>
      </w:p>
    </w:sdtContent>
  </w:sdt>
  <w:p w14:paraId="58B46FE1" w14:textId="77777777" w:rsidR="00041FFC" w:rsidRPr="00835DAE" w:rsidRDefault="00041FFC" w:rsidP="00B31E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B4A49" w14:textId="77777777" w:rsidR="00835DAE" w:rsidRDefault="00835DAE" w:rsidP="00B31E85">
    <w:pPr>
      <w:pStyle w:val="BodyText"/>
    </w:pPr>
    <w:r>
      <w:rPr>
        <w:noProof/>
        <w:lang w:eastAsia="en-GB"/>
      </w:rPr>
      <mc:AlternateContent>
        <mc:Choice Requires="wpg">
          <w:drawing>
            <wp:inline distT="0" distB="0" distL="0" distR="0" wp14:anchorId="34188395" wp14:editId="2B7CC21F">
              <wp:extent cx="6060440" cy="15875"/>
              <wp:effectExtent l="9525" t="9525" r="16510" b="3175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0440" cy="15875"/>
                        <a:chOff x="0" y="0"/>
                        <a:chExt cx="9544" cy="25"/>
                      </a:xfrm>
                    </wpg:grpSpPr>
                    <wps:wsp>
                      <wps:cNvPr id="2" name="Line 2"/>
                      <wps:cNvCnPr/>
                      <wps:spPr bwMode="auto">
                        <a:xfrm>
                          <a:off x="0" y="12"/>
                          <a:ext cx="9544" cy="0"/>
                        </a:xfrm>
                        <a:prstGeom prst="line">
                          <a:avLst/>
                        </a:prstGeom>
                        <a:noFill/>
                        <a:ln w="15672">
                          <a:solidFill>
                            <a:srgbClr val="41906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625AC8E" id="Group 1" o:spid="_x0000_s1026" style="width:477.2pt;height:1.25pt;mso-position-horizontal-relative:char;mso-position-vertical-relative:line" coordsize="954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">
              <v:line id="Line 2" o:spid="_x0000_s1027" style="position:absolute;visibility:visible;mso-wrap-style:square" from="0,12" to="9544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" strokecolor="#41906d" strokeweight=".43533mm"/>
              <w10:anchorlock/>
            </v:group>
          </w:pict>
        </mc:Fallback>
      </mc:AlternateContent>
    </w:r>
  </w:p>
  <w:p w14:paraId="29F4B661" w14:textId="77777777" w:rsidR="00FB25A6" w:rsidRPr="00FB25A6" w:rsidRDefault="00FB25A6" w:rsidP="00FB25A6">
    <w:pPr>
      <w:widowControl w:val="0"/>
      <w:autoSpaceDE w:val="0"/>
      <w:autoSpaceDN w:val="0"/>
      <w:spacing w:after="0" w:line="240" w:lineRule="exact"/>
      <w:ind w:left="251"/>
      <w:jc w:val="center"/>
      <w:rPr>
        <w:rFonts w:ascii="Futura PT Book" w:eastAsia="Open Sans" w:hAnsi="Futura PT Book"/>
        <w:sz w:val="20"/>
        <w:szCs w:val="20"/>
        <w:lang w:val="en-US"/>
      </w:rPr>
    </w:pPr>
    <w:r w:rsidRPr="00FB25A6">
      <w:rPr>
        <w:rFonts w:ascii="Futura PT Book" w:eastAsia="Open Sans" w:hAnsi="Futura PT Book"/>
        <w:sz w:val="20"/>
        <w:szCs w:val="20"/>
        <w:lang w:val="en-US"/>
      </w:rPr>
      <w:t>REA - RENEWABLE ENERGY ASSOCIATION</w:t>
    </w:r>
  </w:p>
  <w:p w14:paraId="2C056C66" w14:textId="77777777" w:rsidR="00FB25A6" w:rsidRPr="00FB25A6" w:rsidRDefault="00FB25A6" w:rsidP="00FB25A6">
    <w:pPr>
      <w:widowControl w:val="0"/>
      <w:autoSpaceDE w:val="0"/>
      <w:autoSpaceDN w:val="0"/>
      <w:spacing w:after="0" w:line="240" w:lineRule="exact"/>
      <w:ind w:left="251"/>
      <w:jc w:val="center"/>
      <w:rPr>
        <w:rFonts w:ascii="Futura PT Book" w:eastAsia="Open Sans" w:hAnsi="Futura PT Book"/>
        <w:sz w:val="20"/>
        <w:szCs w:val="20"/>
        <w:lang w:val="en-US"/>
      </w:rPr>
    </w:pPr>
    <w:r w:rsidRPr="00FB25A6">
      <w:rPr>
        <w:rFonts w:ascii="Futura PT Book" w:eastAsia="Open Sans" w:hAnsi="Futura PT Book"/>
        <w:sz w:val="20"/>
        <w:szCs w:val="20"/>
        <w:lang w:val="en-US"/>
      </w:rPr>
      <w:t>York House, 23 Kingsway, London WC2B 6UJ</w:t>
    </w:r>
  </w:p>
  <w:p w14:paraId="671C51A1" w14:textId="77777777" w:rsidR="00FB25A6" w:rsidRPr="00FB25A6" w:rsidRDefault="00FB25A6" w:rsidP="00FB25A6">
    <w:pPr>
      <w:widowControl w:val="0"/>
      <w:autoSpaceDE w:val="0"/>
      <w:autoSpaceDN w:val="0"/>
      <w:spacing w:after="0" w:line="240" w:lineRule="exact"/>
      <w:ind w:left="251"/>
      <w:jc w:val="center"/>
      <w:rPr>
        <w:rFonts w:ascii="Futura PT Book" w:eastAsia="Open Sans" w:hAnsi="Futura PT Book"/>
        <w:color w:val="06926B"/>
        <w:sz w:val="18"/>
        <w:szCs w:val="18"/>
        <w:lang w:val="en-US"/>
      </w:rPr>
    </w:pPr>
    <w:r w:rsidRPr="00FB25A6">
      <w:rPr>
        <w:rFonts w:ascii="Futura PT Book" w:eastAsia="Open Sans" w:hAnsi="Futura PT Book"/>
        <w:color w:val="06926B"/>
        <w:sz w:val="18"/>
        <w:szCs w:val="18"/>
        <w:lang w:val="en-US"/>
      </w:rPr>
      <w:t xml:space="preserve">Tel: +44 (0)20 7925 3570   Email: </w:t>
    </w:r>
    <w:hyperlink r:id="rId1">
      <w:r w:rsidRPr="00FB25A6">
        <w:rPr>
          <w:rFonts w:ascii="Futura PT Book" w:eastAsia="Open Sans" w:hAnsi="Futura PT Book"/>
          <w:color w:val="06926B"/>
          <w:sz w:val="18"/>
          <w:szCs w:val="18"/>
          <w:lang w:val="en-US"/>
        </w:rPr>
        <w:t>info@r-e-a.net</w:t>
      </w:r>
    </w:hyperlink>
    <w:r w:rsidRPr="00FB25A6">
      <w:rPr>
        <w:rFonts w:ascii="Futura PT Book" w:eastAsia="Open Sans" w:hAnsi="Futura PT Book"/>
        <w:color w:val="06926B"/>
        <w:sz w:val="18"/>
        <w:szCs w:val="18"/>
        <w:lang w:val="en-US"/>
      </w:rPr>
      <w:t xml:space="preserve">   Web: </w:t>
    </w:r>
    <w:hyperlink r:id="rId2">
      <w:r w:rsidRPr="00FB25A6">
        <w:rPr>
          <w:rFonts w:ascii="Futura PT Book" w:eastAsia="Open Sans" w:hAnsi="Futura PT Book"/>
          <w:color w:val="06926B"/>
          <w:sz w:val="18"/>
          <w:szCs w:val="18"/>
          <w:lang w:val="en-US"/>
        </w:rPr>
        <w:t>www.r-e-a.net</w:t>
      </w:r>
    </w:hyperlink>
  </w:p>
  <w:p w14:paraId="44747FC1" w14:textId="77777777" w:rsidR="00FB25A6" w:rsidRPr="00FB25A6" w:rsidRDefault="00FB25A6" w:rsidP="00FB25A6">
    <w:pPr>
      <w:widowControl w:val="0"/>
      <w:autoSpaceDE w:val="0"/>
      <w:autoSpaceDN w:val="0"/>
      <w:spacing w:after="0" w:line="240" w:lineRule="exact"/>
      <w:ind w:left="251"/>
      <w:jc w:val="center"/>
      <w:rPr>
        <w:rFonts w:ascii="Futura PT Book" w:eastAsia="Open Sans" w:hAnsi="Futura PT Book"/>
        <w:sz w:val="20"/>
        <w:szCs w:val="20"/>
        <w:lang w:val="en-US"/>
      </w:rPr>
    </w:pPr>
    <w:r w:rsidRPr="00FB25A6">
      <w:rPr>
        <w:rFonts w:ascii="Futura PT Book" w:eastAsia="Open Sans" w:hAnsi="Futura PT Book"/>
        <w:sz w:val="20"/>
        <w:szCs w:val="20"/>
        <w:lang w:val="en-US"/>
      </w:rPr>
      <w:t>Company no: 04241430   Registered in England and Wales</w:t>
    </w:r>
  </w:p>
  <w:p w14:paraId="4455E907" w14:textId="77777777" w:rsidR="00FB25A6" w:rsidRPr="00FB25A6" w:rsidRDefault="00FB25A6" w:rsidP="00FB25A6">
    <w:pPr>
      <w:widowControl w:val="0"/>
      <w:autoSpaceDE w:val="0"/>
      <w:autoSpaceDN w:val="0"/>
      <w:spacing w:after="0" w:line="240" w:lineRule="exact"/>
      <w:ind w:left="251"/>
      <w:jc w:val="center"/>
      <w:rPr>
        <w:rFonts w:ascii="Futura PT Book" w:eastAsia="Open Sans" w:hAnsi="Futura PT Book"/>
        <w:sz w:val="20"/>
        <w:szCs w:val="20"/>
        <w:lang w:val="en-US"/>
      </w:rPr>
    </w:pPr>
    <w:r w:rsidRPr="00FB25A6">
      <w:rPr>
        <w:rFonts w:ascii="Futura PT Book" w:eastAsia="Open Sans" w:hAnsi="Futura PT Book"/>
        <w:sz w:val="20"/>
        <w:szCs w:val="20"/>
        <w:lang w:val="en-US"/>
      </w:rPr>
      <w:t>(Registered name: The Association for Renewable Energy and Clean Technology)</w:t>
    </w:r>
  </w:p>
  <w:p w14:paraId="3D219D03" w14:textId="1037062D" w:rsidR="00041FFC" w:rsidRDefault="00041FFC" w:rsidP="00FB25A6">
    <w:pPr>
      <w:pStyle w:val="BodyTex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49F6F" w14:textId="77777777" w:rsidR="00C459E3" w:rsidRDefault="00C459E3" w:rsidP="00B31E85">
      <w:r>
        <w:separator/>
      </w:r>
    </w:p>
  </w:footnote>
  <w:footnote w:type="continuationSeparator" w:id="0">
    <w:p w14:paraId="04302E8C" w14:textId="77777777" w:rsidR="00C459E3" w:rsidRDefault="00C459E3" w:rsidP="00B31E85">
      <w:r>
        <w:continuationSeparator/>
      </w:r>
    </w:p>
  </w:footnote>
  <w:footnote w:id="1">
    <w:p w14:paraId="6CE37670" w14:textId="66C22F8E" w:rsidR="00767393" w:rsidRDefault="00767393">
      <w:pPr>
        <w:pStyle w:val="FootnoteText"/>
      </w:pPr>
      <w:r>
        <w:rPr>
          <w:rStyle w:val="FootnoteReference"/>
        </w:rPr>
        <w:footnoteRef/>
      </w:r>
      <w:r>
        <w:t xml:space="preserve"> National Energy System Operator, </w:t>
      </w:r>
      <w:hyperlink r:id="rId1" w:history="1">
        <w:r w:rsidRPr="00767393">
          <w:rPr>
            <w:rStyle w:val="Hyperlink"/>
          </w:rPr>
          <w:t>About Connections Reform | National Energy System Operator</w:t>
        </w:r>
      </w:hyperlink>
      <w:r w:rsidR="00E9331C">
        <w:t>;</w:t>
      </w:r>
      <w:r w:rsidR="00EB3B14">
        <w:t xml:space="preserve"> Accessed June 2026</w:t>
      </w:r>
    </w:p>
  </w:footnote>
  <w:footnote w:id="2">
    <w:p w14:paraId="1C81C649" w14:textId="42A74F2D" w:rsidR="00FA724B" w:rsidRDefault="00FA724B">
      <w:pPr>
        <w:pStyle w:val="FootnoteText"/>
      </w:pPr>
      <w:r>
        <w:rPr>
          <w:rStyle w:val="FootnoteReference"/>
        </w:rPr>
        <w:footnoteRef/>
      </w:r>
      <w:r>
        <w:t xml:space="preserve"> Drax Electric Insights,</w:t>
      </w:r>
      <w:r w:rsidR="00767393">
        <w:t xml:space="preserve"> </w:t>
      </w:r>
      <w:hyperlink r:id="rId2" w:anchor="/homepage?&amp;_k=j0dnlb" w:history="1">
        <w:r w:rsidR="00767393" w:rsidRPr="00767393">
          <w:rPr>
            <w:rStyle w:val="Hyperlink"/>
          </w:rPr>
          <w:t>Drax Electric Insights</w:t>
        </w:r>
      </w:hyperlink>
      <w:r w:rsidR="00E9331C">
        <w:t>;</w:t>
      </w:r>
      <w:r w:rsidR="00767393">
        <w:t xml:space="preserve"> Accessed June 2026</w:t>
      </w:r>
    </w:p>
  </w:footnote>
  <w:footnote w:id="3">
    <w:p w14:paraId="1CADF958" w14:textId="2B5C12F9" w:rsidR="00754265" w:rsidRDefault="007542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754265">
          <w:rPr>
            <w:rStyle w:val="Hyperlink"/>
          </w:rPr>
          <w:t>Ofgem agreement regarding the timetable for issuing connection offers under the Gate 2 to Whole Queue (“G2tWQ”) process | Ofgem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BF956" w14:textId="77777777" w:rsidR="00FB25A6" w:rsidRDefault="00FB25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EC0A" w14:textId="77777777" w:rsidR="00124D3A" w:rsidRDefault="00124D3A" w:rsidP="003A3169">
    <w:pPr>
      <w:pStyle w:val="Header"/>
      <w:jc w:val="right"/>
    </w:pPr>
    <w:r>
      <w:rPr>
        <w:noProof/>
        <w:lang w:eastAsia="en-GB"/>
      </w:rPr>
      <w:drawing>
        <wp:inline distT="0" distB="0" distL="0" distR="0" wp14:anchorId="1356879C" wp14:editId="799D23B7">
          <wp:extent cx="1706840" cy="707202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A MASTER BRIGHT LOGO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40" cy="707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B9C8F" w14:textId="77777777" w:rsidR="00835DAE" w:rsidRDefault="00835DAE" w:rsidP="003A3169">
    <w:pPr>
      <w:pStyle w:val="Header"/>
      <w:jc w:val="right"/>
    </w:pPr>
    <w:r>
      <w:rPr>
        <w:noProof/>
        <w:lang w:eastAsia="en-GB"/>
      </w:rPr>
      <w:drawing>
        <wp:inline distT="0" distB="0" distL="0" distR="0" wp14:anchorId="1C701E97" wp14:editId="14524B1E">
          <wp:extent cx="1706840" cy="707202"/>
          <wp:effectExtent l="0" t="0" r="825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A MASTER BRIGHT LOGO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40" cy="707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09E"/>
    <w:multiLevelType w:val="hybridMultilevel"/>
    <w:tmpl w:val="043C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2C46"/>
    <w:multiLevelType w:val="hybridMultilevel"/>
    <w:tmpl w:val="6E9A9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80417"/>
    <w:multiLevelType w:val="hybridMultilevel"/>
    <w:tmpl w:val="13B67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F0521"/>
    <w:multiLevelType w:val="hybridMultilevel"/>
    <w:tmpl w:val="A4DC2B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5798F"/>
    <w:multiLevelType w:val="hybridMultilevel"/>
    <w:tmpl w:val="7FF668E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43D2394"/>
    <w:multiLevelType w:val="hybridMultilevel"/>
    <w:tmpl w:val="4A143B1C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15077109"/>
    <w:multiLevelType w:val="hybridMultilevel"/>
    <w:tmpl w:val="8528E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518B0"/>
    <w:multiLevelType w:val="hybridMultilevel"/>
    <w:tmpl w:val="A052F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4480C"/>
    <w:multiLevelType w:val="hybridMultilevel"/>
    <w:tmpl w:val="54B07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A0EE6"/>
    <w:multiLevelType w:val="hybridMultilevel"/>
    <w:tmpl w:val="96829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F0D90"/>
    <w:multiLevelType w:val="hybridMultilevel"/>
    <w:tmpl w:val="9E40AC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67419"/>
    <w:multiLevelType w:val="hybridMultilevel"/>
    <w:tmpl w:val="70444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B7D10"/>
    <w:multiLevelType w:val="hybridMultilevel"/>
    <w:tmpl w:val="54548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4195D"/>
    <w:multiLevelType w:val="hybridMultilevel"/>
    <w:tmpl w:val="7860A0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86373"/>
    <w:multiLevelType w:val="hybridMultilevel"/>
    <w:tmpl w:val="1BBC8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D3F6C"/>
    <w:multiLevelType w:val="hybridMultilevel"/>
    <w:tmpl w:val="86BE9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A3BFC"/>
    <w:multiLevelType w:val="hybridMultilevel"/>
    <w:tmpl w:val="FC26D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8155E"/>
    <w:multiLevelType w:val="hybridMultilevel"/>
    <w:tmpl w:val="B8B0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971B4"/>
    <w:multiLevelType w:val="hybridMultilevel"/>
    <w:tmpl w:val="B1826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F3967"/>
    <w:multiLevelType w:val="hybridMultilevel"/>
    <w:tmpl w:val="9F5C0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B1515"/>
    <w:multiLevelType w:val="hybridMultilevel"/>
    <w:tmpl w:val="FC1A3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31B30"/>
    <w:multiLevelType w:val="hybridMultilevel"/>
    <w:tmpl w:val="6E48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86151"/>
    <w:multiLevelType w:val="hybridMultilevel"/>
    <w:tmpl w:val="3E325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C2369"/>
    <w:multiLevelType w:val="hybridMultilevel"/>
    <w:tmpl w:val="5888CE28"/>
    <w:lvl w:ilvl="0" w:tplc="0409000F">
      <w:start w:val="1"/>
      <w:numFmt w:val="decimal"/>
      <w:lvlText w:val="%1."/>
      <w:lvlJc w:val="left"/>
      <w:pPr>
        <w:ind w:left="782" w:hanging="360"/>
      </w:p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4" w15:restartNumberingAfterBreak="0">
    <w:nsid w:val="5BA51321"/>
    <w:multiLevelType w:val="hybridMultilevel"/>
    <w:tmpl w:val="2B9C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B42E0"/>
    <w:multiLevelType w:val="hybridMultilevel"/>
    <w:tmpl w:val="A2AE7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41A73"/>
    <w:multiLevelType w:val="hybridMultilevel"/>
    <w:tmpl w:val="BF0E1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34A7F"/>
    <w:multiLevelType w:val="hybridMultilevel"/>
    <w:tmpl w:val="2834C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E3CEC"/>
    <w:multiLevelType w:val="hybridMultilevel"/>
    <w:tmpl w:val="F506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B2557"/>
    <w:multiLevelType w:val="multilevel"/>
    <w:tmpl w:val="42F4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9D29DD"/>
    <w:multiLevelType w:val="hybridMultilevel"/>
    <w:tmpl w:val="939C49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4449E5"/>
    <w:multiLevelType w:val="hybridMultilevel"/>
    <w:tmpl w:val="332EB7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47C49"/>
    <w:multiLevelType w:val="hybridMultilevel"/>
    <w:tmpl w:val="A4DC2B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A5A95"/>
    <w:multiLevelType w:val="hybridMultilevel"/>
    <w:tmpl w:val="8BA6C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F2D67"/>
    <w:multiLevelType w:val="hybridMultilevel"/>
    <w:tmpl w:val="FC9EE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A90772"/>
    <w:multiLevelType w:val="hybridMultilevel"/>
    <w:tmpl w:val="942A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F691E"/>
    <w:multiLevelType w:val="hybridMultilevel"/>
    <w:tmpl w:val="05143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204985"/>
    <w:multiLevelType w:val="hybridMultilevel"/>
    <w:tmpl w:val="8F367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A2E73"/>
    <w:multiLevelType w:val="hybridMultilevel"/>
    <w:tmpl w:val="46D4B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473905">
    <w:abstractNumId w:val="15"/>
  </w:num>
  <w:num w:numId="2" w16cid:durableId="1042557411">
    <w:abstractNumId w:val="0"/>
  </w:num>
  <w:num w:numId="3" w16cid:durableId="1746681623">
    <w:abstractNumId w:val="2"/>
  </w:num>
  <w:num w:numId="4" w16cid:durableId="374040447">
    <w:abstractNumId w:val="7"/>
  </w:num>
  <w:num w:numId="5" w16cid:durableId="2090422275">
    <w:abstractNumId w:val="28"/>
  </w:num>
  <w:num w:numId="6" w16cid:durableId="556205045">
    <w:abstractNumId w:val="36"/>
  </w:num>
  <w:num w:numId="7" w16cid:durableId="150951479">
    <w:abstractNumId w:val="6"/>
  </w:num>
  <w:num w:numId="8" w16cid:durableId="286818090">
    <w:abstractNumId w:val="24"/>
  </w:num>
  <w:num w:numId="9" w16cid:durableId="1614097624">
    <w:abstractNumId w:val="37"/>
  </w:num>
  <w:num w:numId="10" w16cid:durableId="87042970">
    <w:abstractNumId w:val="14"/>
  </w:num>
  <w:num w:numId="11" w16cid:durableId="1174536786">
    <w:abstractNumId w:val="17"/>
  </w:num>
  <w:num w:numId="12" w16cid:durableId="1737624377">
    <w:abstractNumId w:val="35"/>
  </w:num>
  <w:num w:numId="13" w16cid:durableId="143738432">
    <w:abstractNumId w:val="19"/>
  </w:num>
  <w:num w:numId="14" w16cid:durableId="451441134">
    <w:abstractNumId w:val="8"/>
  </w:num>
  <w:num w:numId="15" w16cid:durableId="977996981">
    <w:abstractNumId w:val="20"/>
  </w:num>
  <w:num w:numId="16" w16cid:durableId="1566332986">
    <w:abstractNumId w:val="22"/>
  </w:num>
  <w:num w:numId="17" w16cid:durableId="1286739117">
    <w:abstractNumId w:val="25"/>
  </w:num>
  <w:num w:numId="18" w16cid:durableId="763920072">
    <w:abstractNumId w:val="21"/>
  </w:num>
  <w:num w:numId="19" w16cid:durableId="614559198">
    <w:abstractNumId w:val="29"/>
  </w:num>
  <w:num w:numId="20" w16cid:durableId="448865430">
    <w:abstractNumId w:val="5"/>
  </w:num>
  <w:num w:numId="21" w16cid:durableId="233395889">
    <w:abstractNumId w:val="34"/>
  </w:num>
  <w:num w:numId="22" w16cid:durableId="1440640157">
    <w:abstractNumId w:val="23"/>
  </w:num>
  <w:num w:numId="23" w16cid:durableId="1187913128">
    <w:abstractNumId w:val="26"/>
  </w:num>
  <w:num w:numId="24" w16cid:durableId="802115563">
    <w:abstractNumId w:val="1"/>
  </w:num>
  <w:num w:numId="25" w16cid:durableId="475605545">
    <w:abstractNumId w:val="33"/>
  </w:num>
  <w:num w:numId="26" w16cid:durableId="1857772050">
    <w:abstractNumId w:val="38"/>
  </w:num>
  <w:num w:numId="27" w16cid:durableId="1605574331">
    <w:abstractNumId w:val="3"/>
  </w:num>
  <w:num w:numId="28" w16cid:durableId="860358819">
    <w:abstractNumId w:val="31"/>
  </w:num>
  <w:num w:numId="29" w16cid:durableId="815687039">
    <w:abstractNumId w:val="32"/>
  </w:num>
  <w:num w:numId="30" w16cid:durableId="1162237836">
    <w:abstractNumId w:val="18"/>
  </w:num>
  <w:num w:numId="31" w16cid:durableId="159850873">
    <w:abstractNumId w:val="4"/>
  </w:num>
  <w:num w:numId="32" w16cid:durableId="71247589">
    <w:abstractNumId w:val="11"/>
  </w:num>
  <w:num w:numId="33" w16cid:durableId="1107428863">
    <w:abstractNumId w:val="30"/>
  </w:num>
  <w:num w:numId="34" w16cid:durableId="817965480">
    <w:abstractNumId w:val="9"/>
  </w:num>
  <w:num w:numId="35" w16cid:durableId="1260220197">
    <w:abstractNumId w:val="16"/>
  </w:num>
  <w:num w:numId="36" w16cid:durableId="609825389">
    <w:abstractNumId w:val="27"/>
  </w:num>
  <w:num w:numId="37" w16cid:durableId="2117946293">
    <w:abstractNumId w:val="13"/>
  </w:num>
  <w:num w:numId="38" w16cid:durableId="1145664985">
    <w:abstractNumId w:val="10"/>
  </w:num>
  <w:num w:numId="39" w16cid:durableId="15161931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U3sDQyNTIyNbEwMTRW0lEKTi0uzszPAykwrAUA6XKSRCwAAAA="/>
  </w:docVars>
  <w:rsids>
    <w:rsidRoot w:val="00E83590"/>
    <w:rsid w:val="000022E2"/>
    <w:rsid w:val="00013CBF"/>
    <w:rsid w:val="000146B3"/>
    <w:rsid w:val="0002448C"/>
    <w:rsid w:val="00033837"/>
    <w:rsid w:val="000367C7"/>
    <w:rsid w:val="00041FFC"/>
    <w:rsid w:val="00054FBD"/>
    <w:rsid w:val="00061ECC"/>
    <w:rsid w:val="00070823"/>
    <w:rsid w:val="00076998"/>
    <w:rsid w:val="00087B96"/>
    <w:rsid w:val="00087D6F"/>
    <w:rsid w:val="000A06E2"/>
    <w:rsid w:val="000A15A2"/>
    <w:rsid w:val="000A3B63"/>
    <w:rsid w:val="000A4AEC"/>
    <w:rsid w:val="000A5494"/>
    <w:rsid w:val="000B37FB"/>
    <w:rsid w:val="000C3F2C"/>
    <w:rsid w:val="000E3EDE"/>
    <w:rsid w:val="000F2380"/>
    <w:rsid w:val="000F4564"/>
    <w:rsid w:val="00103507"/>
    <w:rsid w:val="00104C8B"/>
    <w:rsid w:val="00110921"/>
    <w:rsid w:val="00114D5D"/>
    <w:rsid w:val="00124449"/>
    <w:rsid w:val="00124D3A"/>
    <w:rsid w:val="001304AA"/>
    <w:rsid w:val="00131F26"/>
    <w:rsid w:val="00132D52"/>
    <w:rsid w:val="00143E82"/>
    <w:rsid w:val="00144925"/>
    <w:rsid w:val="001551FE"/>
    <w:rsid w:val="001672A4"/>
    <w:rsid w:val="001737BD"/>
    <w:rsid w:val="001A355B"/>
    <w:rsid w:val="001A4BBB"/>
    <w:rsid w:val="001B4C80"/>
    <w:rsid w:val="001C530D"/>
    <w:rsid w:val="001E7F9C"/>
    <w:rsid w:val="001F2F5D"/>
    <w:rsid w:val="001F610B"/>
    <w:rsid w:val="001F79CB"/>
    <w:rsid w:val="00203CC7"/>
    <w:rsid w:val="00224562"/>
    <w:rsid w:val="00224C53"/>
    <w:rsid w:val="00234533"/>
    <w:rsid w:val="0025324F"/>
    <w:rsid w:val="0027245C"/>
    <w:rsid w:val="00276748"/>
    <w:rsid w:val="002830AB"/>
    <w:rsid w:val="00283851"/>
    <w:rsid w:val="00293ED5"/>
    <w:rsid w:val="002A169A"/>
    <w:rsid w:val="002A3CC4"/>
    <w:rsid w:val="002B4D96"/>
    <w:rsid w:val="002B7521"/>
    <w:rsid w:val="002C43B6"/>
    <w:rsid w:val="002F0A97"/>
    <w:rsid w:val="002F2A93"/>
    <w:rsid w:val="0031630A"/>
    <w:rsid w:val="00324B92"/>
    <w:rsid w:val="00325B63"/>
    <w:rsid w:val="0035623D"/>
    <w:rsid w:val="0036339A"/>
    <w:rsid w:val="00367E2A"/>
    <w:rsid w:val="00370224"/>
    <w:rsid w:val="00372722"/>
    <w:rsid w:val="00373816"/>
    <w:rsid w:val="00386B3F"/>
    <w:rsid w:val="00394D92"/>
    <w:rsid w:val="003A2DA8"/>
    <w:rsid w:val="003A3169"/>
    <w:rsid w:val="003C100A"/>
    <w:rsid w:val="003C1C53"/>
    <w:rsid w:val="003D02A1"/>
    <w:rsid w:val="003D11EE"/>
    <w:rsid w:val="003E1F8C"/>
    <w:rsid w:val="0040255D"/>
    <w:rsid w:val="004045EF"/>
    <w:rsid w:val="00412A3A"/>
    <w:rsid w:val="00425133"/>
    <w:rsid w:val="00426F97"/>
    <w:rsid w:val="0043014D"/>
    <w:rsid w:val="0043071A"/>
    <w:rsid w:val="00430F8E"/>
    <w:rsid w:val="0044097D"/>
    <w:rsid w:val="00462E04"/>
    <w:rsid w:val="00466E5B"/>
    <w:rsid w:val="004807BE"/>
    <w:rsid w:val="00485639"/>
    <w:rsid w:val="00491C2B"/>
    <w:rsid w:val="0049731A"/>
    <w:rsid w:val="004A230B"/>
    <w:rsid w:val="004B20CA"/>
    <w:rsid w:val="004C28BE"/>
    <w:rsid w:val="004C605C"/>
    <w:rsid w:val="004C6B86"/>
    <w:rsid w:val="004C7CB2"/>
    <w:rsid w:val="004D3F44"/>
    <w:rsid w:val="004E0B4B"/>
    <w:rsid w:val="004F535D"/>
    <w:rsid w:val="00512D20"/>
    <w:rsid w:val="00520DA2"/>
    <w:rsid w:val="00522DEA"/>
    <w:rsid w:val="00563B29"/>
    <w:rsid w:val="005955A2"/>
    <w:rsid w:val="00597948"/>
    <w:rsid w:val="005C1608"/>
    <w:rsid w:val="005D70AF"/>
    <w:rsid w:val="005D7AAA"/>
    <w:rsid w:val="005E39E4"/>
    <w:rsid w:val="005E5D99"/>
    <w:rsid w:val="005E6346"/>
    <w:rsid w:val="005E6F31"/>
    <w:rsid w:val="00625D2F"/>
    <w:rsid w:val="0063180A"/>
    <w:rsid w:val="00637E64"/>
    <w:rsid w:val="00640845"/>
    <w:rsid w:val="00663AA4"/>
    <w:rsid w:val="0067726D"/>
    <w:rsid w:val="006772B3"/>
    <w:rsid w:val="00690FAC"/>
    <w:rsid w:val="006A5A62"/>
    <w:rsid w:val="006B179C"/>
    <w:rsid w:val="006B46B4"/>
    <w:rsid w:val="006B5F20"/>
    <w:rsid w:val="006B63C3"/>
    <w:rsid w:val="006E562A"/>
    <w:rsid w:val="00727B83"/>
    <w:rsid w:val="00734EFC"/>
    <w:rsid w:val="0073541C"/>
    <w:rsid w:val="00754265"/>
    <w:rsid w:val="00767393"/>
    <w:rsid w:val="00770293"/>
    <w:rsid w:val="00773B96"/>
    <w:rsid w:val="007A7C49"/>
    <w:rsid w:val="007B1B75"/>
    <w:rsid w:val="007B1EB2"/>
    <w:rsid w:val="007B5523"/>
    <w:rsid w:val="007B71B7"/>
    <w:rsid w:val="007C4C31"/>
    <w:rsid w:val="007E01AC"/>
    <w:rsid w:val="00803D28"/>
    <w:rsid w:val="008137DE"/>
    <w:rsid w:val="008159A8"/>
    <w:rsid w:val="00820A3D"/>
    <w:rsid w:val="00824987"/>
    <w:rsid w:val="00832890"/>
    <w:rsid w:val="00835DAE"/>
    <w:rsid w:val="00843C02"/>
    <w:rsid w:val="00847B6D"/>
    <w:rsid w:val="00854C60"/>
    <w:rsid w:val="0086177E"/>
    <w:rsid w:val="008811B2"/>
    <w:rsid w:val="008A7F63"/>
    <w:rsid w:val="008B409E"/>
    <w:rsid w:val="008D342B"/>
    <w:rsid w:val="008E0284"/>
    <w:rsid w:val="008F5D51"/>
    <w:rsid w:val="0090052E"/>
    <w:rsid w:val="00911496"/>
    <w:rsid w:val="00923042"/>
    <w:rsid w:val="00924A18"/>
    <w:rsid w:val="00931CD0"/>
    <w:rsid w:val="00940D00"/>
    <w:rsid w:val="009453C7"/>
    <w:rsid w:val="00954555"/>
    <w:rsid w:val="0096171A"/>
    <w:rsid w:val="00976446"/>
    <w:rsid w:val="00977705"/>
    <w:rsid w:val="00982297"/>
    <w:rsid w:val="00985B9D"/>
    <w:rsid w:val="00987A15"/>
    <w:rsid w:val="009C2C75"/>
    <w:rsid w:val="009C5006"/>
    <w:rsid w:val="009D1CBA"/>
    <w:rsid w:val="009D212E"/>
    <w:rsid w:val="009F0620"/>
    <w:rsid w:val="009F3950"/>
    <w:rsid w:val="009F6544"/>
    <w:rsid w:val="009F74E0"/>
    <w:rsid w:val="00A10667"/>
    <w:rsid w:val="00A141F0"/>
    <w:rsid w:val="00A15FB5"/>
    <w:rsid w:val="00A27412"/>
    <w:rsid w:val="00A34A25"/>
    <w:rsid w:val="00A34E42"/>
    <w:rsid w:val="00A429C7"/>
    <w:rsid w:val="00A55208"/>
    <w:rsid w:val="00A55FF2"/>
    <w:rsid w:val="00A67C2C"/>
    <w:rsid w:val="00A816BA"/>
    <w:rsid w:val="00A94534"/>
    <w:rsid w:val="00AB33FB"/>
    <w:rsid w:val="00AC5955"/>
    <w:rsid w:val="00AD0333"/>
    <w:rsid w:val="00AD69A7"/>
    <w:rsid w:val="00AF08D4"/>
    <w:rsid w:val="00AF573B"/>
    <w:rsid w:val="00B004C8"/>
    <w:rsid w:val="00B31E85"/>
    <w:rsid w:val="00B45EDA"/>
    <w:rsid w:val="00B531B1"/>
    <w:rsid w:val="00B54D5B"/>
    <w:rsid w:val="00B57593"/>
    <w:rsid w:val="00B63E32"/>
    <w:rsid w:val="00B72434"/>
    <w:rsid w:val="00B738F8"/>
    <w:rsid w:val="00BA2D87"/>
    <w:rsid w:val="00BB4FD6"/>
    <w:rsid w:val="00BC6D08"/>
    <w:rsid w:val="00BD166D"/>
    <w:rsid w:val="00BE2E3D"/>
    <w:rsid w:val="00BE3AE9"/>
    <w:rsid w:val="00BF2E4D"/>
    <w:rsid w:val="00C058BA"/>
    <w:rsid w:val="00C12068"/>
    <w:rsid w:val="00C239CB"/>
    <w:rsid w:val="00C23EF3"/>
    <w:rsid w:val="00C26D88"/>
    <w:rsid w:val="00C31653"/>
    <w:rsid w:val="00C459E3"/>
    <w:rsid w:val="00C4709C"/>
    <w:rsid w:val="00C53E10"/>
    <w:rsid w:val="00C6415B"/>
    <w:rsid w:val="00C720DC"/>
    <w:rsid w:val="00C8454A"/>
    <w:rsid w:val="00CA1FB9"/>
    <w:rsid w:val="00CA4AF6"/>
    <w:rsid w:val="00CB3A1C"/>
    <w:rsid w:val="00CB3C3D"/>
    <w:rsid w:val="00CD666A"/>
    <w:rsid w:val="00CE3841"/>
    <w:rsid w:val="00D06B5E"/>
    <w:rsid w:val="00D319FA"/>
    <w:rsid w:val="00D536F8"/>
    <w:rsid w:val="00D60747"/>
    <w:rsid w:val="00D726B4"/>
    <w:rsid w:val="00D76D3E"/>
    <w:rsid w:val="00D77DCF"/>
    <w:rsid w:val="00D807A0"/>
    <w:rsid w:val="00D92047"/>
    <w:rsid w:val="00D93F68"/>
    <w:rsid w:val="00DB0E30"/>
    <w:rsid w:val="00DB34D8"/>
    <w:rsid w:val="00DB745B"/>
    <w:rsid w:val="00DF2C5B"/>
    <w:rsid w:val="00E1128A"/>
    <w:rsid w:val="00E1534B"/>
    <w:rsid w:val="00E15411"/>
    <w:rsid w:val="00E17340"/>
    <w:rsid w:val="00E2642F"/>
    <w:rsid w:val="00E33254"/>
    <w:rsid w:val="00E34CCD"/>
    <w:rsid w:val="00E41913"/>
    <w:rsid w:val="00E47906"/>
    <w:rsid w:val="00E55A98"/>
    <w:rsid w:val="00E75BD8"/>
    <w:rsid w:val="00E76855"/>
    <w:rsid w:val="00E76F2E"/>
    <w:rsid w:val="00E7749B"/>
    <w:rsid w:val="00E83590"/>
    <w:rsid w:val="00E8667B"/>
    <w:rsid w:val="00E90034"/>
    <w:rsid w:val="00E9331C"/>
    <w:rsid w:val="00E937D3"/>
    <w:rsid w:val="00E97220"/>
    <w:rsid w:val="00E97FA3"/>
    <w:rsid w:val="00EA60A7"/>
    <w:rsid w:val="00EB062E"/>
    <w:rsid w:val="00EB3B14"/>
    <w:rsid w:val="00EB65CD"/>
    <w:rsid w:val="00EB7039"/>
    <w:rsid w:val="00EE1172"/>
    <w:rsid w:val="00EE7761"/>
    <w:rsid w:val="00EF0ADC"/>
    <w:rsid w:val="00EF3B51"/>
    <w:rsid w:val="00F0150B"/>
    <w:rsid w:val="00F146C4"/>
    <w:rsid w:val="00F16242"/>
    <w:rsid w:val="00F21D8B"/>
    <w:rsid w:val="00F403B2"/>
    <w:rsid w:val="00F408ED"/>
    <w:rsid w:val="00F5454F"/>
    <w:rsid w:val="00F56A72"/>
    <w:rsid w:val="00F62A3D"/>
    <w:rsid w:val="00F671BC"/>
    <w:rsid w:val="00F806AF"/>
    <w:rsid w:val="00F846B8"/>
    <w:rsid w:val="00F9382B"/>
    <w:rsid w:val="00F96DC1"/>
    <w:rsid w:val="00F9794E"/>
    <w:rsid w:val="00FA2EDD"/>
    <w:rsid w:val="00FA724B"/>
    <w:rsid w:val="00FB24D7"/>
    <w:rsid w:val="00FB25A6"/>
    <w:rsid w:val="00FC4817"/>
    <w:rsid w:val="00FD5AA3"/>
    <w:rsid w:val="00FD7AED"/>
    <w:rsid w:val="00FE243A"/>
    <w:rsid w:val="00FE33EA"/>
    <w:rsid w:val="00FE681E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A93C0"/>
  <w15:docId w15:val="{32B0445B-2C57-42C2-9997-3EC77ABB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E85"/>
    <w:pPr>
      <w:spacing w:after="120"/>
    </w:pPr>
    <w:rPr>
      <w:rFonts w:ascii="Open Sans" w:hAnsi="Open Sans" w:cs="Open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E85"/>
    <w:pPr>
      <w:keepNext/>
      <w:keepLines/>
      <w:spacing w:before="240"/>
      <w:outlineLvl w:val="0"/>
    </w:pPr>
    <w:rPr>
      <w:rFonts w:eastAsiaTheme="majorEastAsia"/>
      <w:b/>
      <w:bCs/>
      <w:color w:val="06926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E85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06E2"/>
    <w:pPr>
      <w:keepNext/>
      <w:keepLines/>
      <w:spacing w:before="40" w:after="0"/>
      <w:outlineLvl w:val="2"/>
    </w:pPr>
    <w:rPr>
      <w:rFonts w:eastAsiaTheme="majorEastAsia"/>
      <w:color w:val="4FC0E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1E85"/>
    <w:pPr>
      <w:keepNext/>
      <w:keepLines/>
      <w:spacing w:before="40" w:after="0"/>
      <w:outlineLvl w:val="3"/>
    </w:pPr>
    <w:rPr>
      <w:rFonts w:eastAsiaTheme="majorEastAsia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31E85"/>
    <w:pPr>
      <w:keepNext/>
      <w:keepLines/>
      <w:spacing w:before="40" w:after="0"/>
      <w:outlineLvl w:val="4"/>
    </w:pPr>
    <w:rPr>
      <w:rFonts w:eastAsiaTheme="majorEastAsi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31E85"/>
    <w:pPr>
      <w:keepNext/>
      <w:keepLines/>
      <w:spacing w:before="40" w:after="0"/>
      <w:outlineLvl w:val="5"/>
    </w:pPr>
    <w:rPr>
      <w:rFonts w:eastAsiaTheme="majorEastAsia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9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9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4D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D3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24D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D3A"/>
    <w:rPr>
      <w:rFonts w:ascii="Calibri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640845"/>
    <w:pPr>
      <w:widowControl w:val="0"/>
      <w:autoSpaceDE w:val="0"/>
      <w:autoSpaceDN w:val="0"/>
    </w:pPr>
    <w:rPr>
      <w:rFonts w:ascii="FuturaPT-Light" w:eastAsia="FuturaPT-Light" w:hAnsi="FuturaPT-Light" w:cs="FuturaPT-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40845"/>
    <w:rPr>
      <w:rFonts w:ascii="FuturaPT-Light" w:eastAsia="FuturaPT-Light" w:hAnsi="FuturaPT-Light" w:cs="FuturaPT-Light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31E85"/>
    <w:rPr>
      <w:rFonts w:ascii="Open Sans" w:eastAsiaTheme="majorEastAsia" w:hAnsi="Open Sans" w:cs="Open Sans"/>
      <w:b/>
      <w:bCs/>
      <w:color w:val="06926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1E85"/>
    <w:rPr>
      <w:rFonts w:ascii="Open Sans" w:hAnsi="Open Sans" w:cs="Open Sans"/>
      <w:b/>
      <w:bCs/>
    </w:rPr>
  </w:style>
  <w:style w:type="paragraph" w:styleId="NoSpacing">
    <w:name w:val="No Spacing"/>
    <w:uiPriority w:val="1"/>
    <w:qFormat/>
    <w:rsid w:val="00087B96"/>
    <w:pPr>
      <w:spacing w:after="0" w:line="240" w:lineRule="auto"/>
    </w:pPr>
    <w:rPr>
      <w:rFonts w:ascii="Open Sans" w:hAnsi="Open Sans" w:cs="Open Sans"/>
    </w:rPr>
  </w:style>
  <w:style w:type="character" w:customStyle="1" w:styleId="Heading3Char">
    <w:name w:val="Heading 3 Char"/>
    <w:basedOn w:val="DefaultParagraphFont"/>
    <w:link w:val="Heading3"/>
    <w:uiPriority w:val="9"/>
    <w:rsid w:val="000A06E2"/>
    <w:rPr>
      <w:rFonts w:ascii="Open Sans" w:eastAsiaTheme="majorEastAsia" w:hAnsi="Open Sans" w:cs="Open Sans"/>
      <w:color w:val="4FC0E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1E85"/>
    <w:rPr>
      <w:rFonts w:ascii="Open Sans" w:eastAsiaTheme="majorEastAsia" w:hAnsi="Open Sans" w:cs="Open Sans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B31E85"/>
    <w:rPr>
      <w:rFonts w:ascii="Open Sans" w:eastAsiaTheme="majorEastAsia" w:hAnsi="Open Sans" w:cs="Open Sans"/>
    </w:rPr>
  </w:style>
  <w:style w:type="character" w:customStyle="1" w:styleId="Heading6Char">
    <w:name w:val="Heading 6 Char"/>
    <w:basedOn w:val="DefaultParagraphFont"/>
    <w:link w:val="Heading6"/>
    <w:uiPriority w:val="9"/>
    <w:rsid w:val="00B31E85"/>
    <w:rPr>
      <w:rFonts w:ascii="Open Sans" w:eastAsiaTheme="majorEastAsia" w:hAnsi="Open Sans" w:cs="Open Sans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F1624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2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72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724B"/>
    <w:rPr>
      <w:rFonts w:ascii="Open Sans" w:hAnsi="Open Sans" w:cs="Open San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724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673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5D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eso.energy/industry-information/connections-refor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so.energy/industry-information/connections-reform/connections-reform-timelin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-e-a.net/" TargetMode="External"/><Relationship Id="rId1" Type="http://schemas.openxmlformats.org/officeDocument/2006/relationships/hyperlink" Target="mailto:info@r-e-a.net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fgem.gov.uk/decision/ofgem-agreement-regarding-timetable-issuing-connection-offers-under-gate-2-whole-queue-g2twq-process?utm_source=Office%20of%20Gas%20and%20Electric%20Markets%20%28OFGEM%29&amp;utm_medium=email&amp;utm_campaign=15505068_Daily%20Update%20-%202026-06-03&amp;dm_i=1QCB,98BSC,F2GXYV,12QNZX,1,0,0,0" TargetMode="External"/><Relationship Id="rId2" Type="http://schemas.openxmlformats.org/officeDocument/2006/relationships/hyperlink" Target="https://electricinsights.co.uk/" TargetMode="External"/><Relationship Id="rId1" Type="http://schemas.openxmlformats.org/officeDocument/2006/relationships/hyperlink" Target="https://www.neso.energy/industry-information/connections-reform/about-connections-refor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ocock\OneDrive%20-%20REA\Documents\Custom%20Office%20Templates\2507%20REA%20Letterhead%20(Templat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bbe167-487c-408d-acef-8d2427bd1be5" xsi:nil="true"/>
    <lcf76f155ced4ddcb4097134ff3c332f xmlns="295b7e5a-6813-4ce3-9641-c6b23835554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F41621D008744821C62AB2CBDE516" ma:contentTypeVersion="16" ma:contentTypeDescription="Create a new document." ma:contentTypeScope="" ma:versionID="5d022d1872ab54457caa678d39393852">
  <xsd:schema xmlns:xsd="http://www.w3.org/2001/XMLSchema" xmlns:xs="http://www.w3.org/2001/XMLSchema" xmlns:p="http://schemas.microsoft.com/office/2006/metadata/properties" xmlns:ns2="295b7e5a-6813-4ce3-9641-c6b238355547" xmlns:ns3="3bbbe167-487c-408d-acef-8d2427bd1be5" targetNamespace="http://schemas.microsoft.com/office/2006/metadata/properties" ma:root="true" ma:fieldsID="df2df3e203f1038564184b2581c077b9" ns2:_="" ns3:_="">
    <xsd:import namespace="295b7e5a-6813-4ce3-9641-c6b238355547"/>
    <xsd:import namespace="3bbbe167-487c-408d-acef-8d2427bd1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b7e5a-6813-4ce3-9641-c6b238355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0c0f61-5948-43bc-a271-85f0a6a647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be167-487c-408d-acef-8d2427bd1be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1515b0-2a35-4da5-8b7e-44c2b7a78b9d}" ma:internalName="TaxCatchAll" ma:showField="CatchAllData" ma:web="3bbbe167-487c-408d-acef-8d2427bd1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3178DC-AA29-4583-9BBB-C5B06EE685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278FC8-E1B6-41F6-842F-B1964E7B9EB0}">
  <ds:schemaRefs>
    <ds:schemaRef ds:uri="http://schemas.microsoft.com/office/2006/metadata/properties"/>
    <ds:schemaRef ds:uri="http://schemas.microsoft.com/office/infopath/2007/PartnerControls"/>
    <ds:schemaRef ds:uri="3bbbe167-487c-408d-acef-8d2427bd1be5"/>
    <ds:schemaRef ds:uri="295b7e5a-6813-4ce3-9641-c6b238355547"/>
  </ds:schemaRefs>
</ds:datastoreItem>
</file>

<file path=customXml/itemProps3.xml><?xml version="1.0" encoding="utf-8"?>
<ds:datastoreItem xmlns:ds="http://schemas.openxmlformats.org/officeDocument/2006/customXml" ds:itemID="{356784BF-CFAA-4051-8BAF-4BEA8E764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b7e5a-6813-4ce3-9641-c6b238355547"/>
    <ds:schemaRef ds:uri="3bbbe167-487c-408d-acef-8d2427bd1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F469C3-B57E-407D-8B99-9CC04324F5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2507 REA Letterhead (Template)</Template>
  <TotalTime>52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Stuart Pocock</dc:creator>
  <cp:lastModifiedBy>Daniel De Wijze</cp:lastModifiedBy>
  <cp:revision>71</cp:revision>
  <dcterms:created xsi:type="dcterms:W3CDTF">2025-11-07T11:24:00Z</dcterms:created>
  <dcterms:modified xsi:type="dcterms:W3CDTF">2026-06-04T09:33:00Z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0x010100D7CF41621D008744821C62AB2CBDE516</vt:lpwstr>
  </property>
  <property fmtid="{D5CDD505-2E9C-101B-9397-08002B2CF9AE}" pid="3" name="MediaServiceImageTags">
    <vt:lpwstr/>
  </property>
</Properties>
</file>